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94B63" w14:textId="77777777" w:rsidR="00922449" w:rsidRPr="00CD0BDF" w:rsidRDefault="00C3602D" w:rsidP="00BA0D8C">
      <w:pPr>
        <w:sectPr w:rsidR="00922449" w:rsidRPr="00CD0BDF" w:rsidSect="00984DBC">
          <w:headerReference w:type="even" r:id="rId8"/>
          <w:headerReference w:type="default" r:id="rId9"/>
          <w:footerReference w:type="even" r:id="rId10"/>
          <w:footerReference w:type="default" r:id="rId11"/>
          <w:headerReference w:type="first" r:id="rId12"/>
          <w:footerReference w:type="first" r:id="rId13"/>
          <w:pgSz w:w="11907" w:h="16840" w:code="9"/>
          <w:pgMar w:top="851" w:right="1701" w:bottom="1134" w:left="1701" w:header="568" w:footer="567" w:gutter="0"/>
          <w:pgNumType w:start="1"/>
          <w:cols w:space="720"/>
          <w:titlePg/>
        </w:sectPr>
      </w:pPr>
      <w:r>
        <w:rPr>
          <w:noProof/>
          <w:lang w:eastAsia="en-AU"/>
        </w:rPr>
        <mc:AlternateContent>
          <mc:Choice Requires="wps">
            <w:drawing>
              <wp:anchor distT="0" distB="0" distL="114300" distR="114300" simplePos="0" relativeHeight="251657728" behindDoc="0" locked="0" layoutInCell="0" allowOverlap="1" wp14:anchorId="136F45EA" wp14:editId="2ED9E8BE">
                <wp:simplePos x="0" y="0"/>
                <wp:positionH relativeFrom="margin">
                  <wp:posOffset>565150</wp:posOffset>
                </wp:positionH>
                <wp:positionV relativeFrom="margin">
                  <wp:posOffset>921385</wp:posOffset>
                </wp:positionV>
                <wp:extent cx="4319905" cy="2283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83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0EEE7" w14:textId="77777777" w:rsidR="003E62AE" w:rsidRPr="00302A92" w:rsidRDefault="003E62AE" w:rsidP="00302A92">
                            <w:pPr>
                              <w:pStyle w:val="UtilComReportHeading"/>
                              <w:spacing w:line="520" w:lineRule="atLeast"/>
                              <w:ind w:left="0"/>
                              <w:rPr>
                                <w:b w:val="0"/>
                                <w:color w:val="31849B"/>
                                <w:lang w:val="en-US"/>
                              </w:rPr>
                            </w:pPr>
                            <w:r w:rsidRPr="00302A92">
                              <w:rPr>
                                <w:b w:val="0"/>
                                <w:color w:val="31849B"/>
                                <w:lang w:val="en-US"/>
                              </w:rPr>
                              <w:t>Annual compliance report</w:t>
                            </w:r>
                          </w:p>
                          <w:p w14:paraId="7B09B748" w14:textId="77777777" w:rsidR="003E62AE" w:rsidRDefault="003E62AE" w:rsidP="00302A92">
                            <w:pPr>
                              <w:pStyle w:val="UtilComBodyText"/>
                              <w:spacing w:before="240" w:after="240"/>
                            </w:pPr>
                            <w:r>
                              <w:t>A summary of Compliance Reports received by the Utilities Commission from licensees in 2016</w:t>
                            </w:r>
                          </w:p>
                          <w:p w14:paraId="3EC93B2B" w14:textId="1F6D38A0" w:rsidR="003E62AE" w:rsidRPr="00313A5B" w:rsidRDefault="00F9446E" w:rsidP="00E630D5">
                            <w:pPr>
                              <w:pStyle w:val="UtilComDate"/>
                              <w:spacing w:before="240"/>
                              <w:rPr>
                                <w:b/>
                                <w:i w:val="0"/>
                              </w:rPr>
                            </w:pPr>
                            <w:r>
                              <w:rPr>
                                <w:b/>
                                <w:i w:val="0"/>
                              </w:rPr>
                              <w:t xml:space="preserve">February </w:t>
                            </w:r>
                            <w:r w:rsidR="005958CF">
                              <w:rPr>
                                <w:b/>
                                <w:i w:val="0"/>
                              </w:rPr>
                              <w:t>2017</w:t>
                            </w:r>
                          </w:p>
                          <w:p w14:paraId="48EFBDC2" w14:textId="77777777" w:rsidR="003E62AE" w:rsidRDefault="003E62AE" w:rsidP="00BA0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45EA" id="_x0000_t202" coordsize="21600,21600" o:spt="202" path="m,l,21600r21600,l21600,xe">
                <v:stroke joinstyle="miter"/>
                <v:path gradientshapeok="t" o:connecttype="rect"/>
              </v:shapetype>
              <v:shape id="Text Box 2" o:spid="_x0000_s1026" type="#_x0000_t202" style="position:absolute;margin-left:44.5pt;margin-top:72.55pt;width:340.15pt;height:17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" o:allowincell="f" filled="f" stroked="f">
                <v:textbox>
                  <w:txbxContent>
                    <w:p w14:paraId="09F0EEE7" w14:textId="77777777" w:rsidR="003E62AE" w:rsidRPr="00302A92" w:rsidRDefault="003E62AE" w:rsidP="00302A92">
                      <w:pPr>
                        <w:pStyle w:val="UtilComReportHeading"/>
                        <w:spacing w:line="520" w:lineRule="atLeast"/>
                        <w:ind w:left="0"/>
                        <w:rPr>
                          <w:b w:val="0"/>
                          <w:color w:val="31849B"/>
                          <w:lang w:val="en-US"/>
                        </w:rPr>
                      </w:pPr>
                      <w:r w:rsidRPr="00302A92">
                        <w:rPr>
                          <w:b w:val="0"/>
                          <w:color w:val="31849B"/>
                          <w:lang w:val="en-US"/>
                        </w:rPr>
                        <w:t>Annual compliance report</w:t>
                      </w:r>
                    </w:p>
                    <w:p w14:paraId="7B09B748" w14:textId="77777777" w:rsidR="003E62AE" w:rsidRDefault="003E62AE" w:rsidP="00302A92">
                      <w:pPr>
                        <w:pStyle w:val="UtilComBodyText"/>
                        <w:spacing w:before="240" w:after="240"/>
                      </w:pPr>
                      <w:r>
                        <w:t>A summary of Compliance Reports received by the Utilities Commission from licensees in 2016</w:t>
                      </w:r>
                    </w:p>
                    <w:p w14:paraId="3EC93B2B" w14:textId="1F6D38A0" w:rsidR="003E62AE" w:rsidRPr="00313A5B" w:rsidRDefault="00F9446E" w:rsidP="00E630D5">
                      <w:pPr>
                        <w:pStyle w:val="UtilComDate"/>
                        <w:spacing w:before="240"/>
                        <w:rPr>
                          <w:b/>
                          <w:i w:val="0"/>
                        </w:rPr>
                      </w:pPr>
                      <w:r>
                        <w:rPr>
                          <w:b/>
                          <w:i w:val="0"/>
                        </w:rPr>
                        <w:t xml:space="preserve">February </w:t>
                      </w:r>
                      <w:r w:rsidR="005958CF">
                        <w:rPr>
                          <w:b/>
                          <w:i w:val="0"/>
                        </w:rPr>
                        <w:t>2017</w:t>
                      </w:r>
                    </w:p>
                    <w:p w14:paraId="48EFBDC2" w14:textId="77777777" w:rsidR="003E62AE" w:rsidRDefault="003E62AE" w:rsidP="00BA0D8C"/>
                  </w:txbxContent>
                </v:textbox>
                <w10:wrap anchorx="margin" anchory="margin"/>
              </v:shape>
            </w:pict>
          </mc:Fallback>
        </mc:AlternateContent>
      </w:r>
    </w:p>
    <w:p w14:paraId="697DF579" w14:textId="77777777" w:rsidR="00BA0D8C" w:rsidRDefault="00BA0D8C" w:rsidP="00984DBC"/>
    <w:p w14:paraId="203F0680" w14:textId="77777777" w:rsidR="004D5C0D" w:rsidRPr="00302A92" w:rsidRDefault="004D5C0D" w:rsidP="00302A92">
      <w:pPr>
        <w:pStyle w:val="UCTOC1"/>
        <w:rPr>
          <w:rStyle w:val="Strong"/>
          <w:color w:val="31849B"/>
          <w:lang w:val="en-AU" w:eastAsia="en-AU"/>
        </w:rPr>
      </w:pPr>
      <w:bookmarkStart w:id="0" w:name="_Toc453509207"/>
      <w:bookmarkStart w:id="1" w:name="_Toc453755793"/>
      <w:r w:rsidRPr="00302A92">
        <w:rPr>
          <w:rStyle w:val="Strong"/>
          <w:color w:val="31849B"/>
          <w:lang w:val="en-AU" w:eastAsia="en-AU"/>
        </w:rPr>
        <w:t xml:space="preserve">Table of </w:t>
      </w:r>
      <w:r w:rsidRPr="003E3A6B">
        <w:rPr>
          <w:rStyle w:val="Strong"/>
          <w:color w:val="31849B" w:themeColor="accent5" w:themeShade="BF"/>
          <w:lang w:val="en-AU" w:eastAsia="en-AU"/>
        </w:rPr>
        <w:t>Contents</w:t>
      </w:r>
      <w:bookmarkEnd w:id="0"/>
      <w:bookmarkEnd w:id="1"/>
    </w:p>
    <w:p w14:paraId="201D54DC" w14:textId="77777777" w:rsidR="00C8249A" w:rsidRDefault="00DB3FE7" w:rsidP="006D31B6">
      <w:pPr>
        <w:pStyle w:val="TOC2"/>
        <w:rPr>
          <w:rFonts w:asciiTheme="minorHAnsi" w:eastAsiaTheme="minorEastAsia" w:hAnsiTheme="minorHAnsi" w:cstheme="minorBidi"/>
          <w:color w:val="auto"/>
          <w:sz w:val="22"/>
          <w:szCs w:val="22"/>
        </w:rPr>
      </w:pPr>
      <w:r w:rsidRPr="00C948D2">
        <w:rPr>
          <w:highlight w:val="yellow"/>
        </w:rPr>
        <w:fldChar w:fldCharType="begin"/>
      </w:r>
      <w:r w:rsidR="004D5C0D" w:rsidRPr="00C948D2">
        <w:rPr>
          <w:highlight w:val="yellow"/>
        </w:rPr>
        <w:instrText xml:space="preserve"> TOC \o "1-4" \h \z \u </w:instrText>
      </w:r>
      <w:r w:rsidRPr="00C948D2">
        <w:rPr>
          <w:highlight w:val="yellow"/>
        </w:rPr>
        <w:fldChar w:fldCharType="separate"/>
      </w:r>
      <w:hyperlink w:anchor="_Toc473546897" w:history="1">
        <w:r w:rsidR="00C8249A" w:rsidRPr="00F96D41">
          <w:rPr>
            <w:rStyle w:val="Hyperlink"/>
          </w:rPr>
          <w:t>Introduction</w:t>
        </w:r>
        <w:r w:rsidR="00C8249A">
          <w:rPr>
            <w:webHidden/>
          </w:rPr>
          <w:tab/>
        </w:r>
        <w:r w:rsidR="00C8249A">
          <w:rPr>
            <w:webHidden/>
          </w:rPr>
          <w:fldChar w:fldCharType="begin"/>
        </w:r>
        <w:r w:rsidR="00C8249A">
          <w:rPr>
            <w:webHidden/>
          </w:rPr>
          <w:instrText xml:space="preserve"> PAGEREF _Toc473546897 \h </w:instrText>
        </w:r>
        <w:r w:rsidR="00C8249A">
          <w:rPr>
            <w:webHidden/>
          </w:rPr>
        </w:r>
        <w:r w:rsidR="00C8249A">
          <w:rPr>
            <w:webHidden/>
          </w:rPr>
          <w:fldChar w:fldCharType="separate"/>
        </w:r>
        <w:r w:rsidR="00514918">
          <w:rPr>
            <w:webHidden/>
          </w:rPr>
          <w:t>1</w:t>
        </w:r>
        <w:r w:rsidR="00C8249A">
          <w:rPr>
            <w:webHidden/>
          </w:rPr>
          <w:fldChar w:fldCharType="end"/>
        </w:r>
      </w:hyperlink>
    </w:p>
    <w:p w14:paraId="204D2CDA" w14:textId="77777777" w:rsidR="00C8249A" w:rsidRDefault="00017D18" w:rsidP="006D31B6">
      <w:pPr>
        <w:pStyle w:val="TOC2"/>
        <w:rPr>
          <w:rFonts w:asciiTheme="minorHAnsi" w:eastAsiaTheme="minorEastAsia" w:hAnsiTheme="minorHAnsi" w:cstheme="minorBidi"/>
          <w:color w:val="auto"/>
          <w:sz w:val="22"/>
          <w:szCs w:val="22"/>
        </w:rPr>
      </w:pPr>
      <w:hyperlink w:anchor="_Toc473546898" w:history="1">
        <w:r w:rsidR="00C8249A" w:rsidRPr="00F96D41">
          <w:rPr>
            <w:rStyle w:val="Hyperlink"/>
          </w:rPr>
          <w:t>Commission’s Approach to Compliance</w:t>
        </w:r>
        <w:r w:rsidR="00C8249A">
          <w:rPr>
            <w:webHidden/>
          </w:rPr>
          <w:tab/>
        </w:r>
        <w:r w:rsidR="00C8249A">
          <w:rPr>
            <w:webHidden/>
          </w:rPr>
          <w:fldChar w:fldCharType="begin"/>
        </w:r>
        <w:r w:rsidR="00C8249A">
          <w:rPr>
            <w:webHidden/>
          </w:rPr>
          <w:instrText xml:space="preserve"> PAGEREF _Toc473546898 \h </w:instrText>
        </w:r>
        <w:r w:rsidR="00C8249A">
          <w:rPr>
            <w:webHidden/>
          </w:rPr>
        </w:r>
        <w:r w:rsidR="00C8249A">
          <w:rPr>
            <w:webHidden/>
          </w:rPr>
          <w:fldChar w:fldCharType="separate"/>
        </w:r>
        <w:r w:rsidR="00514918">
          <w:rPr>
            <w:webHidden/>
          </w:rPr>
          <w:t>2</w:t>
        </w:r>
        <w:r w:rsidR="00C8249A">
          <w:rPr>
            <w:webHidden/>
          </w:rPr>
          <w:fldChar w:fldCharType="end"/>
        </w:r>
      </w:hyperlink>
    </w:p>
    <w:p w14:paraId="4BBE7220" w14:textId="77777777" w:rsidR="00C8249A" w:rsidRDefault="00017D18" w:rsidP="006D31B6">
      <w:pPr>
        <w:pStyle w:val="TOC2"/>
        <w:rPr>
          <w:rFonts w:asciiTheme="minorHAnsi" w:eastAsiaTheme="minorEastAsia" w:hAnsiTheme="minorHAnsi" w:cstheme="minorBidi"/>
          <w:color w:val="auto"/>
          <w:sz w:val="22"/>
          <w:szCs w:val="22"/>
        </w:rPr>
      </w:pPr>
      <w:hyperlink w:anchor="_Toc473546899" w:history="1">
        <w:r w:rsidR="00C8249A" w:rsidRPr="00F96D41">
          <w:rPr>
            <w:rStyle w:val="Hyperlink"/>
          </w:rPr>
          <w:t>Risk Identification and Risk Assessment</w:t>
        </w:r>
        <w:r w:rsidR="00C8249A">
          <w:rPr>
            <w:webHidden/>
          </w:rPr>
          <w:tab/>
        </w:r>
        <w:r w:rsidR="00C8249A">
          <w:rPr>
            <w:webHidden/>
          </w:rPr>
          <w:fldChar w:fldCharType="begin"/>
        </w:r>
        <w:r w:rsidR="00C8249A">
          <w:rPr>
            <w:webHidden/>
          </w:rPr>
          <w:instrText xml:space="preserve"> PAGEREF _Toc473546899 \h </w:instrText>
        </w:r>
        <w:r w:rsidR="00C8249A">
          <w:rPr>
            <w:webHidden/>
          </w:rPr>
        </w:r>
        <w:r w:rsidR="00C8249A">
          <w:rPr>
            <w:webHidden/>
          </w:rPr>
          <w:fldChar w:fldCharType="separate"/>
        </w:r>
        <w:r w:rsidR="00514918">
          <w:rPr>
            <w:webHidden/>
          </w:rPr>
          <w:t>3</w:t>
        </w:r>
        <w:r w:rsidR="00C8249A">
          <w:rPr>
            <w:webHidden/>
          </w:rPr>
          <w:fldChar w:fldCharType="end"/>
        </w:r>
      </w:hyperlink>
    </w:p>
    <w:p w14:paraId="642D01AD" w14:textId="77777777" w:rsidR="00C8249A" w:rsidRDefault="00017D18" w:rsidP="006D31B6">
      <w:pPr>
        <w:pStyle w:val="TOC2"/>
        <w:rPr>
          <w:rFonts w:asciiTheme="minorHAnsi" w:eastAsiaTheme="minorEastAsia" w:hAnsiTheme="minorHAnsi" w:cstheme="minorBidi"/>
          <w:color w:val="auto"/>
          <w:sz w:val="22"/>
          <w:szCs w:val="22"/>
        </w:rPr>
      </w:pPr>
      <w:hyperlink w:anchor="_Toc473546900" w:history="1">
        <w:r w:rsidR="00C8249A" w:rsidRPr="00F96D41">
          <w:rPr>
            <w:rStyle w:val="Hyperlink"/>
          </w:rPr>
          <w:t>Ensuring Compliance</w:t>
        </w:r>
        <w:r w:rsidR="00C8249A">
          <w:rPr>
            <w:webHidden/>
          </w:rPr>
          <w:tab/>
        </w:r>
        <w:r w:rsidR="00C8249A">
          <w:rPr>
            <w:webHidden/>
          </w:rPr>
          <w:fldChar w:fldCharType="begin"/>
        </w:r>
        <w:r w:rsidR="00C8249A">
          <w:rPr>
            <w:webHidden/>
          </w:rPr>
          <w:instrText xml:space="preserve"> PAGEREF _Toc473546900 \h </w:instrText>
        </w:r>
        <w:r w:rsidR="00C8249A">
          <w:rPr>
            <w:webHidden/>
          </w:rPr>
        </w:r>
        <w:r w:rsidR="00C8249A">
          <w:rPr>
            <w:webHidden/>
          </w:rPr>
          <w:fldChar w:fldCharType="separate"/>
        </w:r>
        <w:r w:rsidR="00514918">
          <w:rPr>
            <w:webHidden/>
          </w:rPr>
          <w:t>4</w:t>
        </w:r>
        <w:r w:rsidR="00C8249A">
          <w:rPr>
            <w:webHidden/>
          </w:rPr>
          <w:fldChar w:fldCharType="end"/>
        </w:r>
      </w:hyperlink>
    </w:p>
    <w:p w14:paraId="2DA631B3" w14:textId="77777777" w:rsidR="00C8249A" w:rsidRDefault="00017D18" w:rsidP="006D31B6">
      <w:pPr>
        <w:pStyle w:val="TOC2"/>
        <w:rPr>
          <w:rFonts w:asciiTheme="minorHAnsi" w:eastAsiaTheme="minorEastAsia" w:hAnsiTheme="minorHAnsi" w:cstheme="minorBidi"/>
          <w:color w:val="auto"/>
          <w:sz w:val="22"/>
          <w:szCs w:val="22"/>
        </w:rPr>
      </w:pPr>
      <w:hyperlink w:anchor="_Toc473546901" w:history="1">
        <w:r w:rsidR="00C8249A" w:rsidRPr="00F96D41">
          <w:rPr>
            <w:rStyle w:val="Hyperlink"/>
          </w:rPr>
          <w:t>Enforcement</w:t>
        </w:r>
        <w:r w:rsidR="00C8249A">
          <w:rPr>
            <w:webHidden/>
          </w:rPr>
          <w:tab/>
        </w:r>
        <w:r w:rsidR="00C8249A">
          <w:rPr>
            <w:webHidden/>
          </w:rPr>
          <w:fldChar w:fldCharType="begin"/>
        </w:r>
        <w:r w:rsidR="00C8249A">
          <w:rPr>
            <w:webHidden/>
          </w:rPr>
          <w:instrText xml:space="preserve"> PAGEREF _Toc473546901 \h </w:instrText>
        </w:r>
        <w:r w:rsidR="00C8249A">
          <w:rPr>
            <w:webHidden/>
          </w:rPr>
        </w:r>
        <w:r w:rsidR="00C8249A">
          <w:rPr>
            <w:webHidden/>
          </w:rPr>
          <w:fldChar w:fldCharType="separate"/>
        </w:r>
        <w:r w:rsidR="00514918">
          <w:rPr>
            <w:webHidden/>
          </w:rPr>
          <w:t>4</w:t>
        </w:r>
        <w:r w:rsidR="00C8249A">
          <w:rPr>
            <w:webHidden/>
          </w:rPr>
          <w:fldChar w:fldCharType="end"/>
        </w:r>
      </w:hyperlink>
    </w:p>
    <w:p w14:paraId="5BCD706D" w14:textId="77777777" w:rsidR="00C8249A" w:rsidRDefault="00017D18" w:rsidP="006D31B6">
      <w:pPr>
        <w:pStyle w:val="TOC2"/>
        <w:rPr>
          <w:rFonts w:asciiTheme="minorHAnsi" w:eastAsiaTheme="minorEastAsia" w:hAnsiTheme="minorHAnsi" w:cstheme="minorBidi"/>
          <w:color w:val="auto"/>
          <w:sz w:val="22"/>
          <w:szCs w:val="22"/>
        </w:rPr>
      </w:pPr>
      <w:hyperlink w:anchor="_Toc473546902" w:history="1">
        <w:r w:rsidR="00C8249A" w:rsidRPr="00F96D41">
          <w:rPr>
            <w:rStyle w:val="Hyperlink"/>
          </w:rPr>
          <w:t>Compliance Reports</w:t>
        </w:r>
        <w:r w:rsidR="00C8249A">
          <w:rPr>
            <w:webHidden/>
          </w:rPr>
          <w:tab/>
        </w:r>
        <w:r w:rsidR="00C8249A">
          <w:rPr>
            <w:webHidden/>
          </w:rPr>
          <w:fldChar w:fldCharType="begin"/>
        </w:r>
        <w:r w:rsidR="00C8249A">
          <w:rPr>
            <w:webHidden/>
          </w:rPr>
          <w:instrText xml:space="preserve"> PAGEREF _Toc473546902 \h </w:instrText>
        </w:r>
        <w:r w:rsidR="00C8249A">
          <w:rPr>
            <w:webHidden/>
          </w:rPr>
        </w:r>
        <w:r w:rsidR="00C8249A">
          <w:rPr>
            <w:webHidden/>
          </w:rPr>
          <w:fldChar w:fldCharType="separate"/>
        </w:r>
        <w:r w:rsidR="00514918">
          <w:rPr>
            <w:webHidden/>
          </w:rPr>
          <w:t>5</w:t>
        </w:r>
        <w:r w:rsidR="00C8249A">
          <w:rPr>
            <w:webHidden/>
          </w:rPr>
          <w:fldChar w:fldCharType="end"/>
        </w:r>
      </w:hyperlink>
    </w:p>
    <w:p w14:paraId="735EDB9D" w14:textId="77777777" w:rsidR="00C8249A" w:rsidRDefault="00017D18" w:rsidP="006D31B6">
      <w:pPr>
        <w:pStyle w:val="TOC2"/>
        <w:rPr>
          <w:rFonts w:asciiTheme="minorHAnsi" w:eastAsiaTheme="minorEastAsia" w:hAnsiTheme="minorHAnsi" w:cstheme="minorBidi"/>
          <w:color w:val="auto"/>
          <w:sz w:val="22"/>
          <w:szCs w:val="22"/>
        </w:rPr>
      </w:pPr>
      <w:hyperlink w:anchor="_Toc473546903" w:history="1">
        <w:r w:rsidR="00C8249A" w:rsidRPr="00F96D41">
          <w:rPr>
            <w:rStyle w:val="Hyperlink"/>
          </w:rPr>
          <w:t>Breaches Reported 2015-16</w:t>
        </w:r>
        <w:r w:rsidR="00C8249A">
          <w:rPr>
            <w:webHidden/>
          </w:rPr>
          <w:tab/>
        </w:r>
        <w:r w:rsidR="00C8249A">
          <w:rPr>
            <w:webHidden/>
          </w:rPr>
          <w:fldChar w:fldCharType="begin"/>
        </w:r>
        <w:r w:rsidR="00C8249A">
          <w:rPr>
            <w:webHidden/>
          </w:rPr>
          <w:instrText xml:space="preserve"> PAGEREF _Toc473546903 \h </w:instrText>
        </w:r>
        <w:r w:rsidR="00C8249A">
          <w:rPr>
            <w:webHidden/>
          </w:rPr>
        </w:r>
        <w:r w:rsidR="00C8249A">
          <w:rPr>
            <w:webHidden/>
          </w:rPr>
          <w:fldChar w:fldCharType="separate"/>
        </w:r>
        <w:r w:rsidR="00514918">
          <w:rPr>
            <w:webHidden/>
          </w:rPr>
          <w:t>6</w:t>
        </w:r>
        <w:r w:rsidR="00C8249A">
          <w:rPr>
            <w:webHidden/>
          </w:rPr>
          <w:fldChar w:fldCharType="end"/>
        </w:r>
      </w:hyperlink>
    </w:p>
    <w:p w14:paraId="191C03F5" w14:textId="77777777" w:rsidR="00C8249A" w:rsidRDefault="00017D18">
      <w:pPr>
        <w:pStyle w:val="TOC3"/>
        <w:rPr>
          <w:rFonts w:asciiTheme="minorHAnsi" w:eastAsiaTheme="minorEastAsia" w:hAnsiTheme="minorHAnsi" w:cstheme="minorBidi"/>
          <w:sz w:val="22"/>
          <w:szCs w:val="22"/>
          <w:lang w:val="en-AU" w:eastAsia="en-AU"/>
        </w:rPr>
      </w:pPr>
      <w:hyperlink w:anchor="_Toc473546904" w:history="1">
        <w:r w:rsidR="00C8249A" w:rsidRPr="00F96D41">
          <w:rPr>
            <w:rStyle w:val="Hyperlink"/>
          </w:rPr>
          <w:t>Territory Generation</w:t>
        </w:r>
        <w:r w:rsidR="00C8249A">
          <w:rPr>
            <w:webHidden/>
          </w:rPr>
          <w:tab/>
        </w:r>
        <w:r w:rsidR="00C8249A">
          <w:rPr>
            <w:webHidden/>
          </w:rPr>
          <w:fldChar w:fldCharType="begin"/>
        </w:r>
        <w:r w:rsidR="00C8249A">
          <w:rPr>
            <w:webHidden/>
          </w:rPr>
          <w:instrText xml:space="preserve"> PAGEREF _Toc473546904 \h </w:instrText>
        </w:r>
        <w:r w:rsidR="00C8249A">
          <w:rPr>
            <w:webHidden/>
          </w:rPr>
        </w:r>
        <w:r w:rsidR="00C8249A">
          <w:rPr>
            <w:webHidden/>
          </w:rPr>
          <w:fldChar w:fldCharType="separate"/>
        </w:r>
        <w:r w:rsidR="00514918">
          <w:rPr>
            <w:webHidden/>
          </w:rPr>
          <w:t>6</w:t>
        </w:r>
        <w:r w:rsidR="00C8249A">
          <w:rPr>
            <w:webHidden/>
          </w:rPr>
          <w:fldChar w:fldCharType="end"/>
        </w:r>
      </w:hyperlink>
    </w:p>
    <w:p w14:paraId="62D09376" w14:textId="77777777" w:rsidR="00C8249A" w:rsidRDefault="00017D18">
      <w:pPr>
        <w:pStyle w:val="TOC3"/>
        <w:rPr>
          <w:rFonts w:asciiTheme="minorHAnsi" w:eastAsiaTheme="minorEastAsia" w:hAnsiTheme="minorHAnsi" w:cstheme="minorBidi"/>
          <w:sz w:val="22"/>
          <w:szCs w:val="22"/>
          <w:lang w:val="en-AU" w:eastAsia="en-AU"/>
        </w:rPr>
      </w:pPr>
      <w:hyperlink w:anchor="_Toc473546905" w:history="1">
        <w:r w:rsidR="00C8249A" w:rsidRPr="00F96D41">
          <w:rPr>
            <w:rStyle w:val="Hyperlink"/>
          </w:rPr>
          <w:t>Jacana Energy</w:t>
        </w:r>
        <w:r w:rsidR="00C8249A">
          <w:rPr>
            <w:webHidden/>
          </w:rPr>
          <w:tab/>
        </w:r>
        <w:r w:rsidR="00C8249A">
          <w:rPr>
            <w:webHidden/>
          </w:rPr>
          <w:fldChar w:fldCharType="begin"/>
        </w:r>
        <w:r w:rsidR="00C8249A">
          <w:rPr>
            <w:webHidden/>
          </w:rPr>
          <w:instrText xml:space="preserve"> PAGEREF _Toc473546905 \h </w:instrText>
        </w:r>
        <w:r w:rsidR="00C8249A">
          <w:rPr>
            <w:webHidden/>
          </w:rPr>
        </w:r>
        <w:r w:rsidR="00C8249A">
          <w:rPr>
            <w:webHidden/>
          </w:rPr>
          <w:fldChar w:fldCharType="separate"/>
        </w:r>
        <w:r w:rsidR="00514918">
          <w:rPr>
            <w:webHidden/>
          </w:rPr>
          <w:t>6</w:t>
        </w:r>
        <w:r w:rsidR="00C8249A">
          <w:rPr>
            <w:webHidden/>
          </w:rPr>
          <w:fldChar w:fldCharType="end"/>
        </w:r>
      </w:hyperlink>
    </w:p>
    <w:p w14:paraId="76B5FE50" w14:textId="77777777" w:rsidR="00C8249A" w:rsidRDefault="00017D18">
      <w:pPr>
        <w:pStyle w:val="TOC3"/>
        <w:rPr>
          <w:rFonts w:asciiTheme="minorHAnsi" w:eastAsiaTheme="minorEastAsia" w:hAnsiTheme="minorHAnsi" w:cstheme="minorBidi"/>
          <w:sz w:val="22"/>
          <w:szCs w:val="22"/>
          <w:lang w:val="en-AU" w:eastAsia="en-AU"/>
        </w:rPr>
      </w:pPr>
      <w:hyperlink w:anchor="_Toc473546906" w:history="1">
        <w:r w:rsidR="00C8249A" w:rsidRPr="00F96D41">
          <w:rPr>
            <w:rStyle w:val="Hyperlink"/>
          </w:rPr>
          <w:t>ERM Power Retail Pty Ltd</w:t>
        </w:r>
        <w:r w:rsidR="00C8249A">
          <w:rPr>
            <w:webHidden/>
          </w:rPr>
          <w:tab/>
        </w:r>
        <w:r w:rsidR="00C8249A">
          <w:rPr>
            <w:webHidden/>
          </w:rPr>
          <w:fldChar w:fldCharType="begin"/>
        </w:r>
        <w:r w:rsidR="00C8249A">
          <w:rPr>
            <w:webHidden/>
          </w:rPr>
          <w:instrText xml:space="preserve"> PAGEREF _Toc473546906 \h </w:instrText>
        </w:r>
        <w:r w:rsidR="00C8249A">
          <w:rPr>
            <w:webHidden/>
          </w:rPr>
        </w:r>
        <w:r w:rsidR="00C8249A">
          <w:rPr>
            <w:webHidden/>
          </w:rPr>
          <w:fldChar w:fldCharType="separate"/>
        </w:r>
        <w:r w:rsidR="00514918">
          <w:rPr>
            <w:webHidden/>
          </w:rPr>
          <w:t>6</w:t>
        </w:r>
        <w:r w:rsidR="00C8249A">
          <w:rPr>
            <w:webHidden/>
          </w:rPr>
          <w:fldChar w:fldCharType="end"/>
        </w:r>
      </w:hyperlink>
    </w:p>
    <w:p w14:paraId="3EEA4B35" w14:textId="0A54C160" w:rsidR="00C8249A" w:rsidRDefault="00017D18">
      <w:pPr>
        <w:pStyle w:val="TOC3"/>
        <w:rPr>
          <w:rFonts w:asciiTheme="minorHAnsi" w:eastAsiaTheme="minorEastAsia" w:hAnsiTheme="minorHAnsi" w:cstheme="minorBidi"/>
          <w:sz w:val="22"/>
          <w:szCs w:val="22"/>
          <w:lang w:val="en-AU" w:eastAsia="en-AU"/>
        </w:rPr>
      </w:pPr>
      <w:hyperlink w:anchor="_Toc473546907" w:history="1">
        <w:r w:rsidR="00C8249A" w:rsidRPr="00F96D41">
          <w:rPr>
            <w:rStyle w:val="Hyperlink"/>
          </w:rPr>
          <w:t>QEnergy Limited</w:t>
        </w:r>
        <w:r w:rsidR="00C8249A">
          <w:rPr>
            <w:webHidden/>
          </w:rPr>
          <w:tab/>
        </w:r>
        <w:r w:rsidR="00C8249A">
          <w:rPr>
            <w:webHidden/>
          </w:rPr>
          <w:fldChar w:fldCharType="begin"/>
        </w:r>
        <w:r w:rsidR="00C8249A">
          <w:rPr>
            <w:webHidden/>
          </w:rPr>
          <w:instrText xml:space="preserve"> PAGEREF _Toc473546907 \h </w:instrText>
        </w:r>
        <w:r w:rsidR="00C8249A">
          <w:rPr>
            <w:webHidden/>
          </w:rPr>
        </w:r>
        <w:r w:rsidR="00C8249A">
          <w:rPr>
            <w:webHidden/>
          </w:rPr>
          <w:fldChar w:fldCharType="separate"/>
        </w:r>
        <w:r w:rsidR="00514918">
          <w:rPr>
            <w:webHidden/>
          </w:rPr>
          <w:t>6</w:t>
        </w:r>
        <w:r w:rsidR="00C8249A">
          <w:rPr>
            <w:webHidden/>
          </w:rPr>
          <w:fldChar w:fldCharType="end"/>
        </w:r>
      </w:hyperlink>
    </w:p>
    <w:p w14:paraId="3D540BBE" w14:textId="77777777" w:rsidR="00C8249A" w:rsidRDefault="00017D18">
      <w:pPr>
        <w:pStyle w:val="TOC3"/>
        <w:rPr>
          <w:rFonts w:asciiTheme="minorHAnsi" w:eastAsiaTheme="minorEastAsia" w:hAnsiTheme="minorHAnsi" w:cstheme="minorBidi"/>
          <w:sz w:val="22"/>
          <w:szCs w:val="22"/>
          <w:lang w:val="en-AU" w:eastAsia="en-AU"/>
        </w:rPr>
      </w:pPr>
      <w:hyperlink w:anchor="_Toc473546908" w:history="1">
        <w:r w:rsidR="00C8249A" w:rsidRPr="00F96D41">
          <w:rPr>
            <w:rStyle w:val="Hyperlink"/>
          </w:rPr>
          <w:t>Rimfire Energy Pty Ltd</w:t>
        </w:r>
        <w:r w:rsidR="00C8249A">
          <w:rPr>
            <w:webHidden/>
          </w:rPr>
          <w:tab/>
        </w:r>
        <w:r w:rsidR="00C8249A">
          <w:rPr>
            <w:webHidden/>
          </w:rPr>
          <w:fldChar w:fldCharType="begin"/>
        </w:r>
        <w:r w:rsidR="00C8249A">
          <w:rPr>
            <w:webHidden/>
          </w:rPr>
          <w:instrText xml:space="preserve"> PAGEREF _Toc473546908 \h </w:instrText>
        </w:r>
        <w:r w:rsidR="00C8249A">
          <w:rPr>
            <w:webHidden/>
          </w:rPr>
        </w:r>
        <w:r w:rsidR="00C8249A">
          <w:rPr>
            <w:webHidden/>
          </w:rPr>
          <w:fldChar w:fldCharType="separate"/>
        </w:r>
        <w:r w:rsidR="00514918">
          <w:rPr>
            <w:webHidden/>
          </w:rPr>
          <w:t>7</w:t>
        </w:r>
        <w:r w:rsidR="00C8249A">
          <w:rPr>
            <w:webHidden/>
          </w:rPr>
          <w:fldChar w:fldCharType="end"/>
        </w:r>
      </w:hyperlink>
    </w:p>
    <w:p w14:paraId="5C53498B" w14:textId="77777777" w:rsidR="00C8249A" w:rsidRDefault="00017D18">
      <w:pPr>
        <w:pStyle w:val="TOC3"/>
        <w:rPr>
          <w:rFonts w:asciiTheme="minorHAnsi" w:eastAsiaTheme="minorEastAsia" w:hAnsiTheme="minorHAnsi" w:cstheme="minorBidi"/>
          <w:sz w:val="22"/>
          <w:szCs w:val="22"/>
          <w:lang w:val="en-AU" w:eastAsia="en-AU"/>
        </w:rPr>
      </w:pPr>
      <w:hyperlink w:anchor="_Toc473546909" w:history="1">
        <w:r w:rsidR="00C8249A" w:rsidRPr="00F96D41">
          <w:rPr>
            <w:rStyle w:val="Hyperlink"/>
          </w:rPr>
          <w:t>Power and Water Corporation</w:t>
        </w:r>
        <w:r w:rsidR="00C8249A">
          <w:rPr>
            <w:webHidden/>
          </w:rPr>
          <w:tab/>
        </w:r>
        <w:r w:rsidR="00C8249A">
          <w:rPr>
            <w:webHidden/>
          </w:rPr>
          <w:fldChar w:fldCharType="begin"/>
        </w:r>
        <w:r w:rsidR="00C8249A">
          <w:rPr>
            <w:webHidden/>
          </w:rPr>
          <w:instrText xml:space="preserve"> PAGEREF _Toc473546909 \h </w:instrText>
        </w:r>
        <w:r w:rsidR="00C8249A">
          <w:rPr>
            <w:webHidden/>
          </w:rPr>
        </w:r>
        <w:r w:rsidR="00C8249A">
          <w:rPr>
            <w:webHidden/>
          </w:rPr>
          <w:fldChar w:fldCharType="separate"/>
        </w:r>
        <w:r w:rsidR="00514918">
          <w:rPr>
            <w:webHidden/>
          </w:rPr>
          <w:t>7</w:t>
        </w:r>
        <w:r w:rsidR="00C8249A">
          <w:rPr>
            <w:webHidden/>
          </w:rPr>
          <w:fldChar w:fldCharType="end"/>
        </w:r>
      </w:hyperlink>
    </w:p>
    <w:p w14:paraId="02394B51" w14:textId="77777777" w:rsidR="00C8249A" w:rsidRDefault="00017D18" w:rsidP="006D31B6">
      <w:pPr>
        <w:pStyle w:val="TOC2"/>
        <w:rPr>
          <w:rFonts w:asciiTheme="minorHAnsi" w:eastAsiaTheme="minorEastAsia" w:hAnsiTheme="minorHAnsi" w:cstheme="minorBidi"/>
          <w:color w:val="auto"/>
          <w:sz w:val="22"/>
          <w:szCs w:val="22"/>
        </w:rPr>
      </w:pPr>
      <w:hyperlink w:anchor="_Toc473546910" w:history="1">
        <w:r w:rsidR="00C8249A" w:rsidRPr="00F96D41">
          <w:rPr>
            <w:rStyle w:val="Hyperlink"/>
          </w:rPr>
          <w:t>Annual Compliance Declaration</w:t>
        </w:r>
        <w:r w:rsidR="00C8249A">
          <w:rPr>
            <w:webHidden/>
          </w:rPr>
          <w:tab/>
        </w:r>
        <w:r w:rsidR="00C8249A">
          <w:rPr>
            <w:webHidden/>
          </w:rPr>
          <w:fldChar w:fldCharType="begin"/>
        </w:r>
        <w:r w:rsidR="00C8249A">
          <w:rPr>
            <w:webHidden/>
          </w:rPr>
          <w:instrText xml:space="preserve"> PAGEREF _Toc473546910 \h </w:instrText>
        </w:r>
        <w:r w:rsidR="00C8249A">
          <w:rPr>
            <w:webHidden/>
          </w:rPr>
        </w:r>
        <w:r w:rsidR="00C8249A">
          <w:rPr>
            <w:webHidden/>
          </w:rPr>
          <w:fldChar w:fldCharType="separate"/>
        </w:r>
        <w:r w:rsidR="00514918">
          <w:rPr>
            <w:webHidden/>
          </w:rPr>
          <w:t>8</w:t>
        </w:r>
        <w:r w:rsidR="00C8249A">
          <w:rPr>
            <w:webHidden/>
          </w:rPr>
          <w:fldChar w:fldCharType="end"/>
        </w:r>
      </w:hyperlink>
    </w:p>
    <w:p w14:paraId="6B0B1287" w14:textId="77777777" w:rsidR="00C8249A" w:rsidRDefault="00017D18" w:rsidP="006D31B6">
      <w:pPr>
        <w:pStyle w:val="TOC2"/>
        <w:rPr>
          <w:rFonts w:asciiTheme="minorHAnsi" w:eastAsiaTheme="minorEastAsia" w:hAnsiTheme="minorHAnsi" w:cstheme="minorBidi"/>
          <w:color w:val="auto"/>
          <w:sz w:val="22"/>
          <w:szCs w:val="22"/>
        </w:rPr>
      </w:pPr>
      <w:hyperlink w:anchor="_Toc473546911" w:history="1">
        <w:r w:rsidR="00C8249A" w:rsidRPr="00F96D41">
          <w:rPr>
            <w:rStyle w:val="Hyperlink"/>
          </w:rPr>
          <w:t>PWC’s Compliance with the 2014 Network Price Determination</w:t>
        </w:r>
        <w:r w:rsidR="00C8249A">
          <w:rPr>
            <w:webHidden/>
          </w:rPr>
          <w:tab/>
        </w:r>
        <w:r w:rsidR="00C8249A">
          <w:rPr>
            <w:webHidden/>
          </w:rPr>
          <w:fldChar w:fldCharType="begin"/>
        </w:r>
        <w:r w:rsidR="00C8249A">
          <w:rPr>
            <w:webHidden/>
          </w:rPr>
          <w:instrText xml:space="preserve"> PAGEREF _Toc473546911 \h </w:instrText>
        </w:r>
        <w:r w:rsidR="00C8249A">
          <w:rPr>
            <w:webHidden/>
          </w:rPr>
        </w:r>
        <w:r w:rsidR="00C8249A">
          <w:rPr>
            <w:webHidden/>
          </w:rPr>
          <w:fldChar w:fldCharType="separate"/>
        </w:r>
        <w:r w:rsidR="00514918">
          <w:rPr>
            <w:webHidden/>
          </w:rPr>
          <w:t>8</w:t>
        </w:r>
        <w:r w:rsidR="00C8249A">
          <w:rPr>
            <w:webHidden/>
          </w:rPr>
          <w:fldChar w:fldCharType="end"/>
        </w:r>
      </w:hyperlink>
    </w:p>
    <w:p w14:paraId="22D2B66A" w14:textId="77777777" w:rsidR="00C8249A" w:rsidRDefault="00017D18" w:rsidP="006D31B6">
      <w:pPr>
        <w:pStyle w:val="TOC2"/>
        <w:rPr>
          <w:rFonts w:asciiTheme="minorHAnsi" w:eastAsiaTheme="minorEastAsia" w:hAnsiTheme="minorHAnsi" w:cstheme="minorBidi"/>
          <w:color w:val="auto"/>
          <w:sz w:val="22"/>
          <w:szCs w:val="22"/>
        </w:rPr>
      </w:pPr>
      <w:hyperlink w:anchor="_Toc473546912" w:history="1">
        <w:r w:rsidR="00C8249A" w:rsidRPr="00F96D41">
          <w:rPr>
            <w:rStyle w:val="Hyperlink"/>
          </w:rPr>
          <w:t>Review of Compliance Obligations 2015-16</w:t>
        </w:r>
        <w:r w:rsidR="00C8249A">
          <w:rPr>
            <w:webHidden/>
          </w:rPr>
          <w:tab/>
        </w:r>
        <w:r w:rsidR="00C8249A">
          <w:rPr>
            <w:webHidden/>
          </w:rPr>
          <w:fldChar w:fldCharType="begin"/>
        </w:r>
        <w:r w:rsidR="00C8249A">
          <w:rPr>
            <w:webHidden/>
          </w:rPr>
          <w:instrText xml:space="preserve"> PAGEREF _Toc473546912 \h </w:instrText>
        </w:r>
        <w:r w:rsidR="00C8249A">
          <w:rPr>
            <w:webHidden/>
          </w:rPr>
        </w:r>
        <w:r w:rsidR="00C8249A">
          <w:rPr>
            <w:webHidden/>
          </w:rPr>
          <w:fldChar w:fldCharType="separate"/>
        </w:r>
        <w:r w:rsidR="00514918">
          <w:rPr>
            <w:webHidden/>
          </w:rPr>
          <w:t>10</w:t>
        </w:r>
        <w:r w:rsidR="00C8249A">
          <w:rPr>
            <w:webHidden/>
          </w:rPr>
          <w:fldChar w:fldCharType="end"/>
        </w:r>
      </w:hyperlink>
    </w:p>
    <w:p w14:paraId="0A5DA402" w14:textId="77777777" w:rsidR="00820643" w:rsidRPr="00D51CD5" w:rsidRDefault="00DB3FE7" w:rsidP="004D5C0D">
      <w:pPr>
        <w:spacing w:before="0" w:after="0" w:line="240" w:lineRule="auto"/>
      </w:pPr>
      <w:r w:rsidRPr="00C948D2">
        <w:rPr>
          <w:sz w:val="18"/>
          <w:szCs w:val="18"/>
          <w:highlight w:val="yellow"/>
        </w:rPr>
        <w:fldChar w:fldCharType="end"/>
      </w:r>
      <w:r w:rsidR="00820643" w:rsidRPr="00D51CD5">
        <w:br w:type="page"/>
      </w:r>
      <w:bookmarkStart w:id="2" w:name="_GoBack"/>
      <w:bookmarkEnd w:id="2"/>
    </w:p>
    <w:p w14:paraId="45699B18" w14:textId="77777777" w:rsidR="00302A92" w:rsidRPr="005B1EA4" w:rsidRDefault="00302A92" w:rsidP="004D5C0D">
      <w:pPr>
        <w:spacing w:before="0" w:after="0" w:line="240" w:lineRule="auto"/>
        <w:sectPr w:rsidR="00302A92" w:rsidRPr="005B1EA4" w:rsidSect="00984DBC">
          <w:footerReference w:type="default" r:id="rId14"/>
          <w:headerReference w:type="first" r:id="rId15"/>
          <w:footerReference w:type="first" r:id="rId16"/>
          <w:pgSz w:w="11907" w:h="16840" w:code="9"/>
          <w:pgMar w:top="1134" w:right="1134" w:bottom="1134" w:left="1701" w:header="567" w:footer="567" w:gutter="0"/>
          <w:pgNumType w:fmt="lowerRoman" w:start="1"/>
          <w:cols w:space="720"/>
          <w:titlePg/>
        </w:sectPr>
      </w:pPr>
    </w:p>
    <w:p w14:paraId="7F6FD4A9" w14:textId="77777777" w:rsidR="00302A92" w:rsidRPr="005B1EA4" w:rsidRDefault="00302A92" w:rsidP="005B1EA4">
      <w:pPr>
        <w:rPr>
          <w:rStyle w:val="Strong"/>
          <w:bCs w:val="0"/>
          <w:color w:val="31849B"/>
          <w:sz w:val="24"/>
          <w:szCs w:val="24"/>
          <w:lang w:val="en-US"/>
        </w:rPr>
      </w:pPr>
      <w:bookmarkStart w:id="3" w:name="_Toc436218907"/>
      <w:r w:rsidRPr="005B1EA4">
        <w:rPr>
          <w:rStyle w:val="Strong"/>
          <w:bCs w:val="0"/>
          <w:color w:val="31849B"/>
          <w:sz w:val="24"/>
          <w:szCs w:val="24"/>
          <w:lang w:val="en-US"/>
        </w:rPr>
        <w:lastRenderedPageBreak/>
        <w:t>Inquiries</w:t>
      </w:r>
      <w:bookmarkEnd w:id="3"/>
    </w:p>
    <w:p w14:paraId="003E5BA6" w14:textId="77777777" w:rsidR="00302A92" w:rsidRPr="00302A92" w:rsidRDefault="00302A92" w:rsidP="00302A92">
      <w:pPr>
        <w:pStyle w:val="UtilComBodyText"/>
        <w:rPr>
          <w:bCs/>
          <w:lang w:val="en-US"/>
        </w:rPr>
      </w:pPr>
      <w:r w:rsidRPr="00302A92">
        <w:rPr>
          <w:bCs/>
          <w:lang w:val="en-US"/>
        </w:rPr>
        <w:t>Any questions regarding this report should be directed in the first instance to the Utilities Commission at any of the following:</w:t>
      </w:r>
    </w:p>
    <w:p w14:paraId="734E9358" w14:textId="77777777" w:rsidR="00302A92" w:rsidRPr="00302A92" w:rsidRDefault="00302A92" w:rsidP="00302A92">
      <w:pPr>
        <w:pStyle w:val="UtilComBodyText"/>
        <w:rPr>
          <w:bCs/>
          <w:lang w:val="en-US"/>
        </w:rPr>
      </w:pPr>
    </w:p>
    <w:p w14:paraId="28777EF9" w14:textId="77777777" w:rsidR="00302A92" w:rsidRPr="00302A92" w:rsidRDefault="00302A92" w:rsidP="00302A92">
      <w:pPr>
        <w:pStyle w:val="UtilComBodyText"/>
        <w:rPr>
          <w:bCs/>
          <w:lang w:val="en-US"/>
        </w:rPr>
      </w:pPr>
      <w:r w:rsidRPr="00302A92">
        <w:rPr>
          <w:bCs/>
          <w:lang w:val="en-US"/>
        </w:rPr>
        <w:t>Utilities Commission</w:t>
      </w:r>
      <w:r w:rsidRPr="00302A92">
        <w:rPr>
          <w:bCs/>
          <w:lang w:val="en-US"/>
        </w:rPr>
        <w:br/>
        <w:t>GPO Box 915</w:t>
      </w:r>
      <w:r w:rsidRPr="00302A92">
        <w:rPr>
          <w:bCs/>
          <w:lang w:val="en-US"/>
        </w:rPr>
        <w:br/>
        <w:t>DARWIN NT 0801</w:t>
      </w:r>
    </w:p>
    <w:p w14:paraId="0B4EDCD1" w14:textId="77777777" w:rsidR="00302A92" w:rsidRPr="00302A92" w:rsidRDefault="00302A92" w:rsidP="00302A92">
      <w:pPr>
        <w:pStyle w:val="UtilComBodyText"/>
        <w:rPr>
          <w:lang w:val="en-US"/>
        </w:rPr>
      </w:pPr>
    </w:p>
    <w:p w14:paraId="6B7A06E7" w14:textId="77777777" w:rsidR="00302A92" w:rsidRPr="00302A92" w:rsidRDefault="00302A92" w:rsidP="00302A92">
      <w:pPr>
        <w:pStyle w:val="UtilComBodyText"/>
        <w:rPr>
          <w:lang w:val="en-US"/>
        </w:rPr>
      </w:pPr>
      <w:r w:rsidRPr="00302A92">
        <w:rPr>
          <w:lang w:val="en-US"/>
        </w:rPr>
        <w:t>Telephone: +61 8 8999 5480</w:t>
      </w:r>
    </w:p>
    <w:p w14:paraId="4367C8F9" w14:textId="77777777" w:rsidR="00302A92" w:rsidRDefault="00302A92" w:rsidP="00302A92">
      <w:pPr>
        <w:pStyle w:val="UtilComBodyText"/>
      </w:pPr>
      <w:r w:rsidRPr="00302A92">
        <w:rPr>
          <w:lang w:val="en-US"/>
        </w:rPr>
        <w:t xml:space="preserve">Email: </w:t>
      </w:r>
      <w:hyperlink r:id="rId17" w:history="1">
        <w:r>
          <w:rPr>
            <w:rStyle w:val="Hyperlink"/>
          </w:rPr>
          <w:t>utilities.commission@nt.gov.au</w:t>
        </w:r>
      </w:hyperlink>
    </w:p>
    <w:p w14:paraId="7F95D870" w14:textId="77777777" w:rsidR="00820643" w:rsidRDefault="00820643" w:rsidP="00984DBC">
      <w:pPr>
        <w:sectPr w:rsidR="00820643" w:rsidSect="00984DBC">
          <w:pgSz w:w="11907" w:h="16840" w:code="9"/>
          <w:pgMar w:top="1134" w:right="1134" w:bottom="1134" w:left="1701" w:header="567" w:footer="567" w:gutter="0"/>
          <w:pgNumType w:fmt="lowerRoman" w:start="1"/>
          <w:cols w:space="720"/>
          <w:titlePg/>
        </w:sectPr>
      </w:pPr>
    </w:p>
    <w:p w14:paraId="329D34AD" w14:textId="77777777" w:rsidR="00DB3FE7" w:rsidRDefault="00564813" w:rsidP="009F29A1">
      <w:pPr>
        <w:pStyle w:val="NumberLevel1"/>
        <w:tabs>
          <w:tab w:val="num" w:pos="2559"/>
        </w:tabs>
        <w:spacing w:before="500"/>
        <w:ind w:left="431" w:hanging="431"/>
      </w:pPr>
      <w:bookmarkStart w:id="4" w:name="_Toc442328898"/>
      <w:r>
        <w:lastRenderedPageBreak/>
        <w:t>CHAPTER 1</w:t>
      </w:r>
    </w:p>
    <w:p w14:paraId="53FAB194" w14:textId="77777777" w:rsidR="00E75ABB" w:rsidRPr="003E3A6B" w:rsidRDefault="00F0638A" w:rsidP="002358BB">
      <w:pPr>
        <w:pStyle w:val="UtilComHeading2"/>
        <w:rPr>
          <w:color w:val="31849B" w:themeColor="accent5" w:themeShade="BF"/>
          <w:lang w:eastAsia="en-AU"/>
        </w:rPr>
      </w:pPr>
      <w:bookmarkStart w:id="5" w:name="_Toc473546897"/>
      <w:r w:rsidRPr="003E3A6B">
        <w:rPr>
          <w:color w:val="31849B" w:themeColor="accent5" w:themeShade="BF"/>
          <w:lang w:eastAsia="en-AU"/>
        </w:rPr>
        <w:t>Introduction</w:t>
      </w:r>
      <w:bookmarkEnd w:id="4"/>
      <w:bookmarkEnd w:id="5"/>
    </w:p>
    <w:p w14:paraId="09A6C95D" w14:textId="684E6968" w:rsidR="007A2770" w:rsidRDefault="007A2770" w:rsidP="00991851">
      <w:pPr>
        <w:pStyle w:val="ListParagraph"/>
        <w:numPr>
          <w:ilvl w:val="1"/>
          <w:numId w:val="10"/>
        </w:numPr>
        <w:spacing w:before="200" w:after="0"/>
        <w:ind w:left="567" w:hanging="567"/>
        <w:contextualSpacing w:val="0"/>
      </w:pPr>
      <w:bookmarkStart w:id="6" w:name="_Toc442328899"/>
      <w:r>
        <w:t xml:space="preserve">The Utilities Commission of the Northern Territory (the Commission) is an independent statutory authority responsible for the economic regulation of the electricity supply industry, which is governed by the </w:t>
      </w:r>
      <w:r w:rsidRPr="003F6FB3">
        <w:rPr>
          <w:i/>
        </w:rPr>
        <w:t>Electricity Reform Act</w:t>
      </w:r>
      <w:r>
        <w:t xml:space="preserve">, </w:t>
      </w:r>
      <w:r w:rsidRPr="003F6FB3">
        <w:rPr>
          <w:i/>
        </w:rPr>
        <w:t>Utilities Commission Act</w:t>
      </w:r>
      <w:r>
        <w:t xml:space="preserve">, and other associated legislation. The Commission is also responsible for the economic regulation of the water and sewerage service industries, which is governed by the </w:t>
      </w:r>
      <w:r w:rsidRPr="003F6FB3">
        <w:rPr>
          <w:i/>
        </w:rPr>
        <w:t>Water Supply and Sewerage Services Act</w:t>
      </w:r>
      <w:r>
        <w:t xml:space="preserve"> and other associated legislation. </w:t>
      </w:r>
    </w:p>
    <w:p w14:paraId="537B67B6" w14:textId="77777777" w:rsidR="00DB3FE7" w:rsidRDefault="004A3B20" w:rsidP="00991851">
      <w:pPr>
        <w:pStyle w:val="ListParagraph"/>
        <w:numPr>
          <w:ilvl w:val="1"/>
          <w:numId w:val="10"/>
        </w:numPr>
        <w:spacing w:before="200" w:after="0"/>
        <w:ind w:left="567" w:hanging="567"/>
        <w:contextualSpacing w:val="0"/>
      </w:pPr>
      <w:r w:rsidRPr="00564813">
        <w:t>Section</w:t>
      </w:r>
      <w:r>
        <w:t xml:space="preserve"> 14(3) of the </w:t>
      </w:r>
      <w:r w:rsidRPr="00564813">
        <w:rPr>
          <w:i/>
        </w:rPr>
        <w:t>Electricity Reform Act</w:t>
      </w:r>
      <w:r>
        <w:t xml:space="preserve"> provides that a </w:t>
      </w:r>
      <w:proofErr w:type="spellStart"/>
      <w:r>
        <w:t>licence</w:t>
      </w:r>
      <w:proofErr w:type="spellEnd"/>
      <w:r>
        <w:t xml:space="preserve"> is required for:</w:t>
      </w:r>
      <w:bookmarkEnd w:id="6"/>
    </w:p>
    <w:p w14:paraId="40468F01" w14:textId="77777777" w:rsidR="004A3B20" w:rsidRDefault="004A3B20" w:rsidP="00991851">
      <w:pPr>
        <w:pStyle w:val="ListParagraph"/>
        <w:numPr>
          <w:ilvl w:val="0"/>
          <w:numId w:val="11"/>
        </w:numPr>
        <w:ind w:left="1077" w:hanging="357"/>
        <w:contextualSpacing w:val="0"/>
      </w:pPr>
      <w:bookmarkStart w:id="7" w:name="_Toc442328900"/>
      <w:r>
        <w:t>generation of electricity;</w:t>
      </w:r>
      <w:bookmarkEnd w:id="7"/>
    </w:p>
    <w:p w14:paraId="6DE8E3B1" w14:textId="77777777" w:rsidR="004A3B20" w:rsidRDefault="004A3B20" w:rsidP="00991851">
      <w:pPr>
        <w:pStyle w:val="ListParagraph"/>
        <w:numPr>
          <w:ilvl w:val="0"/>
          <w:numId w:val="11"/>
        </w:numPr>
        <w:ind w:left="1077" w:hanging="357"/>
        <w:contextualSpacing w:val="0"/>
      </w:pPr>
      <w:bookmarkStart w:id="8" w:name="_Toc442328901"/>
      <w:r>
        <w:t>owning or operating an electricity network;</w:t>
      </w:r>
      <w:bookmarkEnd w:id="8"/>
    </w:p>
    <w:p w14:paraId="1A73DE56" w14:textId="77777777" w:rsidR="004A3B20" w:rsidRDefault="004A3B20" w:rsidP="00991851">
      <w:pPr>
        <w:pStyle w:val="ListParagraph"/>
        <w:numPr>
          <w:ilvl w:val="0"/>
          <w:numId w:val="11"/>
        </w:numPr>
        <w:ind w:left="1077" w:hanging="357"/>
        <w:contextualSpacing w:val="0"/>
      </w:pPr>
      <w:bookmarkStart w:id="9" w:name="_Toc442328902"/>
      <w:r>
        <w:t>selling electricity;</w:t>
      </w:r>
      <w:bookmarkEnd w:id="9"/>
    </w:p>
    <w:p w14:paraId="6A254568" w14:textId="77777777" w:rsidR="004A3B20" w:rsidRDefault="004A3B20" w:rsidP="00991851">
      <w:pPr>
        <w:pStyle w:val="ListParagraph"/>
        <w:numPr>
          <w:ilvl w:val="0"/>
          <w:numId w:val="11"/>
        </w:numPr>
        <w:ind w:left="1077" w:hanging="357"/>
        <w:contextualSpacing w:val="0"/>
      </w:pPr>
      <w:bookmarkStart w:id="10" w:name="_Toc442328903"/>
      <w:r>
        <w:t>system control over a power system; or</w:t>
      </w:r>
      <w:bookmarkEnd w:id="10"/>
    </w:p>
    <w:p w14:paraId="32E4A184" w14:textId="77777777" w:rsidR="004A3B20" w:rsidRPr="004A3B20" w:rsidRDefault="004A3B20" w:rsidP="00991851">
      <w:pPr>
        <w:pStyle w:val="ListParagraph"/>
        <w:numPr>
          <w:ilvl w:val="0"/>
          <w:numId w:val="11"/>
        </w:numPr>
        <w:ind w:left="1077" w:hanging="357"/>
        <w:contextualSpacing w:val="0"/>
      </w:pPr>
      <w:bookmarkStart w:id="11" w:name="_Toc442328904"/>
      <w:proofErr w:type="gramStart"/>
      <w:r>
        <w:t>other</w:t>
      </w:r>
      <w:proofErr w:type="gramEnd"/>
      <w:r>
        <w:t xml:space="preserve"> operations for which a </w:t>
      </w:r>
      <w:proofErr w:type="spellStart"/>
      <w:r>
        <w:t>licence</w:t>
      </w:r>
      <w:proofErr w:type="spellEnd"/>
      <w:r>
        <w:t xml:space="preserve"> is required by the Regulations.</w:t>
      </w:r>
      <w:bookmarkEnd w:id="11"/>
    </w:p>
    <w:p w14:paraId="08150CAA" w14:textId="1FC6792C" w:rsidR="00840D26" w:rsidRDefault="004A3B20" w:rsidP="00991851">
      <w:pPr>
        <w:pStyle w:val="ListParagraph"/>
        <w:numPr>
          <w:ilvl w:val="1"/>
          <w:numId w:val="10"/>
        </w:numPr>
        <w:spacing w:before="200" w:after="200"/>
        <w:ind w:left="567" w:hanging="567"/>
        <w:contextualSpacing w:val="0"/>
      </w:pPr>
      <w:bookmarkStart w:id="12" w:name="_Toc442328905"/>
      <w:r>
        <w:t xml:space="preserve">A condition of the </w:t>
      </w:r>
      <w:proofErr w:type="spellStart"/>
      <w:r w:rsidR="00F10D96">
        <w:t>licences</w:t>
      </w:r>
      <w:proofErr w:type="spellEnd"/>
      <w:r>
        <w:t xml:space="preserve"> issued by the Commission is for </w:t>
      </w:r>
      <w:r w:rsidR="00705CCC">
        <w:t xml:space="preserve">each </w:t>
      </w:r>
      <w:r w:rsidR="00302FDB">
        <w:t>licensee</w:t>
      </w:r>
      <w:r w:rsidR="00484493">
        <w:t xml:space="preserve"> to submit a </w:t>
      </w:r>
      <w:r w:rsidR="00C53700">
        <w:t>Compliance Report</w:t>
      </w:r>
      <w:r w:rsidR="00FB2743">
        <w:t>,</w:t>
      </w:r>
      <w:r w:rsidR="00484493">
        <w:t xml:space="preserve"> </w:t>
      </w:r>
      <w:r w:rsidR="00C5504F">
        <w:t>at reasonable intervals determined by the Commission</w:t>
      </w:r>
      <w:r w:rsidR="00FB2743">
        <w:t>,</w:t>
      </w:r>
      <w:r w:rsidR="00C5504F">
        <w:t xml:space="preserve"> </w:t>
      </w:r>
      <w:r w:rsidR="00484493">
        <w:t>describing the measures taken by the licensee to ensure compliance with its</w:t>
      </w:r>
      <w:r w:rsidR="00705CCC">
        <w:t xml:space="preserve"> regulatory </w:t>
      </w:r>
      <w:r w:rsidR="00484493">
        <w:t>obligations</w:t>
      </w:r>
      <w:r w:rsidR="00705CCC">
        <w:t xml:space="preserve"> under the </w:t>
      </w:r>
      <w:proofErr w:type="spellStart"/>
      <w:r w:rsidR="00705CCC">
        <w:t>licence</w:t>
      </w:r>
      <w:proofErr w:type="spellEnd"/>
      <w:r w:rsidR="00705CCC">
        <w:t xml:space="preserve"> or by applicable legislation</w:t>
      </w:r>
      <w:r w:rsidR="00484493">
        <w:t xml:space="preserve">. The </w:t>
      </w:r>
      <w:r w:rsidR="00C53700">
        <w:t>Compliance Report</w:t>
      </w:r>
      <w:r w:rsidR="00484493">
        <w:t xml:space="preserve"> and the Commission’s assessment of compliance may be made publicly available by the Commission</w:t>
      </w:r>
      <w:r w:rsidR="00910E6C">
        <w:rPr>
          <w:rStyle w:val="FootnoteReference"/>
        </w:rPr>
        <w:footnoteReference w:id="2"/>
      </w:r>
      <w:r w:rsidR="00484493">
        <w:t>.</w:t>
      </w:r>
      <w:bookmarkEnd w:id="12"/>
    </w:p>
    <w:p w14:paraId="2A9382B7" w14:textId="77777777" w:rsidR="005077EC" w:rsidRDefault="005077EC" w:rsidP="00991851">
      <w:pPr>
        <w:pStyle w:val="ListParagraph"/>
        <w:numPr>
          <w:ilvl w:val="1"/>
          <w:numId w:val="10"/>
        </w:numPr>
        <w:spacing w:before="200" w:after="200"/>
        <w:ind w:left="567" w:hanging="567"/>
        <w:contextualSpacing w:val="0"/>
      </w:pPr>
      <w:bookmarkStart w:id="13" w:name="_Toc442328906"/>
      <w:r>
        <w:t>In September 2015, following stakeholder consultation on the draft Guidelines, the Commission issued final Guidelines to supplement the Statement of Approach on Compliance.</w:t>
      </w:r>
      <w:r>
        <w:rPr>
          <w:rStyle w:val="FootnoteReference"/>
        </w:rPr>
        <w:footnoteReference w:id="3"/>
      </w:r>
      <w:r w:rsidR="000B3305">
        <w:t xml:space="preserve"> The Guidelines and Statement of Approach were amalgamated and the Commission published final Compliance Framework and Reporting Guidelines in February 2016. </w:t>
      </w:r>
    </w:p>
    <w:p w14:paraId="780A7FB8" w14:textId="77777777" w:rsidR="005077EC" w:rsidRDefault="000B3305" w:rsidP="00991851">
      <w:pPr>
        <w:pStyle w:val="ListParagraph"/>
        <w:numPr>
          <w:ilvl w:val="1"/>
          <w:numId w:val="10"/>
        </w:numPr>
        <w:spacing w:before="200" w:after="200"/>
        <w:ind w:left="567" w:hanging="567"/>
        <w:contextualSpacing w:val="0"/>
      </w:pPr>
      <w:r>
        <w:t>The Guidelines confirm</w:t>
      </w:r>
      <w:r w:rsidR="005077EC">
        <w:t xml:space="preserve"> the condition of </w:t>
      </w:r>
      <w:proofErr w:type="spellStart"/>
      <w:r w:rsidR="005077EC">
        <w:t>licences</w:t>
      </w:r>
      <w:proofErr w:type="spellEnd"/>
      <w:r w:rsidR="005077EC">
        <w:t xml:space="preserve"> to provide a Compliance Report to the Commission at reasonable intervals determined by the Commission.</w:t>
      </w:r>
      <w:r w:rsidR="005077EC">
        <w:rPr>
          <w:rStyle w:val="FootnoteReference"/>
        </w:rPr>
        <w:footnoteReference w:id="4"/>
      </w:r>
      <w:r w:rsidR="005077EC">
        <w:t xml:space="preserve"> </w:t>
      </w:r>
    </w:p>
    <w:p w14:paraId="5BB157F2" w14:textId="77777777" w:rsidR="00E97E96" w:rsidRDefault="007A2770" w:rsidP="00E97E96">
      <w:pPr>
        <w:pStyle w:val="ListParagraph"/>
        <w:numPr>
          <w:ilvl w:val="1"/>
          <w:numId w:val="10"/>
        </w:numPr>
        <w:spacing w:before="200" w:after="200"/>
        <w:ind w:left="567" w:hanging="567"/>
        <w:contextualSpacing w:val="0"/>
      </w:pPr>
      <w:r>
        <w:t xml:space="preserve">The Commission also noted in the Guidelines that: </w:t>
      </w:r>
    </w:p>
    <w:p w14:paraId="42851C70" w14:textId="3A22E83A" w:rsidR="007A2770" w:rsidRDefault="00FD6480" w:rsidP="00E97E96">
      <w:pPr>
        <w:pStyle w:val="ListParagraph"/>
        <w:numPr>
          <w:ilvl w:val="0"/>
          <w:numId w:val="27"/>
        </w:numPr>
        <w:spacing w:before="200" w:after="200"/>
        <w:ind w:left="993" w:hanging="426"/>
        <w:contextualSpacing w:val="0"/>
      </w:pPr>
      <w:r>
        <w:t xml:space="preserve">the </w:t>
      </w:r>
      <w:r w:rsidR="007A2770">
        <w:t xml:space="preserve">annual compliance reporting and declaration requirements in the Guidelines do not apply to Independent Power Producer (IPP) </w:t>
      </w:r>
      <w:proofErr w:type="spellStart"/>
      <w:r w:rsidR="007A2770">
        <w:t>licence</w:t>
      </w:r>
      <w:proofErr w:type="spellEnd"/>
      <w:r w:rsidR="007A2770">
        <w:t xml:space="preserve"> holders; and</w:t>
      </w:r>
    </w:p>
    <w:p w14:paraId="626F3D4E" w14:textId="1EAD2F72" w:rsidR="007A2770" w:rsidRDefault="00FD6480" w:rsidP="00E97E96">
      <w:pPr>
        <w:pStyle w:val="ListParagraph"/>
        <w:numPr>
          <w:ilvl w:val="0"/>
          <w:numId w:val="27"/>
        </w:numPr>
        <w:spacing w:before="200" w:after="200"/>
        <w:ind w:left="993" w:hanging="426"/>
        <w:contextualSpacing w:val="0"/>
      </w:pPr>
      <w:r>
        <w:t xml:space="preserve">the </w:t>
      </w:r>
      <w:r w:rsidR="007A2770">
        <w:t xml:space="preserve">principles and annual compliance reporting and declaration requirements of the Guidelines apply to the water and sewerage service industries until such time as the Commission develops a fully formed Compliance Guideline and Statement of Approach for the water and sewerage sector. </w:t>
      </w:r>
    </w:p>
    <w:p w14:paraId="45D29C7F" w14:textId="6DAFDFA4" w:rsidR="005077EC" w:rsidRDefault="005077EC" w:rsidP="00991851">
      <w:pPr>
        <w:pStyle w:val="ListParagraph"/>
        <w:numPr>
          <w:ilvl w:val="1"/>
          <w:numId w:val="10"/>
        </w:numPr>
        <w:spacing w:before="200" w:after="0"/>
        <w:ind w:left="567" w:hanging="567"/>
        <w:contextualSpacing w:val="0"/>
      </w:pPr>
      <w:r>
        <w:lastRenderedPageBreak/>
        <w:t xml:space="preserve">The </w:t>
      </w:r>
      <w:r w:rsidR="00D30E30">
        <w:t xml:space="preserve">Commission </w:t>
      </w:r>
      <w:r>
        <w:t>require</w:t>
      </w:r>
      <w:r w:rsidR="00D30E30">
        <w:t>s</w:t>
      </w:r>
      <w:r>
        <w:t xml:space="preserve"> an annual Compliance Report </w:t>
      </w:r>
      <w:r w:rsidR="00D30E30">
        <w:t xml:space="preserve">from </w:t>
      </w:r>
      <w:proofErr w:type="spellStart"/>
      <w:r w:rsidR="00D30E30">
        <w:t>licence</w:t>
      </w:r>
      <w:proofErr w:type="spellEnd"/>
      <w:r w:rsidR="00D30E30">
        <w:t xml:space="preserve"> holders by</w:t>
      </w:r>
      <w:r>
        <w:t xml:space="preserve"> 31 August with a declaration of responsibility from the Board of the licensee:</w:t>
      </w:r>
    </w:p>
    <w:p w14:paraId="3BCA8848" w14:textId="77777777" w:rsidR="005077EC" w:rsidRDefault="005077EC" w:rsidP="007B4D83">
      <w:pPr>
        <w:pStyle w:val="ListParagraph"/>
        <w:numPr>
          <w:ilvl w:val="0"/>
          <w:numId w:val="28"/>
        </w:numPr>
        <w:spacing w:before="200" w:after="200"/>
        <w:ind w:left="993" w:hanging="426"/>
        <w:contextualSpacing w:val="0"/>
      </w:pPr>
      <w:r w:rsidRPr="00663A05">
        <w:t xml:space="preserve">that the licensee maintains an appropriate compliance framework that complies with the requirements of its </w:t>
      </w:r>
      <w:proofErr w:type="spellStart"/>
      <w:r w:rsidRPr="00663A05">
        <w:t>licence</w:t>
      </w:r>
      <w:proofErr w:type="spellEnd"/>
      <w:r w:rsidRPr="00663A05">
        <w:t xml:space="preserve"> as set out in </w:t>
      </w:r>
      <w:r>
        <w:t>the Compliance Framework and Reporting Guidelines;</w:t>
      </w:r>
      <w:r w:rsidRPr="00663A05">
        <w:t xml:space="preserve"> and</w:t>
      </w:r>
    </w:p>
    <w:p w14:paraId="63DB0B52" w14:textId="77777777" w:rsidR="005077EC" w:rsidRDefault="005077EC" w:rsidP="007B4D83">
      <w:pPr>
        <w:pStyle w:val="ListParagraph"/>
        <w:numPr>
          <w:ilvl w:val="0"/>
          <w:numId w:val="28"/>
        </w:numPr>
        <w:spacing w:before="200" w:after="200"/>
        <w:ind w:left="993" w:hanging="426"/>
        <w:contextualSpacing w:val="0"/>
      </w:pPr>
      <w:proofErr w:type="gramStart"/>
      <w:r>
        <w:t>the</w:t>
      </w:r>
      <w:proofErr w:type="gramEnd"/>
      <w:r>
        <w:t xml:space="preserve"> licensee has complied with all </w:t>
      </w:r>
      <w:proofErr w:type="spellStart"/>
      <w:r>
        <w:t>licence</w:t>
      </w:r>
      <w:proofErr w:type="spellEnd"/>
      <w:r>
        <w:t xml:space="preserve"> obligations during the immediately preceding financial year, with the exception of those non-compliances listed in the Compliance Report.</w:t>
      </w:r>
      <w:r>
        <w:rPr>
          <w:rStyle w:val="FootnoteReference"/>
        </w:rPr>
        <w:footnoteReference w:id="5"/>
      </w:r>
    </w:p>
    <w:p w14:paraId="654E2878" w14:textId="4112A718" w:rsidR="00D1111A" w:rsidRDefault="00D1111A" w:rsidP="00991851">
      <w:pPr>
        <w:pStyle w:val="ListParagraph"/>
        <w:numPr>
          <w:ilvl w:val="1"/>
          <w:numId w:val="10"/>
        </w:numPr>
        <w:spacing w:before="200" w:after="200"/>
        <w:ind w:left="567" w:hanging="567"/>
        <w:contextualSpacing w:val="0"/>
      </w:pPr>
      <w:r>
        <w:t xml:space="preserve">For 2015-16, licensees were required to submit reports by 31 August 2016. </w:t>
      </w:r>
      <w:r w:rsidR="00AF3B7C">
        <w:t xml:space="preserve">This </w:t>
      </w:r>
      <w:r w:rsidR="007B4D83">
        <w:t>wa</w:t>
      </w:r>
      <w:r w:rsidR="00AF3B7C">
        <w:t>s the second year licensees are required to submit a compliance report</w:t>
      </w:r>
      <w:r w:rsidR="000A7671">
        <w:t>.</w:t>
      </w:r>
      <w:r w:rsidR="00AF3B7C">
        <w:t xml:space="preserve"> </w:t>
      </w:r>
    </w:p>
    <w:p w14:paraId="2451DDC2" w14:textId="77777777" w:rsidR="00A52B16" w:rsidRPr="009F29A1" w:rsidRDefault="00A52B16" w:rsidP="009F29A1">
      <w:pPr>
        <w:pStyle w:val="UtilComHeading2"/>
        <w:rPr>
          <w:color w:val="31849B" w:themeColor="accent5" w:themeShade="BF"/>
          <w:lang w:eastAsia="en-AU"/>
        </w:rPr>
      </w:pPr>
      <w:bookmarkStart w:id="14" w:name="_Toc473546898"/>
      <w:bookmarkStart w:id="15" w:name="_Toc442328911"/>
      <w:bookmarkEnd w:id="13"/>
      <w:r w:rsidRPr="009F29A1">
        <w:rPr>
          <w:color w:val="31849B" w:themeColor="accent5" w:themeShade="BF"/>
          <w:lang w:eastAsia="en-AU"/>
        </w:rPr>
        <w:t>Commission’s Approach to Compliance</w:t>
      </w:r>
      <w:bookmarkEnd w:id="14"/>
    </w:p>
    <w:p w14:paraId="73B5208F" w14:textId="77777777" w:rsidR="00DB3FE7" w:rsidRDefault="00A52B16" w:rsidP="00991851">
      <w:pPr>
        <w:pStyle w:val="ListParagraph"/>
        <w:numPr>
          <w:ilvl w:val="1"/>
          <w:numId w:val="10"/>
        </w:numPr>
        <w:spacing w:before="200" w:after="0"/>
        <w:ind w:left="567" w:hanging="567"/>
        <w:contextualSpacing w:val="0"/>
      </w:pPr>
      <w:r>
        <w:t>The Commission’s compliance monitoring program consists of three main elements:</w:t>
      </w:r>
    </w:p>
    <w:p w14:paraId="06AF10ED" w14:textId="77777777" w:rsidR="00A52B16" w:rsidRDefault="00A52B16" w:rsidP="00A52B16">
      <w:pPr>
        <w:pStyle w:val="UtilComBulletText"/>
        <w:spacing w:line="300" w:lineRule="atLeast"/>
      </w:pPr>
      <w:r>
        <w:t>risk identification and risk assessment;</w:t>
      </w:r>
    </w:p>
    <w:p w14:paraId="05291B0F" w14:textId="77777777" w:rsidR="00A52B16" w:rsidRDefault="00A52B16" w:rsidP="00A52B16">
      <w:pPr>
        <w:pStyle w:val="UtilComBulletText"/>
        <w:spacing w:line="300" w:lineRule="atLeast"/>
      </w:pPr>
      <w:r>
        <w:t xml:space="preserve">ensuring compliance; and </w:t>
      </w:r>
    </w:p>
    <w:p w14:paraId="14FFC274" w14:textId="77777777" w:rsidR="00A52B16" w:rsidRDefault="00A52B16" w:rsidP="00A52B16">
      <w:pPr>
        <w:pStyle w:val="UtilComBulletText"/>
        <w:spacing w:line="300" w:lineRule="atLeast"/>
      </w:pPr>
      <w:proofErr w:type="gramStart"/>
      <w:r>
        <w:t>enforcement</w:t>
      </w:r>
      <w:proofErr w:type="gramEnd"/>
      <w:r>
        <w:t>.</w:t>
      </w:r>
    </w:p>
    <w:p w14:paraId="32D391DE" w14:textId="77777777" w:rsidR="00A52B16" w:rsidRDefault="00A52B16" w:rsidP="00991851">
      <w:pPr>
        <w:pStyle w:val="ListParagraph"/>
        <w:numPr>
          <w:ilvl w:val="1"/>
          <w:numId w:val="10"/>
        </w:numPr>
        <w:spacing w:before="200" w:after="200"/>
        <w:ind w:left="567" w:hanging="567"/>
        <w:contextualSpacing w:val="0"/>
        <w:rPr>
          <w:rFonts w:cs="Arial"/>
          <w:szCs w:val="22"/>
        </w:rPr>
      </w:pPr>
      <w:r>
        <w:rPr>
          <w:rFonts w:cs="Arial"/>
          <w:szCs w:val="22"/>
        </w:rPr>
        <w:t xml:space="preserve">Regulated entities must systematically identify </w:t>
      </w:r>
      <w:r>
        <w:t xml:space="preserve">compliance obligations and the way in which they impact on activities, products and services, which may include a register of compliance obligations (for example, a Compliance Register). The </w:t>
      </w:r>
      <w:r>
        <w:rPr>
          <w:rFonts w:cs="Arial"/>
          <w:szCs w:val="22"/>
        </w:rPr>
        <w:t xml:space="preserve">identification and ranking of risks is the responsibility of the </w:t>
      </w:r>
      <w:r w:rsidR="004A56F0">
        <w:rPr>
          <w:rFonts w:cs="Arial"/>
          <w:szCs w:val="22"/>
        </w:rPr>
        <w:t>licensee</w:t>
      </w:r>
      <w:r>
        <w:rPr>
          <w:rFonts w:cs="Arial"/>
          <w:szCs w:val="22"/>
        </w:rPr>
        <w:t>.</w:t>
      </w:r>
    </w:p>
    <w:p w14:paraId="798FAE30" w14:textId="77777777" w:rsidR="00A52B16" w:rsidRDefault="004A56F0" w:rsidP="00991851">
      <w:pPr>
        <w:pStyle w:val="ListParagraph"/>
        <w:numPr>
          <w:ilvl w:val="1"/>
          <w:numId w:val="10"/>
        </w:numPr>
        <w:spacing w:before="200" w:after="200"/>
        <w:ind w:left="567" w:hanging="567"/>
        <w:contextualSpacing w:val="0"/>
      </w:pPr>
      <w:r>
        <w:t xml:space="preserve">A </w:t>
      </w:r>
      <w:r w:rsidR="00A52B16">
        <w:t xml:space="preserve">licensee is to report any material compliance breaches to the Commission as soon as is reasonably possible after the breach is identified. </w:t>
      </w:r>
    </w:p>
    <w:p w14:paraId="181A5EA7" w14:textId="77777777" w:rsidR="00DB3FE7" w:rsidRDefault="004A56F0" w:rsidP="00991851">
      <w:pPr>
        <w:pStyle w:val="ListParagraph"/>
        <w:numPr>
          <w:ilvl w:val="1"/>
          <w:numId w:val="10"/>
        </w:numPr>
        <w:spacing w:before="200" w:after="0"/>
        <w:ind w:left="567" w:hanging="567"/>
        <w:contextualSpacing w:val="0"/>
      </w:pPr>
      <w:r>
        <w:t xml:space="preserve">The Commission considers a breach to be ‘material’ when </w:t>
      </w:r>
      <w:r w:rsidR="00705CCC">
        <w:t xml:space="preserve">it </w:t>
      </w:r>
      <w:r>
        <w:t>has the following attributes:</w:t>
      </w:r>
    </w:p>
    <w:p w14:paraId="46ADDFD8" w14:textId="77777777" w:rsidR="00DB3FE7" w:rsidRDefault="004A56F0" w:rsidP="00DB3FE7">
      <w:pPr>
        <w:pStyle w:val="UtilComBulletText"/>
        <w:spacing w:line="300" w:lineRule="atLeast"/>
      </w:pPr>
      <w:r>
        <w:t>incident adversely affects customers</w:t>
      </w:r>
      <w:r w:rsidR="00156763">
        <w:t xml:space="preserve"> (financially and/or service provision)</w:t>
      </w:r>
      <w:r>
        <w:t>;</w:t>
      </w:r>
    </w:p>
    <w:p w14:paraId="17713DA2" w14:textId="77777777" w:rsidR="00DB3FE7" w:rsidRDefault="004A56F0" w:rsidP="00DB3FE7">
      <w:pPr>
        <w:pStyle w:val="UtilComBulletText"/>
        <w:spacing w:line="300" w:lineRule="atLeast"/>
      </w:pPr>
      <w:r>
        <w:t xml:space="preserve">a significant number of customers are affected; </w:t>
      </w:r>
    </w:p>
    <w:p w14:paraId="6E56335C" w14:textId="77777777" w:rsidR="00DB3FE7" w:rsidRDefault="004A56F0" w:rsidP="00DB3FE7">
      <w:pPr>
        <w:pStyle w:val="UtilComBulletText"/>
        <w:spacing w:line="300" w:lineRule="atLeast"/>
      </w:pPr>
      <w:r>
        <w:t xml:space="preserve">regulated entity’s ability to provide services is compromised; or </w:t>
      </w:r>
    </w:p>
    <w:p w14:paraId="7BFD4382" w14:textId="77777777" w:rsidR="00DB3FE7" w:rsidRDefault="004A56F0" w:rsidP="00DB3FE7">
      <w:pPr>
        <w:pStyle w:val="UtilComBulletText"/>
        <w:spacing w:line="300" w:lineRule="atLeast"/>
      </w:pPr>
      <w:proofErr w:type="gramStart"/>
      <w:r>
        <w:t>public</w:t>
      </w:r>
      <w:proofErr w:type="gramEnd"/>
      <w:r>
        <w:t xml:space="preserve"> health and safety is threatened.</w:t>
      </w:r>
      <w:r w:rsidR="00872669">
        <w:rPr>
          <w:rStyle w:val="FootnoteReference"/>
        </w:rPr>
        <w:footnoteReference w:id="6"/>
      </w:r>
    </w:p>
    <w:p w14:paraId="3E13D26E" w14:textId="77777777" w:rsidR="00DB3FE7" w:rsidRDefault="004A56F0" w:rsidP="00991851">
      <w:pPr>
        <w:pStyle w:val="ListParagraph"/>
        <w:numPr>
          <w:ilvl w:val="1"/>
          <w:numId w:val="10"/>
        </w:numPr>
        <w:spacing w:before="200" w:after="200"/>
        <w:ind w:left="567" w:hanging="567"/>
        <w:contextualSpacing w:val="0"/>
      </w:pPr>
      <w:r>
        <w:t xml:space="preserve">Should a licensee be in doubt as to whether </w:t>
      </w:r>
      <w:r w:rsidR="00705CCC">
        <w:t xml:space="preserve">or not </w:t>
      </w:r>
      <w:r>
        <w:t xml:space="preserve">a breach is material, it would be advisable and prudent to notify the Commission. Licensees must also consider the impact of repeated individual non-material breaches and </w:t>
      </w:r>
      <w:r w:rsidR="003D7D27">
        <w:t>the possibility that</w:t>
      </w:r>
      <w:r>
        <w:t>, in totality, these lead to a material breach.</w:t>
      </w:r>
      <w:r w:rsidR="00872669">
        <w:rPr>
          <w:rStyle w:val="FootnoteReference"/>
        </w:rPr>
        <w:footnoteReference w:id="7"/>
      </w:r>
    </w:p>
    <w:p w14:paraId="085FC827" w14:textId="77777777" w:rsidR="00B8746C" w:rsidRDefault="00B8746C">
      <w:pPr>
        <w:spacing w:before="0" w:after="0" w:line="240" w:lineRule="auto"/>
        <w:rPr>
          <w:lang w:val="en-US"/>
        </w:rPr>
      </w:pPr>
      <w:r>
        <w:br w:type="page"/>
      </w:r>
    </w:p>
    <w:p w14:paraId="197C97B6" w14:textId="1475DB03" w:rsidR="00DB3FE7" w:rsidRDefault="004A56F0" w:rsidP="00991851">
      <w:pPr>
        <w:pStyle w:val="ListParagraph"/>
        <w:numPr>
          <w:ilvl w:val="1"/>
          <w:numId w:val="10"/>
        </w:numPr>
        <w:spacing w:before="200" w:after="0"/>
        <w:ind w:left="567" w:hanging="567"/>
        <w:contextualSpacing w:val="0"/>
      </w:pPr>
      <w:r>
        <w:lastRenderedPageBreak/>
        <w:t>Where a regulated entity has not been complian</w:t>
      </w:r>
      <w:r w:rsidR="00E84926">
        <w:t>t</w:t>
      </w:r>
      <w:r>
        <w:t>, the Commission expects</w:t>
      </w:r>
      <w:r w:rsidR="00E84926">
        <w:t xml:space="preserve"> a</w:t>
      </w:r>
      <w:r>
        <w:t xml:space="preserve"> breach notification provided to the Commission to contain the following:</w:t>
      </w:r>
    </w:p>
    <w:p w14:paraId="5BD4DB1C" w14:textId="77777777" w:rsidR="00DB3FE7" w:rsidRDefault="004A56F0" w:rsidP="00DB3FE7">
      <w:pPr>
        <w:pStyle w:val="UtilComBulletText"/>
        <w:spacing w:line="300" w:lineRule="atLeast"/>
      </w:pPr>
      <w:r>
        <w:t>brief statement explaining the circumstances and reasons for the breach;</w:t>
      </w:r>
    </w:p>
    <w:p w14:paraId="0FE6B1A4" w14:textId="77777777" w:rsidR="00DB3FE7" w:rsidRDefault="004A56F0" w:rsidP="00DB3FE7">
      <w:pPr>
        <w:pStyle w:val="UtilComBulletText"/>
        <w:spacing w:line="300" w:lineRule="atLeast"/>
      </w:pPr>
      <w:r>
        <w:t>brief statement explaining any delay in reporting the breach;</w:t>
      </w:r>
    </w:p>
    <w:p w14:paraId="2039ACB5" w14:textId="77777777" w:rsidR="00DB3FE7" w:rsidRDefault="004A56F0" w:rsidP="00DB3FE7">
      <w:pPr>
        <w:pStyle w:val="UtilComBulletText"/>
        <w:spacing w:line="300" w:lineRule="atLeast"/>
      </w:pPr>
      <w:r>
        <w:t>relevant regulatory provision(s);</w:t>
      </w:r>
    </w:p>
    <w:p w14:paraId="5FA36435" w14:textId="77777777" w:rsidR="00DB3FE7" w:rsidRDefault="004A56F0" w:rsidP="00DB3FE7">
      <w:pPr>
        <w:pStyle w:val="UtilComBulletText"/>
        <w:spacing w:line="300" w:lineRule="atLeast"/>
      </w:pPr>
      <w:r>
        <w:t xml:space="preserve">consequences of non-compliance; and </w:t>
      </w:r>
    </w:p>
    <w:p w14:paraId="1A4837E6" w14:textId="77777777" w:rsidR="00DB3FE7" w:rsidRDefault="004A56F0" w:rsidP="00DB3FE7">
      <w:pPr>
        <w:pStyle w:val="UtilComBulletText"/>
        <w:spacing w:line="300" w:lineRule="atLeast"/>
      </w:pPr>
      <w:proofErr w:type="gramStart"/>
      <w:r>
        <w:t>remedial</w:t>
      </w:r>
      <w:proofErr w:type="gramEnd"/>
      <w:r>
        <w:t xml:space="preserve"> measures.</w:t>
      </w:r>
      <w:r w:rsidR="00872669">
        <w:rPr>
          <w:rStyle w:val="FootnoteReference"/>
        </w:rPr>
        <w:footnoteReference w:id="8"/>
      </w:r>
    </w:p>
    <w:p w14:paraId="775C9886" w14:textId="40DC05FF" w:rsidR="003E6088" w:rsidRDefault="00DE4078" w:rsidP="00991851">
      <w:pPr>
        <w:pStyle w:val="ListParagraph"/>
        <w:numPr>
          <w:ilvl w:val="1"/>
          <w:numId w:val="10"/>
        </w:numPr>
        <w:spacing w:before="200" w:after="200"/>
        <w:ind w:left="567" w:hanging="567"/>
        <w:contextualSpacing w:val="0"/>
      </w:pPr>
      <w:r>
        <w:t>The licensee’s compliance framework must contain a process for escalating and reporting breaches to executive/senior level management, the Board of the licensee and the Commission.</w:t>
      </w:r>
      <w:r w:rsidR="00872669">
        <w:rPr>
          <w:rStyle w:val="FootnoteReference"/>
        </w:rPr>
        <w:footnoteReference w:id="9"/>
      </w:r>
      <w:r w:rsidR="00B8746C">
        <w:t xml:space="preserve"> </w:t>
      </w:r>
      <w:r w:rsidR="003E6088">
        <w:t>The Chief Executive Officer (or equivalent) and the Board of the licensee must be made aware of any material breaches without delay and the process for remediation of a breach.</w:t>
      </w:r>
      <w:r w:rsidR="00872669">
        <w:rPr>
          <w:rStyle w:val="FootnoteReference"/>
        </w:rPr>
        <w:footnoteReference w:id="10"/>
      </w:r>
    </w:p>
    <w:p w14:paraId="36544A2F" w14:textId="77777777" w:rsidR="00DE4078" w:rsidRPr="00FE5C00" w:rsidRDefault="00DE4078" w:rsidP="00991851">
      <w:pPr>
        <w:pStyle w:val="ListParagraph"/>
        <w:numPr>
          <w:ilvl w:val="1"/>
          <w:numId w:val="10"/>
        </w:numPr>
        <w:spacing w:before="200" w:after="200"/>
        <w:ind w:left="567" w:hanging="567"/>
        <w:contextualSpacing w:val="0"/>
      </w:pPr>
      <w:r>
        <w:t xml:space="preserve">The Commission expects regulated entities to establish, implement, and maintain a compliance process or compliance framework that reflects industry best practice </w:t>
      </w:r>
      <w:r>
        <w:br/>
        <w:t>(that is, ISO 19600:2015 Compliance management systems – Guidelines</w:t>
      </w:r>
      <w:r>
        <w:rPr>
          <w:rFonts w:cs="Arial"/>
          <w:szCs w:val="18"/>
        </w:rPr>
        <w:t xml:space="preserve"> or equivalent).</w:t>
      </w:r>
    </w:p>
    <w:p w14:paraId="5AAED081" w14:textId="77777777" w:rsidR="00A23442" w:rsidRPr="00A23442" w:rsidRDefault="00FE5C00" w:rsidP="00991851">
      <w:pPr>
        <w:pStyle w:val="ListParagraph"/>
        <w:numPr>
          <w:ilvl w:val="1"/>
          <w:numId w:val="10"/>
        </w:numPr>
        <w:spacing w:before="200" w:after="200"/>
        <w:ind w:left="567" w:hanging="567"/>
        <w:contextualSpacing w:val="0"/>
      </w:pPr>
      <w:r>
        <w:rPr>
          <w:rFonts w:cs="Arial"/>
          <w:szCs w:val="18"/>
        </w:rPr>
        <w:t xml:space="preserve">The </w:t>
      </w:r>
      <w:r w:rsidR="00A23442">
        <w:rPr>
          <w:rFonts w:cs="Arial"/>
          <w:szCs w:val="18"/>
        </w:rPr>
        <w:t>Commission’s approach and level of regulation of licensees is determined by the level of mutual cooperation, transparency and voluntary disclosure shown by the licensee. The Commission prefers to take a voluntary reporting approach in the first instance</w:t>
      </w:r>
      <w:r w:rsidR="00021039">
        <w:rPr>
          <w:rFonts w:cs="Arial"/>
          <w:szCs w:val="18"/>
        </w:rPr>
        <w:t xml:space="preserve">; </w:t>
      </w:r>
      <w:r w:rsidR="00A23442">
        <w:rPr>
          <w:rFonts w:cs="Arial"/>
          <w:szCs w:val="18"/>
        </w:rPr>
        <w:t>notwithstanding that the responsibility for compliance and assessment of risks and obligations ultimately lies with the licensee, the Commission is open to engaging with licensees on any compliance issues and providing advice where the licensee is unsure</w:t>
      </w:r>
      <w:r w:rsidR="00021039">
        <w:rPr>
          <w:rFonts w:cs="Arial"/>
          <w:szCs w:val="18"/>
        </w:rPr>
        <w:t xml:space="preserve"> of whether an obligation has been breached</w:t>
      </w:r>
      <w:r w:rsidR="00A23442">
        <w:rPr>
          <w:rFonts w:cs="Arial"/>
          <w:szCs w:val="18"/>
        </w:rPr>
        <w:t xml:space="preserve">.  </w:t>
      </w:r>
    </w:p>
    <w:p w14:paraId="7F81C01F" w14:textId="1680FCEA" w:rsidR="00FE5C00" w:rsidRDefault="00241EA4" w:rsidP="00991851">
      <w:pPr>
        <w:pStyle w:val="ListParagraph"/>
        <w:numPr>
          <w:ilvl w:val="1"/>
          <w:numId w:val="10"/>
        </w:numPr>
        <w:spacing w:before="200" w:after="200"/>
        <w:ind w:left="567" w:hanging="567"/>
        <w:contextualSpacing w:val="0"/>
      </w:pPr>
      <w:r>
        <w:rPr>
          <w:rFonts w:cs="Arial"/>
          <w:szCs w:val="18"/>
        </w:rPr>
        <w:t>However</w:t>
      </w:r>
      <w:r w:rsidR="00895E8F">
        <w:rPr>
          <w:rFonts w:cs="Arial"/>
          <w:szCs w:val="18"/>
        </w:rPr>
        <w:t>, where</w:t>
      </w:r>
      <w:r>
        <w:rPr>
          <w:rFonts w:cs="Arial"/>
          <w:szCs w:val="18"/>
        </w:rPr>
        <w:t xml:space="preserve"> a voluntary approach has not worked and there is evidence to suggest that the Commission </w:t>
      </w:r>
      <w:r w:rsidR="00895E8F">
        <w:rPr>
          <w:rFonts w:cs="Arial"/>
          <w:szCs w:val="18"/>
        </w:rPr>
        <w:t>is not able to place</w:t>
      </w:r>
      <w:r>
        <w:rPr>
          <w:rFonts w:cs="Arial"/>
          <w:szCs w:val="18"/>
        </w:rPr>
        <w:t xml:space="preserve"> confidence in a licensees’ ability to manage its compliance framework, </w:t>
      </w:r>
      <w:r w:rsidR="00B4517A">
        <w:rPr>
          <w:rFonts w:cs="Arial"/>
          <w:szCs w:val="18"/>
        </w:rPr>
        <w:t>the</w:t>
      </w:r>
      <w:r>
        <w:rPr>
          <w:rFonts w:cs="Arial"/>
          <w:szCs w:val="18"/>
        </w:rPr>
        <w:t xml:space="preserve"> Commission</w:t>
      </w:r>
      <w:r w:rsidR="00B4517A">
        <w:rPr>
          <w:rFonts w:cs="Arial"/>
          <w:szCs w:val="18"/>
        </w:rPr>
        <w:t xml:space="preserve"> will be required</w:t>
      </w:r>
      <w:r>
        <w:rPr>
          <w:rFonts w:cs="Arial"/>
          <w:szCs w:val="18"/>
        </w:rPr>
        <w:t xml:space="preserve"> to </w:t>
      </w:r>
      <w:r w:rsidR="004C1B5D">
        <w:rPr>
          <w:rFonts w:cs="Arial"/>
          <w:szCs w:val="18"/>
        </w:rPr>
        <w:t xml:space="preserve">undertake a more intrusive form of regulation and oversight </w:t>
      </w:r>
      <w:r w:rsidR="00CA4ADE">
        <w:rPr>
          <w:rFonts w:cs="Arial"/>
          <w:szCs w:val="18"/>
        </w:rPr>
        <w:t>within its powers through audit</w:t>
      </w:r>
      <w:r w:rsidR="004C1B5D">
        <w:rPr>
          <w:rFonts w:cs="Arial"/>
          <w:szCs w:val="18"/>
        </w:rPr>
        <w:t>,</w:t>
      </w:r>
      <w:r w:rsidR="00CA4ADE">
        <w:rPr>
          <w:rFonts w:cs="Arial"/>
          <w:szCs w:val="18"/>
        </w:rPr>
        <w:t xml:space="preserve"> monitoring and review,</w:t>
      </w:r>
      <w:r w:rsidR="004C1B5D">
        <w:rPr>
          <w:rFonts w:cs="Arial"/>
          <w:szCs w:val="18"/>
        </w:rPr>
        <w:t xml:space="preserve"> and enforcement action</w:t>
      </w:r>
      <w:r w:rsidR="00B4517A">
        <w:rPr>
          <w:rFonts w:cs="Arial"/>
          <w:szCs w:val="18"/>
        </w:rPr>
        <w:t xml:space="preserve"> to ensure licensees comply with their regulatory obligations</w:t>
      </w:r>
      <w:r>
        <w:rPr>
          <w:rFonts w:cs="Arial"/>
          <w:szCs w:val="18"/>
        </w:rPr>
        <w:t xml:space="preserve">. </w:t>
      </w:r>
      <w:r w:rsidR="00FE5C00">
        <w:rPr>
          <w:rFonts w:cs="Arial"/>
          <w:szCs w:val="18"/>
        </w:rPr>
        <w:t xml:space="preserve"> </w:t>
      </w:r>
    </w:p>
    <w:p w14:paraId="2FB46E9B" w14:textId="77777777" w:rsidR="00A52B16" w:rsidRPr="009F29A1" w:rsidRDefault="00A52B16" w:rsidP="009F29A1">
      <w:pPr>
        <w:pStyle w:val="UtilComHeading2"/>
        <w:rPr>
          <w:color w:val="31849B" w:themeColor="accent5" w:themeShade="BF"/>
          <w:lang w:eastAsia="en-AU"/>
        </w:rPr>
      </w:pPr>
      <w:bookmarkStart w:id="16" w:name="_Toc310589247"/>
      <w:bookmarkStart w:id="17" w:name="_Toc436218921"/>
      <w:bookmarkStart w:id="18" w:name="_Toc473546899"/>
      <w:r w:rsidRPr="009F29A1">
        <w:rPr>
          <w:color w:val="31849B" w:themeColor="accent5" w:themeShade="BF"/>
          <w:lang w:eastAsia="en-AU"/>
        </w:rPr>
        <w:t xml:space="preserve">Risk Identification and Risk </w:t>
      </w:r>
      <w:bookmarkEnd w:id="16"/>
      <w:r w:rsidRPr="009F29A1">
        <w:rPr>
          <w:color w:val="31849B" w:themeColor="accent5" w:themeShade="BF"/>
          <w:lang w:eastAsia="en-AU"/>
        </w:rPr>
        <w:t>Assessment</w:t>
      </w:r>
      <w:bookmarkEnd w:id="17"/>
      <w:bookmarkEnd w:id="18"/>
    </w:p>
    <w:p w14:paraId="7B0EC074" w14:textId="77777777" w:rsidR="009F29A1" w:rsidRDefault="00A52B16" w:rsidP="009F29A1">
      <w:pPr>
        <w:pStyle w:val="ListParagraph"/>
        <w:numPr>
          <w:ilvl w:val="1"/>
          <w:numId w:val="10"/>
        </w:numPr>
        <w:spacing w:before="200" w:after="200"/>
        <w:ind w:left="567" w:hanging="567"/>
        <w:contextualSpacing w:val="0"/>
      </w:pPr>
      <w:r w:rsidRPr="009F29A1">
        <w:rPr>
          <w:rFonts w:cs="Arial"/>
          <w:szCs w:val="18"/>
        </w:rPr>
        <w:t>The Commission considers that the compliance obligations of regulated entities include both relevant compliance requirements</w:t>
      </w:r>
      <w:r w:rsidR="00D916BE" w:rsidRPr="009F29A1">
        <w:rPr>
          <w:rFonts w:cs="Arial"/>
          <w:szCs w:val="18"/>
        </w:rPr>
        <w:t xml:space="preserve">, such as legislation, statutory obligations, codes and </w:t>
      </w:r>
      <w:proofErr w:type="spellStart"/>
      <w:r w:rsidR="00D916BE" w:rsidRPr="009F29A1">
        <w:rPr>
          <w:rFonts w:cs="Arial"/>
          <w:szCs w:val="18"/>
        </w:rPr>
        <w:t>licences</w:t>
      </w:r>
      <w:proofErr w:type="spellEnd"/>
      <w:r w:rsidR="00D916BE" w:rsidRPr="009F29A1">
        <w:rPr>
          <w:rFonts w:cs="Arial"/>
          <w:szCs w:val="18"/>
        </w:rPr>
        <w:t>,</w:t>
      </w:r>
      <w:r w:rsidRPr="009F29A1">
        <w:rPr>
          <w:rFonts w:cs="Arial"/>
          <w:szCs w:val="18"/>
        </w:rPr>
        <w:t xml:space="preserve"> and relevant compliance commitments</w:t>
      </w:r>
      <w:r w:rsidR="00D916BE" w:rsidRPr="009F29A1">
        <w:rPr>
          <w:rFonts w:cs="Arial"/>
          <w:szCs w:val="18"/>
        </w:rPr>
        <w:t xml:space="preserve"> such as internal policies</w:t>
      </w:r>
      <w:r w:rsidRPr="009F29A1">
        <w:rPr>
          <w:rFonts w:cs="Arial"/>
          <w:szCs w:val="18"/>
        </w:rPr>
        <w:t>,</w:t>
      </w:r>
      <w:r w:rsidR="00D916BE" w:rsidRPr="009F29A1">
        <w:rPr>
          <w:rFonts w:cs="Arial"/>
          <w:szCs w:val="18"/>
        </w:rPr>
        <w:t xml:space="preserve"> guidelines and voluntary standards,</w:t>
      </w:r>
      <w:r w:rsidRPr="009F29A1">
        <w:rPr>
          <w:rFonts w:cs="Arial"/>
          <w:szCs w:val="18"/>
        </w:rPr>
        <w:t xml:space="preserve"> and that these must be adequately con</w:t>
      </w:r>
      <w:r w:rsidR="00C5504F" w:rsidRPr="009F29A1">
        <w:rPr>
          <w:rFonts w:cs="Arial"/>
          <w:szCs w:val="18"/>
        </w:rPr>
        <w:t>sidered in each regulated entity</w:t>
      </w:r>
      <w:r w:rsidRPr="009F29A1">
        <w:rPr>
          <w:rFonts w:cs="Arial"/>
          <w:szCs w:val="18"/>
        </w:rPr>
        <w:t>’</w:t>
      </w:r>
      <w:r w:rsidR="00C5504F" w:rsidRPr="009F29A1">
        <w:rPr>
          <w:rFonts w:cs="Arial"/>
          <w:szCs w:val="18"/>
        </w:rPr>
        <w:t>s</w:t>
      </w:r>
      <w:r w:rsidRPr="009F29A1">
        <w:rPr>
          <w:rFonts w:cs="Arial"/>
          <w:szCs w:val="18"/>
        </w:rPr>
        <w:t xml:space="preserve"> Register of Compliance.</w:t>
      </w:r>
      <w:r>
        <w:t xml:space="preserve"> </w:t>
      </w:r>
    </w:p>
    <w:p w14:paraId="0DBB68D8" w14:textId="7FFA208B" w:rsidR="00A52B16" w:rsidRDefault="00A52B16" w:rsidP="009F29A1">
      <w:pPr>
        <w:pStyle w:val="ListParagraph"/>
        <w:numPr>
          <w:ilvl w:val="1"/>
          <w:numId w:val="10"/>
        </w:numPr>
        <w:spacing w:before="200" w:after="200"/>
        <w:ind w:left="567" w:hanging="567"/>
        <w:contextualSpacing w:val="0"/>
      </w:pPr>
      <w:r>
        <w:t xml:space="preserve">Compliance requirements of a regulated entity are stated in relevant laws and regulations, </w:t>
      </w:r>
      <w:proofErr w:type="spellStart"/>
      <w:r>
        <w:t>licences</w:t>
      </w:r>
      <w:proofErr w:type="spellEnd"/>
      <w:r>
        <w:t xml:space="preserve">, codes and guidelines. </w:t>
      </w:r>
    </w:p>
    <w:p w14:paraId="69B1D18D" w14:textId="77777777" w:rsidR="00A52B16" w:rsidRDefault="00156763" w:rsidP="00991851">
      <w:pPr>
        <w:pStyle w:val="ListParagraph"/>
        <w:numPr>
          <w:ilvl w:val="1"/>
          <w:numId w:val="10"/>
        </w:numPr>
        <w:spacing w:before="200" w:after="200"/>
        <w:ind w:left="567" w:hanging="567"/>
        <w:contextualSpacing w:val="0"/>
      </w:pPr>
      <w:r>
        <w:lastRenderedPageBreak/>
        <w:t xml:space="preserve">The register of regulatory compliance obligations </w:t>
      </w:r>
      <w:r w:rsidR="00A52B16">
        <w:t xml:space="preserve">of the licensee must be sufficiently robust and detailed in identifying the licensee’s compliance obligations from all legislative and </w:t>
      </w:r>
      <w:proofErr w:type="spellStart"/>
      <w:r w:rsidR="00A52B16">
        <w:t>licence</w:t>
      </w:r>
      <w:proofErr w:type="spellEnd"/>
      <w:r w:rsidR="00A52B16">
        <w:t xml:space="preserve"> obligations.</w:t>
      </w:r>
    </w:p>
    <w:p w14:paraId="65C0F912" w14:textId="7501F73C" w:rsidR="00A52B16" w:rsidRPr="006B48A8" w:rsidRDefault="00E84926" w:rsidP="00991851">
      <w:pPr>
        <w:pStyle w:val="ListParagraph"/>
        <w:numPr>
          <w:ilvl w:val="1"/>
          <w:numId w:val="10"/>
        </w:numPr>
        <w:spacing w:before="200" w:after="200"/>
        <w:ind w:left="567" w:hanging="567"/>
        <w:contextualSpacing w:val="0"/>
        <w:rPr>
          <w:szCs w:val="22"/>
        </w:rPr>
      </w:pPr>
      <w:r>
        <w:t>A</w:t>
      </w:r>
      <w:r w:rsidR="003D7D27">
        <w:t xml:space="preserve"> </w:t>
      </w:r>
      <w:r w:rsidR="00A52B16" w:rsidRPr="00F6339A">
        <w:t xml:space="preserve">licensee should have processes in place to identify new and changed laws, </w:t>
      </w:r>
      <w:r w:rsidR="00A52B16" w:rsidRPr="00A52B16">
        <w:rPr>
          <w:szCs w:val="22"/>
        </w:rPr>
        <w:t>regulations, codes and other compliance obligations to ensure ongoing compliance.</w:t>
      </w:r>
      <w:r w:rsidR="00A52B16">
        <w:t xml:space="preserve"> Licensees should have in place processes to</w:t>
      </w:r>
      <w:r w:rsidR="00A52B16" w:rsidRPr="00F6339A">
        <w:t xml:space="preserve"> evaluate the impact of the identified changes and implement any changes in the management of the compliance obligations</w:t>
      </w:r>
      <w:r w:rsidR="00A52B16" w:rsidRPr="00F6339A">
        <w:rPr>
          <w:rFonts w:ascii="Cambria" w:hAnsi="Cambria" w:cs="Cambria"/>
          <w:szCs w:val="22"/>
          <w:lang w:val="en-AU" w:eastAsia="en-AU"/>
        </w:rPr>
        <w:t>.</w:t>
      </w:r>
      <w:r w:rsidR="00A52B16" w:rsidRPr="007E25FF">
        <w:rPr>
          <w:rStyle w:val="FootnoteReference"/>
          <w:rFonts w:cs="Arial"/>
          <w:szCs w:val="22"/>
        </w:rPr>
        <w:footnoteReference w:id="11"/>
      </w:r>
    </w:p>
    <w:p w14:paraId="37200221" w14:textId="77777777" w:rsidR="00A52B16" w:rsidRPr="009F29A1" w:rsidRDefault="00A52B16" w:rsidP="009F29A1">
      <w:pPr>
        <w:pStyle w:val="UtilComHeading2"/>
        <w:rPr>
          <w:color w:val="31849B" w:themeColor="accent5" w:themeShade="BF"/>
          <w:lang w:eastAsia="en-AU"/>
        </w:rPr>
      </w:pPr>
      <w:bookmarkStart w:id="19" w:name="_Toc310589252"/>
      <w:bookmarkStart w:id="20" w:name="_Toc436218922"/>
      <w:bookmarkStart w:id="21" w:name="_Toc473546900"/>
      <w:r w:rsidRPr="009F29A1">
        <w:rPr>
          <w:color w:val="31849B" w:themeColor="accent5" w:themeShade="BF"/>
          <w:lang w:eastAsia="en-AU"/>
        </w:rPr>
        <w:t>Ensuring Compliance</w:t>
      </w:r>
      <w:bookmarkEnd w:id="19"/>
      <w:bookmarkEnd w:id="20"/>
      <w:bookmarkEnd w:id="21"/>
    </w:p>
    <w:p w14:paraId="61FE769D" w14:textId="77777777" w:rsidR="00DB3FE7" w:rsidRDefault="00A52B16" w:rsidP="00991851">
      <w:pPr>
        <w:pStyle w:val="ListParagraph"/>
        <w:numPr>
          <w:ilvl w:val="1"/>
          <w:numId w:val="10"/>
        </w:numPr>
        <w:spacing w:before="200" w:after="0"/>
        <w:ind w:left="567" w:hanging="567"/>
        <w:contextualSpacing w:val="0"/>
      </w:pPr>
      <w:r>
        <w:t>The Commission’s compliance program oversees compliance with the regulatory framework through:</w:t>
      </w:r>
    </w:p>
    <w:p w14:paraId="7A1961F0" w14:textId="5122810E" w:rsidR="00A52B16" w:rsidRDefault="00A52B16" w:rsidP="00906366">
      <w:pPr>
        <w:pStyle w:val="UtilComBulletText"/>
        <w:spacing w:line="300" w:lineRule="atLeast"/>
      </w:pPr>
      <w:r>
        <w:t xml:space="preserve">requiring regulated entities to establish, implement and maintain policies, procedures and systems to ensure compliance (that is, compliance process or compliance framework); </w:t>
      </w:r>
    </w:p>
    <w:p w14:paraId="3ACF2C86" w14:textId="33BDE0EF" w:rsidR="00A52B16" w:rsidRDefault="00A52B16" w:rsidP="00906366">
      <w:pPr>
        <w:pStyle w:val="UtilComBulletText"/>
        <w:spacing w:line="300" w:lineRule="atLeast"/>
      </w:pPr>
      <w:r>
        <w:t xml:space="preserve">an annual declaration by the Board that there is an adequate compliance framework in place and that the licensee has complied with all licence obligations with the exception of those reported; </w:t>
      </w:r>
      <w:r w:rsidR="00032E00">
        <w:t>and</w:t>
      </w:r>
    </w:p>
    <w:p w14:paraId="38EBDFBB" w14:textId="77777777" w:rsidR="00A52B16" w:rsidRDefault="00A52B16" w:rsidP="00906366">
      <w:pPr>
        <w:pStyle w:val="UtilComBulletText"/>
        <w:spacing w:line="300" w:lineRule="atLeast"/>
      </w:pPr>
      <w:proofErr w:type="gramStart"/>
      <w:r>
        <w:t>monitoring</w:t>
      </w:r>
      <w:proofErr w:type="gramEnd"/>
      <w:r>
        <w:t xml:space="preserve"> the compliance of regulated entities through compliance and breach reporting, and audit requirements.</w:t>
      </w:r>
    </w:p>
    <w:p w14:paraId="4BF2D49C" w14:textId="23A1AC23" w:rsidR="00DB3FE7" w:rsidRDefault="00A52B16" w:rsidP="00991851">
      <w:pPr>
        <w:pStyle w:val="ListParagraph"/>
        <w:numPr>
          <w:ilvl w:val="1"/>
          <w:numId w:val="10"/>
        </w:numPr>
        <w:spacing w:before="200" w:after="200"/>
        <w:ind w:left="567" w:hanging="567"/>
        <w:contextualSpacing w:val="0"/>
      </w:pPr>
      <w:r w:rsidRPr="000D2A7C">
        <w:t>The</w:t>
      </w:r>
      <w:r w:rsidRPr="003128A2">
        <w:t xml:space="preserve"> electricity retail, network, generation and system control </w:t>
      </w:r>
      <w:proofErr w:type="spellStart"/>
      <w:r w:rsidRPr="003128A2">
        <w:t>licences</w:t>
      </w:r>
      <w:proofErr w:type="spellEnd"/>
      <w:r w:rsidRPr="003128A2">
        <w:t xml:space="preserve"> require regulated entities to establish, implement and maintain policies, procedures and systems</w:t>
      </w:r>
      <w:r>
        <w:t xml:space="preserve"> (that is, compliance process or compliance framework)</w:t>
      </w:r>
      <w:r w:rsidRPr="003128A2">
        <w:t xml:space="preserve"> for ensuring they comply with all their obligations. </w:t>
      </w:r>
    </w:p>
    <w:p w14:paraId="3DD3500B" w14:textId="77777777" w:rsidR="0003436F" w:rsidRPr="009F29A1" w:rsidRDefault="0003436F" w:rsidP="009F29A1">
      <w:pPr>
        <w:pStyle w:val="UtilComHeading2"/>
        <w:rPr>
          <w:color w:val="31849B" w:themeColor="accent5" w:themeShade="BF"/>
          <w:lang w:eastAsia="en-AU"/>
        </w:rPr>
      </w:pPr>
      <w:bookmarkStart w:id="22" w:name="_Toc473546901"/>
      <w:r w:rsidRPr="009F29A1">
        <w:rPr>
          <w:color w:val="31849B" w:themeColor="accent5" w:themeShade="BF"/>
          <w:lang w:eastAsia="en-AU"/>
        </w:rPr>
        <w:t>Enforcement</w:t>
      </w:r>
      <w:bookmarkEnd w:id="22"/>
    </w:p>
    <w:p w14:paraId="6EB29AFF" w14:textId="68EBDC30" w:rsidR="00F10D96" w:rsidRDefault="00F10D96" w:rsidP="00991851">
      <w:pPr>
        <w:pStyle w:val="ListParagraph"/>
        <w:numPr>
          <w:ilvl w:val="1"/>
          <w:numId w:val="10"/>
        </w:numPr>
        <w:spacing w:before="200" w:after="200"/>
        <w:ind w:left="567" w:hanging="567"/>
        <w:contextualSpacing w:val="0"/>
      </w:pPr>
      <w:bookmarkStart w:id="23" w:name="_Toc442328912"/>
      <w:bookmarkEnd w:id="15"/>
      <w:r>
        <w:t>T</w:t>
      </w:r>
      <w:r w:rsidR="00821095">
        <w:t>he Commission</w:t>
      </w:r>
      <w:r>
        <w:t xml:space="preserve">’s </w:t>
      </w:r>
      <w:r w:rsidR="00821095">
        <w:t>preferred approach to compliance and enforcement is to work closely with regulated businesses</w:t>
      </w:r>
      <w:r w:rsidR="00297C91">
        <w:t xml:space="preserve"> in the first instance</w:t>
      </w:r>
      <w:r w:rsidR="00821095">
        <w:t>,</w:t>
      </w:r>
      <w:r w:rsidR="00FE0CDF">
        <w:t xml:space="preserve"> particularly in providing information and education with regard to reporting requirements</w:t>
      </w:r>
      <w:r w:rsidR="003D7D27">
        <w:t>. The Commission</w:t>
      </w:r>
      <w:r w:rsidR="00821095">
        <w:t xml:space="preserve"> </w:t>
      </w:r>
      <w:r w:rsidR="00CF6321">
        <w:t xml:space="preserve">considers </w:t>
      </w:r>
      <w:r w:rsidR="00821095">
        <w:t xml:space="preserve">that a cooperative approach to compliance tends to foster a more positive </w:t>
      </w:r>
      <w:r w:rsidR="00821095" w:rsidRPr="003146B9">
        <w:t>response than punitive sanctions.</w:t>
      </w:r>
      <w:bookmarkEnd w:id="23"/>
    </w:p>
    <w:p w14:paraId="54F12325" w14:textId="00B70AC5" w:rsidR="00BD3D85" w:rsidRDefault="00821095" w:rsidP="00991851">
      <w:pPr>
        <w:pStyle w:val="ListParagraph"/>
        <w:numPr>
          <w:ilvl w:val="1"/>
          <w:numId w:val="10"/>
        </w:numPr>
        <w:spacing w:before="200" w:after="200"/>
        <w:ind w:left="567" w:hanging="567"/>
        <w:contextualSpacing w:val="0"/>
      </w:pPr>
      <w:bookmarkStart w:id="24" w:name="_Toc442328913"/>
      <w:r w:rsidRPr="003146B9">
        <w:t>The Commission</w:t>
      </w:r>
      <w:r w:rsidR="003146B9" w:rsidRPr="003146B9">
        <w:t xml:space="preserve"> considers that discussion and consultation with regulated entities will be a first step before any enforcement action is considered. However where there is systemic and continued non-compliance, the Commission will consider taking more intrusive regulatory actions and oversight, and ultimately, sanctions</w:t>
      </w:r>
      <w:r w:rsidR="00D32D33">
        <w:t xml:space="preserve"> in order to get a licensee to comply</w:t>
      </w:r>
      <w:r w:rsidR="00C23AE4">
        <w:t xml:space="preserve"> with its obligations</w:t>
      </w:r>
      <w:r w:rsidR="003146B9" w:rsidRPr="003146B9">
        <w:t>.</w:t>
      </w:r>
      <w:bookmarkEnd w:id="24"/>
    </w:p>
    <w:p w14:paraId="04994A57" w14:textId="05347E94" w:rsidR="00E36F46" w:rsidRPr="009F29A1" w:rsidRDefault="00E36F46" w:rsidP="009F29A1">
      <w:pPr>
        <w:pStyle w:val="UtilComHeading2"/>
        <w:rPr>
          <w:color w:val="31849B" w:themeColor="accent5" w:themeShade="BF"/>
          <w:lang w:eastAsia="en-AU"/>
        </w:rPr>
      </w:pPr>
      <w:bookmarkStart w:id="25" w:name="_Toc473546902"/>
      <w:r w:rsidRPr="009F29A1">
        <w:rPr>
          <w:color w:val="31849B" w:themeColor="accent5" w:themeShade="BF"/>
          <w:lang w:eastAsia="en-AU"/>
        </w:rPr>
        <w:t>Compliance Reports</w:t>
      </w:r>
      <w:bookmarkEnd w:id="25"/>
    </w:p>
    <w:p w14:paraId="703ECC86" w14:textId="0C559143" w:rsidR="00E36F46" w:rsidRDefault="00E36F46" w:rsidP="00E36F46">
      <w:pPr>
        <w:pStyle w:val="ListParagraph"/>
        <w:numPr>
          <w:ilvl w:val="1"/>
          <w:numId w:val="10"/>
        </w:numPr>
        <w:spacing w:before="200" w:after="200"/>
        <w:ind w:left="567" w:hanging="567"/>
        <w:contextualSpacing w:val="0"/>
      </w:pPr>
      <w:r>
        <w:t xml:space="preserve">For 2015-16, the </w:t>
      </w:r>
      <w:r w:rsidRPr="00E36F46">
        <w:t>Commission required licensees</w:t>
      </w:r>
      <w:r>
        <w:rPr>
          <w:rStyle w:val="FootnoteReference"/>
        </w:rPr>
        <w:footnoteReference w:id="12"/>
      </w:r>
      <w:r w:rsidRPr="00E36F46">
        <w:t xml:space="preserve"> to provide a Compliance Report with a declaration by its Board in </w:t>
      </w:r>
      <w:r w:rsidR="009C4138">
        <w:t>respect to</w:t>
      </w:r>
      <w:r w:rsidRPr="00E36F46">
        <w:t xml:space="preserve"> the following </w:t>
      </w:r>
      <w:proofErr w:type="spellStart"/>
      <w:r w:rsidRPr="00E36F46">
        <w:t>licences</w:t>
      </w:r>
      <w:proofErr w:type="spellEnd"/>
      <w:r w:rsidRPr="00E36F46">
        <w:t>.</w:t>
      </w:r>
    </w:p>
    <w:p w14:paraId="6051740A" w14:textId="60B410CD" w:rsidR="00A702AF" w:rsidRPr="007E764E" w:rsidRDefault="00A702AF" w:rsidP="00265E01">
      <w:pPr>
        <w:ind w:left="567"/>
        <w:rPr>
          <w:b/>
          <w:sz w:val="16"/>
          <w:szCs w:val="16"/>
        </w:rPr>
      </w:pPr>
      <w:bookmarkStart w:id="26" w:name="_Toc442328914"/>
      <w:r w:rsidRPr="007E764E">
        <w:rPr>
          <w:b/>
          <w:sz w:val="16"/>
          <w:szCs w:val="16"/>
        </w:rPr>
        <w:lastRenderedPageBreak/>
        <w:t>Table 1.1</w:t>
      </w:r>
    </w:p>
    <w:tbl>
      <w:tblPr>
        <w:tblW w:w="4637" w:type="pct"/>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3"/>
        <w:gridCol w:w="3141"/>
      </w:tblGrid>
      <w:tr w:rsidR="00A702AF" w:rsidRPr="00CD0BDF" w14:paraId="33154B0F" w14:textId="77777777" w:rsidTr="00CB4DE9">
        <w:trPr>
          <w:trHeight w:val="360"/>
        </w:trPr>
        <w:tc>
          <w:tcPr>
            <w:tcW w:w="3127" w:type="pct"/>
            <w:tcBorders>
              <w:bottom w:val="single" w:sz="4" w:space="0" w:color="auto"/>
            </w:tcBorders>
            <w:vAlign w:val="center"/>
          </w:tcPr>
          <w:p w14:paraId="2FDD8E7B" w14:textId="77777777" w:rsidR="00A702AF" w:rsidRPr="002F053A" w:rsidRDefault="00A702AF" w:rsidP="00CB4DE9">
            <w:pPr>
              <w:pStyle w:val="UtilComTableColumnHeading"/>
              <w:spacing w:line="240" w:lineRule="auto"/>
            </w:pPr>
            <w:r>
              <w:t>Licensee</w:t>
            </w:r>
          </w:p>
        </w:tc>
        <w:tc>
          <w:tcPr>
            <w:tcW w:w="1873" w:type="pct"/>
            <w:tcBorders>
              <w:bottom w:val="single" w:sz="4" w:space="0" w:color="auto"/>
            </w:tcBorders>
            <w:vAlign w:val="center"/>
          </w:tcPr>
          <w:p w14:paraId="61AFDF45" w14:textId="77777777" w:rsidR="00A702AF" w:rsidRPr="002F053A" w:rsidRDefault="00A702AF" w:rsidP="00F9446E">
            <w:pPr>
              <w:pStyle w:val="UtilComTableColumnHeading"/>
              <w:spacing w:line="240" w:lineRule="auto"/>
            </w:pPr>
            <w:r>
              <w:t>Licence Held</w:t>
            </w:r>
          </w:p>
        </w:tc>
      </w:tr>
      <w:tr w:rsidR="00A702AF" w:rsidRPr="00CD0BDF" w14:paraId="09794DCA" w14:textId="77777777" w:rsidTr="00F9446E">
        <w:trPr>
          <w:trHeight w:val="360"/>
        </w:trPr>
        <w:tc>
          <w:tcPr>
            <w:tcW w:w="3127" w:type="pct"/>
            <w:tcBorders>
              <w:top w:val="single" w:sz="4" w:space="0" w:color="auto"/>
            </w:tcBorders>
          </w:tcPr>
          <w:p w14:paraId="52ED54FE" w14:textId="77777777" w:rsidR="00A702AF" w:rsidRDefault="00A702AF" w:rsidP="00032E00">
            <w:pPr>
              <w:pStyle w:val="UtilComTabletext"/>
              <w:spacing w:line="240" w:lineRule="auto"/>
            </w:pPr>
            <w:r>
              <w:t>ERM Power Retail Pty Ltd</w:t>
            </w:r>
          </w:p>
        </w:tc>
        <w:tc>
          <w:tcPr>
            <w:tcW w:w="1873" w:type="pct"/>
            <w:tcBorders>
              <w:top w:val="single" w:sz="4" w:space="0" w:color="auto"/>
            </w:tcBorders>
            <w:tcMar>
              <w:right w:w="567" w:type="dxa"/>
            </w:tcMar>
          </w:tcPr>
          <w:p w14:paraId="75E2663E" w14:textId="77777777" w:rsidR="00A702AF" w:rsidRDefault="00A702AF" w:rsidP="00F9446E">
            <w:pPr>
              <w:pStyle w:val="UtilComTableNumbers"/>
              <w:spacing w:line="240" w:lineRule="auto"/>
              <w:ind w:right="-458"/>
              <w:jc w:val="left"/>
            </w:pPr>
            <w:r>
              <w:t>Retail</w:t>
            </w:r>
          </w:p>
        </w:tc>
      </w:tr>
      <w:tr w:rsidR="00A702AF" w:rsidRPr="00CD0BDF" w14:paraId="38EBF385" w14:textId="77777777" w:rsidTr="00F9446E">
        <w:trPr>
          <w:trHeight w:val="360"/>
        </w:trPr>
        <w:tc>
          <w:tcPr>
            <w:tcW w:w="3127" w:type="pct"/>
            <w:tcBorders>
              <w:top w:val="single" w:sz="4" w:space="0" w:color="auto"/>
            </w:tcBorders>
          </w:tcPr>
          <w:p w14:paraId="0DA9FC34" w14:textId="77777777" w:rsidR="00A702AF" w:rsidRPr="002F053A" w:rsidRDefault="00A702AF" w:rsidP="00032E00">
            <w:pPr>
              <w:pStyle w:val="UtilComTabletext"/>
              <w:spacing w:line="240" w:lineRule="auto"/>
            </w:pPr>
            <w:r>
              <w:t>Power and Water Corporation</w:t>
            </w:r>
          </w:p>
        </w:tc>
        <w:tc>
          <w:tcPr>
            <w:tcW w:w="1873" w:type="pct"/>
            <w:tcBorders>
              <w:top w:val="single" w:sz="4" w:space="0" w:color="auto"/>
            </w:tcBorders>
            <w:tcMar>
              <w:right w:w="567" w:type="dxa"/>
            </w:tcMar>
          </w:tcPr>
          <w:p w14:paraId="4D3D04BF" w14:textId="44962831" w:rsidR="00A702AF" w:rsidRPr="002D5729" w:rsidRDefault="00A702AF" w:rsidP="00F9446E">
            <w:pPr>
              <w:pStyle w:val="UtilComTableNumbers"/>
              <w:spacing w:line="240" w:lineRule="auto"/>
              <w:ind w:right="-458"/>
              <w:jc w:val="left"/>
            </w:pPr>
            <w:r>
              <w:t>Network, System Control, Generation, Retail, Water Supply Services, Sewerage Supply Service</w:t>
            </w:r>
            <w:r w:rsidR="00520DD3">
              <w:t>s</w:t>
            </w:r>
            <w:r>
              <w:t xml:space="preserve"> </w:t>
            </w:r>
          </w:p>
        </w:tc>
      </w:tr>
      <w:tr w:rsidR="00A702AF" w:rsidRPr="00CD0BDF" w14:paraId="17F67EC5" w14:textId="77777777" w:rsidTr="00F9446E">
        <w:trPr>
          <w:trHeight w:val="360"/>
        </w:trPr>
        <w:tc>
          <w:tcPr>
            <w:tcW w:w="3127" w:type="pct"/>
            <w:tcBorders>
              <w:top w:val="single" w:sz="4" w:space="0" w:color="auto"/>
            </w:tcBorders>
          </w:tcPr>
          <w:p w14:paraId="4EEA10E1" w14:textId="77777777" w:rsidR="00A702AF" w:rsidRDefault="00A702AF" w:rsidP="00032E00">
            <w:pPr>
              <w:pStyle w:val="UtilComTabletext"/>
              <w:spacing w:line="240" w:lineRule="auto"/>
            </w:pPr>
            <w:r>
              <w:t>Power Retail Corporation (trading as Jacana Energy)</w:t>
            </w:r>
          </w:p>
        </w:tc>
        <w:tc>
          <w:tcPr>
            <w:tcW w:w="1873" w:type="pct"/>
            <w:tcBorders>
              <w:top w:val="single" w:sz="4" w:space="0" w:color="auto"/>
            </w:tcBorders>
            <w:tcMar>
              <w:right w:w="567" w:type="dxa"/>
            </w:tcMar>
          </w:tcPr>
          <w:p w14:paraId="0496603C" w14:textId="77777777" w:rsidR="00A702AF" w:rsidRDefault="00A702AF" w:rsidP="00F9446E">
            <w:pPr>
              <w:pStyle w:val="UtilComTableNumbers"/>
              <w:spacing w:line="240" w:lineRule="auto"/>
              <w:ind w:right="-458"/>
              <w:jc w:val="left"/>
            </w:pPr>
            <w:r>
              <w:t>Retail</w:t>
            </w:r>
          </w:p>
        </w:tc>
      </w:tr>
      <w:tr w:rsidR="00A702AF" w:rsidRPr="00CD0BDF" w14:paraId="458D5FE2" w14:textId="77777777" w:rsidTr="00F9446E">
        <w:trPr>
          <w:trHeight w:val="360"/>
        </w:trPr>
        <w:tc>
          <w:tcPr>
            <w:tcW w:w="3127" w:type="pct"/>
            <w:tcBorders>
              <w:top w:val="single" w:sz="4" w:space="0" w:color="auto"/>
            </w:tcBorders>
          </w:tcPr>
          <w:p w14:paraId="6669FC0B" w14:textId="77777777" w:rsidR="00A702AF" w:rsidRDefault="00A702AF" w:rsidP="00032E00">
            <w:pPr>
              <w:pStyle w:val="UtilComTabletext"/>
              <w:spacing w:line="240" w:lineRule="auto"/>
            </w:pPr>
            <w:r>
              <w:t xml:space="preserve">Power Generation Corporation (trading as Territory Generation) </w:t>
            </w:r>
          </w:p>
        </w:tc>
        <w:tc>
          <w:tcPr>
            <w:tcW w:w="1873" w:type="pct"/>
            <w:tcBorders>
              <w:top w:val="single" w:sz="4" w:space="0" w:color="auto"/>
            </w:tcBorders>
            <w:tcMar>
              <w:right w:w="567" w:type="dxa"/>
            </w:tcMar>
          </w:tcPr>
          <w:p w14:paraId="0AF71FD8" w14:textId="77777777" w:rsidR="00A702AF" w:rsidRDefault="00A702AF" w:rsidP="00F9446E">
            <w:pPr>
              <w:pStyle w:val="UtilComTableNumbers"/>
              <w:spacing w:line="240" w:lineRule="auto"/>
              <w:ind w:right="-458"/>
              <w:jc w:val="left"/>
            </w:pPr>
            <w:r>
              <w:t>Generation</w:t>
            </w:r>
          </w:p>
        </w:tc>
      </w:tr>
      <w:tr w:rsidR="00A702AF" w:rsidRPr="00CD0BDF" w14:paraId="5948B1EE" w14:textId="77777777" w:rsidTr="00F9446E">
        <w:trPr>
          <w:trHeight w:val="360"/>
        </w:trPr>
        <w:tc>
          <w:tcPr>
            <w:tcW w:w="3127" w:type="pct"/>
            <w:tcBorders>
              <w:top w:val="single" w:sz="4" w:space="0" w:color="auto"/>
            </w:tcBorders>
          </w:tcPr>
          <w:p w14:paraId="5BA446B4" w14:textId="77777777" w:rsidR="00A702AF" w:rsidRDefault="00A702AF" w:rsidP="00032E00">
            <w:pPr>
              <w:pStyle w:val="UtilComTabletext"/>
              <w:spacing w:line="240" w:lineRule="auto"/>
            </w:pPr>
            <w:proofErr w:type="spellStart"/>
            <w:r>
              <w:t>QEnergy</w:t>
            </w:r>
            <w:proofErr w:type="spellEnd"/>
            <w:r>
              <w:t xml:space="preserve"> Limited</w:t>
            </w:r>
          </w:p>
        </w:tc>
        <w:tc>
          <w:tcPr>
            <w:tcW w:w="1873" w:type="pct"/>
            <w:tcBorders>
              <w:top w:val="single" w:sz="4" w:space="0" w:color="auto"/>
            </w:tcBorders>
            <w:tcMar>
              <w:right w:w="567" w:type="dxa"/>
            </w:tcMar>
          </w:tcPr>
          <w:p w14:paraId="48394CEB" w14:textId="77777777" w:rsidR="00A702AF" w:rsidRDefault="00A702AF" w:rsidP="00F9446E">
            <w:pPr>
              <w:pStyle w:val="UtilComTableNumbers"/>
              <w:spacing w:line="240" w:lineRule="auto"/>
              <w:ind w:right="-458"/>
              <w:jc w:val="left"/>
            </w:pPr>
            <w:r>
              <w:t>Retail</w:t>
            </w:r>
          </w:p>
        </w:tc>
      </w:tr>
      <w:tr w:rsidR="00A702AF" w:rsidRPr="00CD0BDF" w14:paraId="77348A6D" w14:textId="77777777" w:rsidTr="00F9446E">
        <w:trPr>
          <w:trHeight w:val="360"/>
        </w:trPr>
        <w:tc>
          <w:tcPr>
            <w:tcW w:w="3127" w:type="pct"/>
            <w:tcBorders>
              <w:top w:val="single" w:sz="4" w:space="0" w:color="auto"/>
            </w:tcBorders>
          </w:tcPr>
          <w:p w14:paraId="54DEDA24" w14:textId="77777777" w:rsidR="00A702AF" w:rsidRDefault="00A702AF" w:rsidP="00032E00">
            <w:pPr>
              <w:pStyle w:val="UtilComTabletext"/>
              <w:spacing w:line="240" w:lineRule="auto"/>
            </w:pPr>
            <w:proofErr w:type="spellStart"/>
            <w:r>
              <w:t>Rimfire</w:t>
            </w:r>
            <w:proofErr w:type="spellEnd"/>
            <w:r>
              <w:t xml:space="preserve"> Energy Pty Ltd</w:t>
            </w:r>
          </w:p>
        </w:tc>
        <w:tc>
          <w:tcPr>
            <w:tcW w:w="1873" w:type="pct"/>
            <w:tcBorders>
              <w:top w:val="single" w:sz="4" w:space="0" w:color="auto"/>
            </w:tcBorders>
            <w:tcMar>
              <w:right w:w="567" w:type="dxa"/>
            </w:tcMar>
          </w:tcPr>
          <w:p w14:paraId="04637963" w14:textId="77777777" w:rsidR="00A702AF" w:rsidRDefault="00A702AF" w:rsidP="00F9446E">
            <w:pPr>
              <w:pStyle w:val="UtilComTableNumbers"/>
              <w:spacing w:line="240" w:lineRule="auto"/>
              <w:ind w:right="-458"/>
              <w:jc w:val="left"/>
            </w:pPr>
            <w:r>
              <w:t>Retail</w:t>
            </w:r>
          </w:p>
        </w:tc>
      </w:tr>
    </w:tbl>
    <w:p w14:paraId="39BF5ED2" w14:textId="77777777" w:rsidR="009F29A1" w:rsidRDefault="009F29A1" w:rsidP="009F29A1">
      <w:pPr>
        <w:pStyle w:val="ListParagraph"/>
        <w:spacing w:before="0" w:after="0" w:line="240" w:lineRule="auto"/>
        <w:ind w:left="567"/>
        <w:contextualSpacing w:val="0"/>
      </w:pPr>
    </w:p>
    <w:p w14:paraId="5760ACB6" w14:textId="424480A5" w:rsidR="00B57FA7" w:rsidRDefault="00A702AF" w:rsidP="00520DD3">
      <w:pPr>
        <w:pStyle w:val="ListParagraph"/>
        <w:numPr>
          <w:ilvl w:val="1"/>
          <w:numId w:val="10"/>
        </w:numPr>
        <w:spacing w:before="200" w:after="200"/>
        <w:ind w:left="567" w:hanging="567"/>
        <w:contextualSpacing w:val="0"/>
        <w:sectPr w:rsidR="00B57FA7" w:rsidSect="007B4D83">
          <w:headerReference w:type="default" r:id="rId18"/>
          <w:headerReference w:type="first" r:id="rId19"/>
          <w:pgSz w:w="11906" w:h="16838"/>
          <w:pgMar w:top="1388" w:right="1416" w:bottom="851" w:left="1440" w:header="708" w:footer="708" w:gutter="0"/>
          <w:pgNumType w:start="1"/>
          <w:cols w:space="708"/>
          <w:titlePg/>
          <w:docGrid w:linePitch="360"/>
        </w:sectPr>
      </w:pPr>
      <w:r>
        <w:t xml:space="preserve">On 30 June 2016, the Commission granted </w:t>
      </w:r>
      <w:proofErr w:type="spellStart"/>
      <w:r>
        <w:t>licences</w:t>
      </w:r>
      <w:proofErr w:type="spellEnd"/>
      <w:r>
        <w:t xml:space="preserve"> for retail and generation to EDL</w:t>
      </w:r>
      <w:r w:rsidR="00B8746C">
        <w:t> </w:t>
      </w:r>
      <w:r>
        <w:t>NGD (NT) Pty Ltd</w:t>
      </w:r>
      <w:r w:rsidR="007E764E">
        <w:t>.</w:t>
      </w:r>
      <w:r w:rsidR="00520DD3">
        <w:t xml:space="preserve"> </w:t>
      </w:r>
      <w:r w:rsidR="009645A1">
        <w:t>EDL</w:t>
      </w:r>
      <w:r w:rsidR="00520DD3">
        <w:t xml:space="preserve"> was not required to </w:t>
      </w:r>
      <w:bookmarkStart w:id="27" w:name="_Toc442328915"/>
      <w:bookmarkEnd w:id="26"/>
      <w:r w:rsidR="00520DD3">
        <w:t xml:space="preserve">submit a compliance report for the 2015-16 year. </w:t>
      </w:r>
    </w:p>
    <w:p w14:paraId="32CEB655" w14:textId="77777777" w:rsidR="00DB3FE7" w:rsidRDefault="0051247F" w:rsidP="009F29A1">
      <w:pPr>
        <w:pStyle w:val="NumberLevel1"/>
        <w:tabs>
          <w:tab w:val="num" w:pos="2559"/>
        </w:tabs>
        <w:spacing w:before="500"/>
        <w:ind w:left="431" w:hanging="431"/>
      </w:pPr>
      <w:r>
        <w:lastRenderedPageBreak/>
        <w:t>CHAPTER 2</w:t>
      </w:r>
    </w:p>
    <w:p w14:paraId="3F35AA27" w14:textId="77777777" w:rsidR="009B548B" w:rsidRPr="003E3A6B" w:rsidRDefault="0051247F" w:rsidP="002358BB">
      <w:pPr>
        <w:pStyle w:val="UtilComHeading2"/>
        <w:rPr>
          <w:color w:val="31849B" w:themeColor="accent5" w:themeShade="BF"/>
          <w:lang w:eastAsia="en-AU"/>
        </w:rPr>
      </w:pPr>
      <w:bookmarkStart w:id="28" w:name="_Toc473546903"/>
      <w:r w:rsidRPr="003E3A6B">
        <w:rPr>
          <w:color w:val="31849B" w:themeColor="accent5" w:themeShade="BF"/>
          <w:lang w:eastAsia="en-AU"/>
        </w:rPr>
        <w:t>Breaches Reported 201</w:t>
      </w:r>
      <w:r w:rsidR="00E668DD">
        <w:rPr>
          <w:color w:val="31849B" w:themeColor="accent5" w:themeShade="BF"/>
          <w:lang w:eastAsia="en-AU"/>
        </w:rPr>
        <w:t>5-16</w:t>
      </w:r>
      <w:bookmarkEnd w:id="28"/>
    </w:p>
    <w:p w14:paraId="08CD7AC1" w14:textId="49B262F3" w:rsidR="00FB1B10" w:rsidRDefault="00DE21C1" w:rsidP="00991851">
      <w:pPr>
        <w:pStyle w:val="ListParagraph"/>
        <w:numPr>
          <w:ilvl w:val="0"/>
          <w:numId w:val="13"/>
        </w:numPr>
        <w:spacing w:before="200" w:after="200"/>
        <w:ind w:left="709" w:hanging="720"/>
        <w:contextualSpacing w:val="0"/>
      </w:pPr>
      <w:r>
        <w:t xml:space="preserve">In the </w:t>
      </w:r>
      <w:r w:rsidRPr="0051247F">
        <w:t>interests</w:t>
      </w:r>
      <w:r>
        <w:t xml:space="preserve"> of transparency and </w:t>
      </w:r>
      <w:r w:rsidR="00032E00">
        <w:t xml:space="preserve">to be </w:t>
      </w:r>
      <w:r>
        <w:t xml:space="preserve">consistent with the practices of other jurisdictions, the Commission </w:t>
      </w:r>
      <w:r w:rsidR="003F3FCA">
        <w:t>publishes</w:t>
      </w:r>
      <w:r>
        <w:t xml:space="preserve"> a summary of the </w:t>
      </w:r>
      <w:r w:rsidR="00C53700">
        <w:t>Compliance Report</w:t>
      </w:r>
      <w:r>
        <w:t>s</w:t>
      </w:r>
      <w:r w:rsidR="00037306">
        <w:t xml:space="preserve"> received</w:t>
      </w:r>
      <w:r>
        <w:t>, a description of breaches reported by each licensee and remedial action proposed or taken by the licensee in order to resolve the breach</w:t>
      </w:r>
      <w:r w:rsidR="00D141B5">
        <w:t>, and</w:t>
      </w:r>
      <w:r w:rsidR="005C2D21">
        <w:t xml:space="preserve"> enforcement action</w:t>
      </w:r>
      <w:r w:rsidR="00D141B5">
        <w:t xml:space="preserve"> taken by the Commission</w:t>
      </w:r>
      <w:r w:rsidR="005C2D21">
        <w:t>, if any</w:t>
      </w:r>
      <w:r>
        <w:t>.</w:t>
      </w:r>
      <w:bookmarkEnd w:id="27"/>
    </w:p>
    <w:p w14:paraId="4DEAF6C2" w14:textId="77D44973" w:rsidR="0097319D" w:rsidRPr="00583D4F" w:rsidRDefault="0097319D" w:rsidP="00991851">
      <w:pPr>
        <w:pStyle w:val="ListParagraph"/>
        <w:numPr>
          <w:ilvl w:val="0"/>
          <w:numId w:val="13"/>
        </w:numPr>
        <w:spacing w:before="200" w:after="200"/>
        <w:ind w:left="709" w:hanging="720"/>
        <w:contextualSpacing w:val="0"/>
      </w:pPr>
      <w:bookmarkStart w:id="29" w:name="_Toc442328916"/>
      <w:r>
        <w:t>Where breaches have been reported</w:t>
      </w:r>
      <w:r w:rsidR="0051247F">
        <w:t>,</w:t>
      </w:r>
      <w:r>
        <w:t xml:space="preserve"> the Commission provides comment on whether</w:t>
      </w:r>
      <w:r w:rsidR="003D7D27">
        <w:t xml:space="preserve"> or not</w:t>
      </w:r>
      <w:r>
        <w:t xml:space="preserve"> it considers the breaches to be material</w:t>
      </w:r>
      <w:r w:rsidR="00032E00">
        <w:t>,</w:t>
      </w:r>
      <w:r>
        <w:t xml:space="preserve"> the Commission’s overall assessment of the licensee’s compliance and any mitigating factors.</w:t>
      </w:r>
      <w:bookmarkEnd w:id="29"/>
    </w:p>
    <w:p w14:paraId="4A09569B" w14:textId="77777777" w:rsidR="0097319D" w:rsidRDefault="0097319D" w:rsidP="00991851">
      <w:pPr>
        <w:pStyle w:val="ListParagraph"/>
        <w:numPr>
          <w:ilvl w:val="0"/>
          <w:numId w:val="13"/>
        </w:numPr>
        <w:spacing w:before="200" w:after="200"/>
        <w:ind w:left="709" w:hanging="720"/>
        <w:contextualSpacing w:val="0"/>
      </w:pPr>
      <w:bookmarkStart w:id="30" w:name="_Toc442328917"/>
      <w:r>
        <w:t>In assessing whether breaches are material, the Commission also considers the licensee’s remedial actions, factors behind each breach, level of cooperation and initiative in being forthcoming and open to reporting breaches, and the licensee’s self-assessment of the materiality of the breach.</w:t>
      </w:r>
      <w:bookmarkEnd w:id="30"/>
    </w:p>
    <w:p w14:paraId="634C41E3" w14:textId="77777777" w:rsidR="00DB3FE7" w:rsidRDefault="00387EFD">
      <w:pPr>
        <w:pStyle w:val="UtilComHeading3"/>
      </w:pPr>
      <w:bookmarkStart w:id="31" w:name="_Toc473546904"/>
      <w:r>
        <w:t>Territory Generation</w:t>
      </w:r>
      <w:bookmarkEnd w:id="31"/>
    </w:p>
    <w:p w14:paraId="7F888989" w14:textId="77777777" w:rsidR="001B6B35" w:rsidRPr="00F769DB" w:rsidRDefault="00387EFD" w:rsidP="00991851">
      <w:pPr>
        <w:pStyle w:val="ListParagraph"/>
        <w:numPr>
          <w:ilvl w:val="0"/>
          <w:numId w:val="13"/>
        </w:numPr>
        <w:spacing w:before="200" w:after="200"/>
        <w:ind w:left="709" w:hanging="720"/>
        <w:contextualSpacing w:val="0"/>
      </w:pPr>
      <w:r>
        <w:t>No breaches were reported by Territory Generation for the 201</w:t>
      </w:r>
      <w:r w:rsidR="00640608">
        <w:t xml:space="preserve">5-16 </w:t>
      </w:r>
      <w:r>
        <w:t xml:space="preserve">financial year. </w:t>
      </w:r>
    </w:p>
    <w:p w14:paraId="34115870" w14:textId="5CFBA55C" w:rsidR="00B4653D" w:rsidRDefault="00B4653D" w:rsidP="00991851">
      <w:pPr>
        <w:pStyle w:val="ListParagraph"/>
        <w:widowControl w:val="0"/>
        <w:numPr>
          <w:ilvl w:val="0"/>
          <w:numId w:val="13"/>
        </w:numPr>
        <w:spacing w:before="200" w:after="200"/>
        <w:ind w:left="709" w:hanging="720"/>
        <w:contextualSpacing w:val="0"/>
      </w:pPr>
      <w:r>
        <w:t>The Commission note</w:t>
      </w:r>
      <w:r w:rsidR="004704CA">
        <w:t>s</w:t>
      </w:r>
      <w:r>
        <w:t xml:space="preserve"> that</w:t>
      </w:r>
      <w:r w:rsidR="00091B25">
        <w:t xml:space="preserve"> </w:t>
      </w:r>
      <w:r w:rsidR="00640608">
        <w:t>a compliance audit of Territory Generation</w:t>
      </w:r>
      <w:r w:rsidR="004704CA">
        <w:t xml:space="preserve"> </w:t>
      </w:r>
      <w:r w:rsidR="00DC7DAB">
        <w:t>was completed in early 2017</w:t>
      </w:r>
      <w:r w:rsidR="00152E92">
        <w:t>,</w:t>
      </w:r>
      <w:r w:rsidR="00DC7DAB">
        <w:t xml:space="preserve"> and the Commission will consider the findings and recommendations and</w:t>
      </w:r>
      <w:r>
        <w:t xml:space="preserve"> identify if there are any issues for the licensee to consider.  </w:t>
      </w:r>
    </w:p>
    <w:p w14:paraId="187A8A58" w14:textId="77777777" w:rsidR="00387EFD" w:rsidRDefault="00387EFD" w:rsidP="00387EFD">
      <w:pPr>
        <w:pStyle w:val="UtilComHeading3"/>
      </w:pPr>
      <w:bookmarkStart w:id="32" w:name="_Toc473546905"/>
      <w:r>
        <w:t>Jac</w:t>
      </w:r>
      <w:r w:rsidRPr="00387EFD">
        <w:rPr>
          <w:b w:val="0"/>
        </w:rPr>
        <w:t>a</w:t>
      </w:r>
      <w:r>
        <w:t>na Energy</w:t>
      </w:r>
      <w:bookmarkEnd w:id="32"/>
    </w:p>
    <w:p w14:paraId="301A1AA7" w14:textId="77777777" w:rsidR="00640608" w:rsidRDefault="00640608" w:rsidP="00991851">
      <w:pPr>
        <w:pStyle w:val="ListParagraph"/>
        <w:numPr>
          <w:ilvl w:val="0"/>
          <w:numId w:val="13"/>
        </w:numPr>
        <w:spacing w:before="200" w:after="200"/>
        <w:ind w:left="709" w:hanging="720"/>
        <w:contextualSpacing w:val="0"/>
      </w:pPr>
      <w:r>
        <w:t xml:space="preserve">No breaches were reported by Jacana Energy for the 2015-16 financial year. </w:t>
      </w:r>
    </w:p>
    <w:p w14:paraId="747D337C" w14:textId="4D787143" w:rsidR="00640608" w:rsidRDefault="00640608" w:rsidP="00991851">
      <w:pPr>
        <w:pStyle w:val="ListParagraph"/>
        <w:numPr>
          <w:ilvl w:val="0"/>
          <w:numId w:val="13"/>
        </w:numPr>
        <w:spacing w:before="200" w:after="200"/>
        <w:ind w:left="709" w:hanging="720"/>
        <w:contextualSpacing w:val="0"/>
      </w:pPr>
      <w:r>
        <w:t>Jacana Energy notified the Commission that it was in the process of investigating a potential issue relating to the Pricing Order</w:t>
      </w:r>
      <w:r w:rsidR="00546FB0">
        <w:t xml:space="preserve"> and customer transfer timeframes</w:t>
      </w:r>
      <w:r>
        <w:t xml:space="preserve">. </w:t>
      </w:r>
      <w:r w:rsidR="0006594C">
        <w:t xml:space="preserve">The Commission considers Jacana Energy’s engagement with the Commission in relation to a potential breach to be good regulatory practice.  </w:t>
      </w:r>
    </w:p>
    <w:p w14:paraId="15431036" w14:textId="3B40E702" w:rsidR="004704CA" w:rsidRDefault="004704CA" w:rsidP="004704CA">
      <w:pPr>
        <w:pStyle w:val="ListParagraph"/>
        <w:widowControl w:val="0"/>
        <w:numPr>
          <w:ilvl w:val="0"/>
          <w:numId w:val="13"/>
        </w:numPr>
        <w:spacing w:before="200" w:after="200"/>
        <w:ind w:left="709" w:hanging="720"/>
        <w:contextualSpacing w:val="0"/>
      </w:pPr>
      <w:r>
        <w:t xml:space="preserve">The Commission notes that the findings and recommendations of a compliance audit of Jacana Energy to be completed in </w:t>
      </w:r>
      <w:r w:rsidR="00A9387A">
        <w:t>early 2017</w:t>
      </w:r>
      <w:r>
        <w:t xml:space="preserve"> will identify if there are any issues for the licensee to consider.  </w:t>
      </w:r>
    </w:p>
    <w:p w14:paraId="1FAC4FB8" w14:textId="4477DC9C" w:rsidR="009F29A1" w:rsidRDefault="009F29A1" w:rsidP="004704CA">
      <w:pPr>
        <w:pStyle w:val="ListParagraph"/>
        <w:widowControl w:val="0"/>
        <w:numPr>
          <w:ilvl w:val="0"/>
          <w:numId w:val="13"/>
        </w:numPr>
        <w:spacing w:before="200" w:after="200"/>
        <w:ind w:left="709" w:hanging="720"/>
        <w:contextualSpacing w:val="0"/>
      </w:pPr>
      <w:r>
        <w:t>During 2017, the Commission will undertake an audit of Jacana Energy and</w:t>
      </w:r>
      <w:r w:rsidR="00032E00">
        <w:t xml:space="preserve"> Power and Water Corporation’s</w:t>
      </w:r>
      <w:r>
        <w:t xml:space="preserve"> </w:t>
      </w:r>
      <w:r w:rsidR="00032E00">
        <w:t>(</w:t>
      </w:r>
      <w:r>
        <w:t>PWC’s</w:t>
      </w:r>
      <w:r w:rsidR="00032E00">
        <w:t>)</w:t>
      </w:r>
      <w:r>
        <w:t xml:space="preserve"> compliance with the electricity pricing orders. </w:t>
      </w:r>
    </w:p>
    <w:p w14:paraId="48D1B432" w14:textId="77777777" w:rsidR="00387EFD" w:rsidRDefault="00387EFD" w:rsidP="00387EFD">
      <w:pPr>
        <w:pStyle w:val="UtilComHeading3"/>
      </w:pPr>
      <w:bookmarkStart w:id="33" w:name="_Toc473546906"/>
      <w:r>
        <w:t>ERM Power Retail Pty Ltd</w:t>
      </w:r>
      <w:bookmarkEnd w:id="33"/>
    </w:p>
    <w:p w14:paraId="2FFAC512" w14:textId="77777777" w:rsidR="00387EFD" w:rsidRPr="00F769DB" w:rsidRDefault="00387EFD" w:rsidP="00991851">
      <w:pPr>
        <w:pStyle w:val="ListParagraph"/>
        <w:numPr>
          <w:ilvl w:val="0"/>
          <w:numId w:val="13"/>
        </w:numPr>
        <w:spacing w:before="200" w:after="200"/>
        <w:ind w:left="709" w:hanging="720"/>
        <w:contextualSpacing w:val="0"/>
      </w:pPr>
      <w:r>
        <w:t>No breaches were reported by ERM Power Retail Pty Ltd for the 201</w:t>
      </w:r>
      <w:r w:rsidR="004E3E84">
        <w:t xml:space="preserve">5-16 </w:t>
      </w:r>
      <w:r>
        <w:t xml:space="preserve">financial year. </w:t>
      </w:r>
    </w:p>
    <w:p w14:paraId="42671463" w14:textId="77777777" w:rsidR="00387EFD" w:rsidRDefault="00387EFD" w:rsidP="00387EFD">
      <w:pPr>
        <w:pStyle w:val="UtilComHeading3"/>
      </w:pPr>
      <w:bookmarkStart w:id="34" w:name="_Toc473546907"/>
      <w:proofErr w:type="spellStart"/>
      <w:r>
        <w:t>QEnergy</w:t>
      </w:r>
      <w:proofErr w:type="spellEnd"/>
      <w:r>
        <w:t xml:space="preserve"> Limited</w:t>
      </w:r>
      <w:bookmarkEnd w:id="34"/>
    </w:p>
    <w:p w14:paraId="0785F36F" w14:textId="77777777" w:rsidR="00387EFD" w:rsidRPr="00B37B7B" w:rsidRDefault="00387EFD" w:rsidP="00991851">
      <w:pPr>
        <w:pStyle w:val="ListParagraph"/>
        <w:numPr>
          <w:ilvl w:val="0"/>
          <w:numId w:val="13"/>
        </w:numPr>
        <w:spacing w:before="200" w:after="200"/>
        <w:ind w:left="709" w:hanging="720"/>
        <w:contextualSpacing w:val="0"/>
      </w:pPr>
      <w:r w:rsidRPr="00B37B7B">
        <w:t xml:space="preserve">No breaches were reported by </w:t>
      </w:r>
      <w:proofErr w:type="spellStart"/>
      <w:r w:rsidRPr="00B37B7B">
        <w:t>QEnergy</w:t>
      </w:r>
      <w:proofErr w:type="spellEnd"/>
      <w:r w:rsidRPr="00B37B7B">
        <w:t xml:space="preserve"> Limited for the 201</w:t>
      </w:r>
      <w:r w:rsidR="004E3E84" w:rsidRPr="00B37B7B">
        <w:t xml:space="preserve">5-16 </w:t>
      </w:r>
      <w:r w:rsidRPr="00B37B7B">
        <w:t xml:space="preserve">financial year. </w:t>
      </w:r>
    </w:p>
    <w:p w14:paraId="38D89828" w14:textId="77777777" w:rsidR="00387EFD" w:rsidRDefault="00387EFD" w:rsidP="00387EFD">
      <w:pPr>
        <w:pStyle w:val="UtilComHeading3"/>
      </w:pPr>
      <w:bookmarkStart w:id="35" w:name="_Toc473546908"/>
      <w:proofErr w:type="spellStart"/>
      <w:r>
        <w:lastRenderedPageBreak/>
        <w:t>Rimfire</w:t>
      </w:r>
      <w:proofErr w:type="spellEnd"/>
      <w:r>
        <w:t xml:space="preserve"> Energy Pty Ltd</w:t>
      </w:r>
      <w:bookmarkEnd w:id="35"/>
    </w:p>
    <w:p w14:paraId="6851FE29" w14:textId="5FEA9472" w:rsidR="007A7473" w:rsidRPr="007A7473" w:rsidRDefault="00E36F46" w:rsidP="00E36F46">
      <w:pPr>
        <w:pStyle w:val="ListParagraph"/>
        <w:numPr>
          <w:ilvl w:val="0"/>
          <w:numId w:val="13"/>
        </w:numPr>
        <w:spacing w:before="200" w:after="200"/>
        <w:ind w:left="709" w:hanging="720"/>
        <w:contextualSpacing w:val="0"/>
      </w:pPr>
      <w:r w:rsidRPr="00B37B7B">
        <w:t xml:space="preserve">No breaches were reported by </w:t>
      </w:r>
      <w:proofErr w:type="spellStart"/>
      <w:r>
        <w:t>Rimfire</w:t>
      </w:r>
      <w:proofErr w:type="spellEnd"/>
      <w:r>
        <w:t xml:space="preserve"> Energy</w:t>
      </w:r>
      <w:r w:rsidRPr="00B37B7B">
        <w:t xml:space="preserve"> for the 2015-16 financial year. </w:t>
      </w:r>
      <w:r w:rsidR="007A7473" w:rsidRPr="007A7473">
        <w:t xml:space="preserve"> </w:t>
      </w:r>
    </w:p>
    <w:p w14:paraId="39640709" w14:textId="6F81641C" w:rsidR="00B75DCD" w:rsidRPr="0056465E" w:rsidRDefault="00B75DCD" w:rsidP="00B75DCD">
      <w:pPr>
        <w:pStyle w:val="UtilComHeading3"/>
        <w:rPr>
          <w:lang w:val="en-US"/>
        </w:rPr>
      </w:pPr>
      <w:bookmarkStart w:id="36" w:name="_Toc473546909"/>
      <w:r w:rsidRPr="0056465E">
        <w:rPr>
          <w:lang w:val="en-US"/>
        </w:rPr>
        <w:t>Power and Water Corporation</w:t>
      </w:r>
      <w:bookmarkEnd w:id="36"/>
    </w:p>
    <w:p w14:paraId="4D6EA42F" w14:textId="77777777" w:rsidR="00B75DCD" w:rsidRDefault="00B75DCD" w:rsidP="00B75DCD">
      <w:pPr>
        <w:pStyle w:val="ListParagraph"/>
        <w:numPr>
          <w:ilvl w:val="0"/>
          <w:numId w:val="13"/>
        </w:numPr>
        <w:spacing w:before="200" w:after="200"/>
        <w:ind w:left="709" w:hanging="720"/>
        <w:contextualSpacing w:val="0"/>
      </w:pPr>
      <w:bookmarkStart w:id="37" w:name="_Toc442328924"/>
      <w:r w:rsidRPr="00DC56FD">
        <w:t xml:space="preserve">PWC has identified </w:t>
      </w:r>
      <w:r>
        <w:t xml:space="preserve">six breaches of regulatory obligations in its Compliance Report. </w:t>
      </w:r>
    </w:p>
    <w:p w14:paraId="289D7698" w14:textId="646CD4A6" w:rsidR="00B75DCD" w:rsidRDefault="00B75DCD" w:rsidP="00B75DCD">
      <w:pPr>
        <w:pStyle w:val="ListParagraph"/>
        <w:numPr>
          <w:ilvl w:val="0"/>
          <w:numId w:val="22"/>
        </w:numPr>
        <w:spacing w:before="200" w:after="200"/>
        <w:contextualSpacing w:val="0"/>
      </w:pPr>
      <w:r>
        <w:t>PWC reported a breach of the 2014 Network Price Determination occurring when the cost of providing and installing a meter for a new connection for individual customers, which is classified as a Standard Control Service under its revenue cap, was included as a separate and additional charge as an Alternative Control Service (ACS). The</w:t>
      </w:r>
      <w:r w:rsidR="00863D3D">
        <w:t xml:space="preserve"> Commission was made aware of the</w:t>
      </w:r>
      <w:r>
        <w:t xml:space="preserve"> breach in late 2015, and the Commission was formally notified by PWC in March 2016. The Commission consi</w:t>
      </w:r>
      <w:r w:rsidR="00C41C58">
        <w:t>dered this breach to be material.</w:t>
      </w:r>
      <w:r>
        <w:t xml:space="preserve"> </w:t>
      </w:r>
      <w:r w:rsidR="00C41C58">
        <w:t>In June 2016, the Commission undertook a detailed review of PWC’s compliance with the Determination and the compliance processes leading up to reporting of the breach</w:t>
      </w:r>
      <w:r>
        <w:t xml:space="preserve">. </w:t>
      </w:r>
    </w:p>
    <w:p w14:paraId="3BDB5EB0" w14:textId="2612B465" w:rsidR="00B75DCD" w:rsidRDefault="00B75DCD" w:rsidP="00B75DCD">
      <w:pPr>
        <w:pStyle w:val="ListParagraph"/>
        <w:numPr>
          <w:ilvl w:val="0"/>
          <w:numId w:val="22"/>
        </w:numPr>
        <w:spacing w:before="200" w:after="200"/>
        <w:contextualSpacing w:val="0"/>
      </w:pPr>
      <w:r>
        <w:t xml:space="preserve">PWC reported a breach of a delay in submitting its regulatory accounts for </w:t>
      </w:r>
      <w:r w:rsidR="009F29A1">
        <w:br/>
      </w:r>
      <w:r>
        <w:t>2014-15. The regulatory accounts were submitted to the Commission on 31</w:t>
      </w:r>
      <w:r w:rsidR="009F29A1">
        <w:t> </w:t>
      </w:r>
      <w:r>
        <w:t xml:space="preserve">August 2016. </w:t>
      </w:r>
      <w:r w:rsidR="007A4FBA">
        <w:t>The</w:t>
      </w:r>
      <w:r>
        <w:t xml:space="preserve"> Commission considers this breach to be major and notes that PWC </w:t>
      </w:r>
      <w:r w:rsidR="00032E00">
        <w:t xml:space="preserve">has </w:t>
      </w:r>
      <w:r>
        <w:t xml:space="preserve">addressed the issue, together with actions taken in relation to its financial statements. </w:t>
      </w:r>
    </w:p>
    <w:p w14:paraId="69CC6BFD" w14:textId="77777777" w:rsidR="00B75DCD" w:rsidRDefault="00B75DCD" w:rsidP="00B75DCD">
      <w:pPr>
        <w:pStyle w:val="ListParagraph"/>
        <w:numPr>
          <w:ilvl w:val="0"/>
          <w:numId w:val="22"/>
        </w:numPr>
        <w:spacing w:before="200" w:after="200"/>
        <w:contextualSpacing w:val="0"/>
      </w:pPr>
      <w:r>
        <w:t xml:space="preserve">PWC reported breaches of the Electricity Retail Supply Code involving customer notification timeframes. </w:t>
      </w:r>
    </w:p>
    <w:p w14:paraId="6257B1E2" w14:textId="25CBD821" w:rsidR="00B75DCD" w:rsidRDefault="00B75DCD" w:rsidP="00B75DCD">
      <w:pPr>
        <w:pStyle w:val="ListParagraph"/>
        <w:numPr>
          <w:ilvl w:val="0"/>
          <w:numId w:val="22"/>
        </w:numPr>
        <w:spacing w:before="200" w:after="200"/>
        <w:contextualSpacing w:val="0"/>
      </w:pPr>
      <w:r>
        <w:t>PWC reported two breaches of the Ring-fencing Code</w:t>
      </w:r>
      <w:r w:rsidR="00032E00">
        <w:t>,</w:t>
      </w:r>
      <w:r>
        <w:t xml:space="preserve"> which were reported previously in the 2014-15 declaration. While the Commission considers these breaches to be individually minor, the Commission notes that the recurrence of these breaches highlight</w:t>
      </w:r>
      <w:r w:rsidR="009F29A1">
        <w:t>s</w:t>
      </w:r>
      <w:r>
        <w:t xml:space="preserve"> </w:t>
      </w:r>
      <w:r w:rsidR="00EF4641">
        <w:t xml:space="preserve">possible </w:t>
      </w:r>
      <w:r>
        <w:t xml:space="preserve">issues in </w:t>
      </w:r>
      <w:r w:rsidR="000730C2">
        <w:t>PWC’s processes in handling information</w:t>
      </w:r>
      <w:r w:rsidR="009F29A1">
        <w:t xml:space="preserve">. The Commission will </w:t>
      </w:r>
      <w:r>
        <w:t xml:space="preserve">continue to work with PWC to monitor compliance with </w:t>
      </w:r>
      <w:r w:rsidR="009F29A1">
        <w:t>this obligation</w:t>
      </w:r>
      <w:r>
        <w:t xml:space="preserve">. </w:t>
      </w:r>
    </w:p>
    <w:p w14:paraId="5950174C" w14:textId="1671587A" w:rsidR="00B75DCD" w:rsidRPr="00406D26" w:rsidRDefault="00B75DCD" w:rsidP="00B75DCD">
      <w:pPr>
        <w:pStyle w:val="ListParagraph"/>
        <w:numPr>
          <w:ilvl w:val="0"/>
          <w:numId w:val="22"/>
        </w:numPr>
        <w:spacing w:before="200" w:after="200"/>
        <w:contextualSpacing w:val="0"/>
      </w:pPr>
      <w:r w:rsidRPr="00406D26">
        <w:t xml:space="preserve">PWC reported a breach of a delay in submitting its Water and Sewerage Asset Management Plan in accordance with </w:t>
      </w:r>
      <w:r w:rsidR="006D54F1">
        <w:t>the</w:t>
      </w:r>
      <w:r w:rsidRPr="00406D26">
        <w:t xml:space="preserve"> </w:t>
      </w:r>
      <w:r w:rsidRPr="009F29A1">
        <w:rPr>
          <w:i/>
        </w:rPr>
        <w:t>Water Supply and Sewerage Services Act</w:t>
      </w:r>
      <w:r w:rsidR="009F29A1">
        <w:rPr>
          <w:rStyle w:val="FootnoteReference"/>
          <w:i/>
        </w:rPr>
        <w:footnoteReference w:id="13"/>
      </w:r>
      <w:r w:rsidRPr="00406D26">
        <w:t xml:space="preserve">. As of 31 August 2016, PWC was in breach of the requirement to submit plans for minor retail </w:t>
      </w:r>
      <w:proofErr w:type="spellStart"/>
      <w:r w:rsidRPr="00406D26">
        <w:t>centres</w:t>
      </w:r>
      <w:proofErr w:type="spellEnd"/>
      <w:r w:rsidRPr="00406D26">
        <w:t xml:space="preserve">. The breach relating to asset plans for minor </w:t>
      </w:r>
      <w:proofErr w:type="spellStart"/>
      <w:r w:rsidRPr="00406D26">
        <w:t>centres</w:t>
      </w:r>
      <w:proofErr w:type="spellEnd"/>
      <w:r w:rsidRPr="00406D26">
        <w:t xml:space="preserve"> was rectified in late September</w:t>
      </w:r>
      <w:r w:rsidR="00F45F9A">
        <w:t xml:space="preserve"> 2016</w:t>
      </w:r>
      <w:r w:rsidRPr="00406D26">
        <w:t xml:space="preserve">. </w:t>
      </w:r>
    </w:p>
    <w:bookmarkEnd w:id="37"/>
    <w:p w14:paraId="7F75AFE2" w14:textId="77777777" w:rsidR="006D54F1" w:rsidRDefault="006D54F1">
      <w:pPr>
        <w:spacing w:before="0" w:after="0" w:line="240" w:lineRule="auto"/>
        <w:rPr>
          <w:b/>
          <w:color w:val="31849B" w:themeColor="accent5" w:themeShade="BF"/>
          <w:sz w:val="28"/>
          <w:lang w:eastAsia="en-AU"/>
        </w:rPr>
      </w:pPr>
      <w:r>
        <w:rPr>
          <w:color w:val="31849B" w:themeColor="accent5" w:themeShade="BF"/>
          <w:lang w:eastAsia="en-AU"/>
        </w:rPr>
        <w:br w:type="page"/>
      </w:r>
    </w:p>
    <w:p w14:paraId="709AA389" w14:textId="46FBB10F" w:rsidR="00B75DCD" w:rsidRPr="006D54F1" w:rsidRDefault="000A0BE7" w:rsidP="006D54F1">
      <w:pPr>
        <w:pStyle w:val="UtilComHeading2"/>
        <w:rPr>
          <w:color w:val="31849B" w:themeColor="accent5" w:themeShade="BF"/>
          <w:lang w:eastAsia="en-AU"/>
        </w:rPr>
      </w:pPr>
      <w:bookmarkStart w:id="38" w:name="_Toc473546910"/>
      <w:r>
        <w:rPr>
          <w:color w:val="31849B" w:themeColor="accent5" w:themeShade="BF"/>
          <w:lang w:eastAsia="en-AU"/>
        </w:rPr>
        <w:lastRenderedPageBreak/>
        <w:t>Annual C</w:t>
      </w:r>
      <w:r w:rsidR="00CA3B15">
        <w:rPr>
          <w:color w:val="31849B" w:themeColor="accent5" w:themeShade="BF"/>
          <w:lang w:eastAsia="en-AU"/>
        </w:rPr>
        <w:t xml:space="preserve">ompliance </w:t>
      </w:r>
      <w:r w:rsidR="00B75DCD" w:rsidRPr="006D54F1">
        <w:rPr>
          <w:color w:val="31849B" w:themeColor="accent5" w:themeShade="BF"/>
          <w:lang w:eastAsia="en-AU"/>
        </w:rPr>
        <w:t>Declaration</w:t>
      </w:r>
      <w:bookmarkEnd w:id="38"/>
    </w:p>
    <w:p w14:paraId="7780B24E" w14:textId="084E2DC3" w:rsidR="00B75DCD" w:rsidRDefault="00B75DCD" w:rsidP="00B75DCD">
      <w:pPr>
        <w:pStyle w:val="ListParagraph"/>
        <w:numPr>
          <w:ilvl w:val="0"/>
          <w:numId w:val="13"/>
        </w:numPr>
        <w:spacing w:before="200" w:after="200"/>
        <w:ind w:left="709" w:hanging="720"/>
        <w:contextualSpacing w:val="0"/>
      </w:pPr>
      <w:r>
        <w:t xml:space="preserve">In PWC’s declaration, there </w:t>
      </w:r>
      <w:r w:rsidR="006D54F1">
        <w:t>we</w:t>
      </w:r>
      <w:r>
        <w:t>re several omissions from the declaration in Appendix</w:t>
      </w:r>
      <w:r w:rsidR="006D54F1">
        <w:t> </w:t>
      </w:r>
      <w:r>
        <w:t>C, Annual Compliance Report Template, of the Commissio</w:t>
      </w:r>
      <w:r w:rsidR="006D54F1">
        <w:t>n’s Guidelines relating to PWC, specifically:</w:t>
      </w:r>
    </w:p>
    <w:p w14:paraId="1F455E23" w14:textId="43817CF6" w:rsidR="00B75DCD" w:rsidRDefault="006D54F1" w:rsidP="006D54F1">
      <w:pPr>
        <w:pStyle w:val="ListParagraph"/>
        <w:numPr>
          <w:ilvl w:val="0"/>
          <w:numId w:val="24"/>
        </w:numPr>
        <w:spacing w:before="200" w:after="200"/>
        <w:ind w:left="1134" w:hanging="425"/>
        <w:contextualSpacing w:val="0"/>
        <w:rPr>
          <w:rFonts w:cs="Arial"/>
        </w:rPr>
      </w:pPr>
      <w:r>
        <w:rPr>
          <w:rFonts w:cs="Arial"/>
        </w:rPr>
        <w:t>m</w:t>
      </w:r>
      <w:r w:rsidR="00B75DCD">
        <w:rPr>
          <w:rFonts w:cs="Arial"/>
        </w:rPr>
        <w:t xml:space="preserve">aking appropriate and due enquiry to be aware of any breach of any other obligations other than those listed in the compliance report (para 2); </w:t>
      </w:r>
    </w:p>
    <w:p w14:paraId="43392BAC" w14:textId="59A3CBE6" w:rsidR="00B75DCD" w:rsidRDefault="00B75DCD" w:rsidP="006D54F1">
      <w:pPr>
        <w:pStyle w:val="ListParagraph"/>
        <w:numPr>
          <w:ilvl w:val="0"/>
          <w:numId w:val="24"/>
        </w:numPr>
        <w:spacing w:before="200" w:after="200"/>
        <w:ind w:left="1134" w:hanging="425"/>
        <w:contextualSpacing w:val="0"/>
        <w:rPr>
          <w:rFonts w:cs="Arial"/>
        </w:rPr>
      </w:pPr>
      <w:r>
        <w:rPr>
          <w:rFonts w:cs="Arial"/>
        </w:rPr>
        <w:t xml:space="preserve">the compliance program developed by PWC has identified all applicable obligations that apply to the licensee (para 3(a)); </w:t>
      </w:r>
    </w:p>
    <w:p w14:paraId="034D3FDA" w14:textId="7BD20AEC" w:rsidR="00B75DCD" w:rsidRDefault="00B75DCD" w:rsidP="006D54F1">
      <w:pPr>
        <w:pStyle w:val="ListParagraph"/>
        <w:numPr>
          <w:ilvl w:val="0"/>
          <w:numId w:val="24"/>
        </w:numPr>
        <w:spacing w:before="200" w:after="200"/>
        <w:ind w:left="1134" w:hanging="425"/>
        <w:contextualSpacing w:val="0"/>
        <w:rPr>
          <w:rFonts w:cs="Arial"/>
        </w:rPr>
      </w:pPr>
      <w:r>
        <w:rPr>
          <w:rFonts w:cs="Arial"/>
        </w:rPr>
        <w:t xml:space="preserve">PWC has allocated responsibilities for the obligations to a responsible officer (paras 3(b) and 3(c)); </w:t>
      </w:r>
    </w:p>
    <w:p w14:paraId="459743EB" w14:textId="369F44A8" w:rsidR="00B75DCD" w:rsidRDefault="00B75DCD" w:rsidP="006D54F1">
      <w:pPr>
        <w:pStyle w:val="ListParagraph"/>
        <w:numPr>
          <w:ilvl w:val="0"/>
          <w:numId w:val="24"/>
        </w:numPr>
        <w:spacing w:before="200" w:after="200"/>
        <w:ind w:left="1134" w:hanging="425"/>
        <w:contextualSpacing w:val="0"/>
        <w:rPr>
          <w:rFonts w:cs="Arial"/>
        </w:rPr>
      </w:pPr>
      <w:r>
        <w:rPr>
          <w:rFonts w:cs="Arial"/>
        </w:rPr>
        <w:t xml:space="preserve">the Board and Chief Executive Officer will be made aware of any breaches of Applicable Obligations and the process for remediation (para 3(d)); </w:t>
      </w:r>
    </w:p>
    <w:p w14:paraId="57157147" w14:textId="2C9576A5" w:rsidR="00B75DCD" w:rsidRDefault="006D54F1" w:rsidP="006D54F1">
      <w:pPr>
        <w:pStyle w:val="ListParagraph"/>
        <w:numPr>
          <w:ilvl w:val="0"/>
          <w:numId w:val="24"/>
        </w:numPr>
        <w:spacing w:before="200" w:after="200"/>
        <w:ind w:left="1134" w:hanging="425"/>
        <w:contextualSpacing w:val="0"/>
        <w:rPr>
          <w:rFonts w:cs="Arial"/>
        </w:rPr>
      </w:pPr>
      <w:r>
        <w:rPr>
          <w:rFonts w:cs="Arial"/>
        </w:rPr>
        <w:t>r</w:t>
      </w:r>
      <w:r w:rsidR="00B75DCD">
        <w:rPr>
          <w:rFonts w:cs="Arial"/>
        </w:rPr>
        <w:t>emedial action is taken as soon as possible where there are breaches of obligations (para 3(e));</w:t>
      </w:r>
      <w:r w:rsidR="00304A8B">
        <w:rPr>
          <w:rFonts w:cs="Arial"/>
        </w:rPr>
        <w:t xml:space="preserve"> and</w:t>
      </w:r>
    </w:p>
    <w:p w14:paraId="7497C256" w14:textId="6AA88A8A" w:rsidR="00B75DCD" w:rsidRPr="00FF346C" w:rsidRDefault="006D54F1" w:rsidP="006D54F1">
      <w:pPr>
        <w:pStyle w:val="ListParagraph"/>
        <w:numPr>
          <w:ilvl w:val="0"/>
          <w:numId w:val="24"/>
        </w:numPr>
        <w:spacing w:before="200" w:after="200"/>
        <w:ind w:left="1134" w:hanging="425"/>
        <w:contextualSpacing w:val="0"/>
        <w:rPr>
          <w:rFonts w:cs="Arial"/>
        </w:rPr>
      </w:pPr>
      <w:proofErr w:type="gramStart"/>
      <w:r>
        <w:rPr>
          <w:rFonts w:cs="Arial"/>
        </w:rPr>
        <w:t>c</w:t>
      </w:r>
      <w:r w:rsidR="00B75DCD">
        <w:rPr>
          <w:rFonts w:cs="Arial"/>
        </w:rPr>
        <w:t>ontinual</w:t>
      </w:r>
      <w:proofErr w:type="gramEnd"/>
      <w:r w:rsidR="00B75DCD">
        <w:rPr>
          <w:rFonts w:cs="Arial"/>
        </w:rPr>
        <w:t xml:space="preserve"> review and improvement of the compliance framework (para 3(f)). </w:t>
      </w:r>
      <w:r w:rsidR="00B75DCD">
        <w:t xml:space="preserve"> </w:t>
      </w:r>
    </w:p>
    <w:p w14:paraId="7D0759B2" w14:textId="1719C331" w:rsidR="00B75DCD" w:rsidRDefault="006D54F1" w:rsidP="00B75DCD">
      <w:pPr>
        <w:pStyle w:val="ListParagraph"/>
        <w:numPr>
          <w:ilvl w:val="0"/>
          <w:numId w:val="13"/>
        </w:numPr>
        <w:spacing w:before="200" w:after="200"/>
        <w:ind w:left="709" w:hanging="720"/>
        <w:contextualSpacing w:val="0"/>
      </w:pPr>
      <w:r>
        <w:t xml:space="preserve">At officer level, the </w:t>
      </w:r>
      <w:r w:rsidR="00304A8B">
        <w:t xml:space="preserve">Commission </w:t>
      </w:r>
      <w:r>
        <w:t xml:space="preserve">advised PWC of these omissions and </w:t>
      </w:r>
      <w:r w:rsidR="00304A8B">
        <w:t xml:space="preserve">will continue to work with PWC to ensure it complies with its </w:t>
      </w:r>
      <w:proofErr w:type="spellStart"/>
      <w:r w:rsidR="00304A8B">
        <w:t>licence</w:t>
      </w:r>
      <w:proofErr w:type="spellEnd"/>
      <w:r w:rsidR="00304A8B">
        <w:t xml:space="preserve"> conditions requiring it to </w:t>
      </w:r>
      <w:r w:rsidR="00E60859">
        <w:t xml:space="preserve">establish </w:t>
      </w:r>
      <w:r w:rsidR="00304A8B">
        <w:t>and maintain a compliance process</w:t>
      </w:r>
      <w:r w:rsidR="00C76ABE">
        <w:t xml:space="preserve"> that, at the minimum, meets the requirements of the relevant Australian Standard 19600:2015 Compliance management systems </w:t>
      </w:r>
      <w:r w:rsidR="00032E00">
        <w:t xml:space="preserve">– </w:t>
      </w:r>
      <w:r w:rsidR="00C76ABE">
        <w:t>Guidelines</w:t>
      </w:r>
      <w:r w:rsidR="00D314D3">
        <w:rPr>
          <w:rStyle w:val="FootnoteReference"/>
        </w:rPr>
        <w:footnoteReference w:id="14"/>
      </w:r>
      <w:r w:rsidR="00304A8B">
        <w:t>.</w:t>
      </w:r>
    </w:p>
    <w:p w14:paraId="1E08F6A1" w14:textId="4523CC49" w:rsidR="00B75DCD" w:rsidRPr="006D54F1" w:rsidRDefault="006D54F1" w:rsidP="006D54F1">
      <w:pPr>
        <w:pStyle w:val="UtilComHeading2"/>
        <w:rPr>
          <w:color w:val="31849B" w:themeColor="accent5" w:themeShade="BF"/>
          <w:lang w:eastAsia="en-AU"/>
        </w:rPr>
      </w:pPr>
      <w:bookmarkStart w:id="39" w:name="_Toc473546911"/>
      <w:r>
        <w:rPr>
          <w:color w:val="31849B" w:themeColor="accent5" w:themeShade="BF"/>
          <w:lang w:eastAsia="en-AU"/>
        </w:rPr>
        <w:t>P</w:t>
      </w:r>
      <w:r w:rsidR="00032E00">
        <w:rPr>
          <w:color w:val="31849B" w:themeColor="accent5" w:themeShade="BF"/>
          <w:lang w:eastAsia="en-AU"/>
        </w:rPr>
        <w:t xml:space="preserve">ower and </w:t>
      </w:r>
      <w:r>
        <w:rPr>
          <w:color w:val="31849B" w:themeColor="accent5" w:themeShade="BF"/>
          <w:lang w:eastAsia="en-AU"/>
        </w:rPr>
        <w:t>W</w:t>
      </w:r>
      <w:r w:rsidR="00032E00">
        <w:rPr>
          <w:color w:val="31849B" w:themeColor="accent5" w:themeShade="BF"/>
          <w:lang w:eastAsia="en-AU"/>
        </w:rPr>
        <w:t xml:space="preserve">ater </w:t>
      </w:r>
      <w:r>
        <w:rPr>
          <w:color w:val="31849B" w:themeColor="accent5" w:themeShade="BF"/>
          <w:lang w:eastAsia="en-AU"/>
        </w:rPr>
        <w:t>C</w:t>
      </w:r>
      <w:r w:rsidR="00032E00">
        <w:rPr>
          <w:color w:val="31849B" w:themeColor="accent5" w:themeShade="BF"/>
          <w:lang w:eastAsia="en-AU"/>
        </w:rPr>
        <w:t>orporation</w:t>
      </w:r>
      <w:r>
        <w:rPr>
          <w:color w:val="31849B" w:themeColor="accent5" w:themeShade="BF"/>
          <w:lang w:eastAsia="en-AU"/>
        </w:rPr>
        <w:t xml:space="preserve">’s </w:t>
      </w:r>
      <w:r w:rsidR="00CA3B15">
        <w:rPr>
          <w:color w:val="31849B" w:themeColor="accent5" w:themeShade="BF"/>
          <w:lang w:eastAsia="en-AU"/>
        </w:rPr>
        <w:t>C</w:t>
      </w:r>
      <w:r>
        <w:rPr>
          <w:color w:val="31849B" w:themeColor="accent5" w:themeShade="BF"/>
          <w:lang w:eastAsia="en-AU"/>
        </w:rPr>
        <w:t>ompliance with the 2014 Network Price Determination</w:t>
      </w:r>
      <w:bookmarkEnd w:id="39"/>
      <w:r>
        <w:rPr>
          <w:color w:val="31849B" w:themeColor="accent5" w:themeShade="BF"/>
          <w:lang w:eastAsia="en-AU"/>
        </w:rPr>
        <w:t xml:space="preserve"> </w:t>
      </w:r>
    </w:p>
    <w:p w14:paraId="67592069" w14:textId="3B359616" w:rsidR="00B75DCD" w:rsidRDefault="00B75DCD" w:rsidP="00B75DCD">
      <w:pPr>
        <w:pStyle w:val="ListParagraph"/>
        <w:numPr>
          <w:ilvl w:val="0"/>
          <w:numId w:val="13"/>
        </w:numPr>
        <w:spacing w:before="200" w:after="200"/>
        <w:ind w:left="709" w:hanging="720"/>
        <w:contextualSpacing w:val="0"/>
      </w:pPr>
      <w:r>
        <w:t xml:space="preserve">PWC reported a breach of the 2014-19 Network Price Determination (NPD). The Commission was made aware of the breach </w:t>
      </w:r>
      <w:r w:rsidR="00706701">
        <w:t>from a third party</w:t>
      </w:r>
      <w:r>
        <w:t xml:space="preserve"> and </w:t>
      </w:r>
      <w:r w:rsidR="00572210">
        <w:t>noted concerns around PWC’s reporting timeframes in relation to a material breach</w:t>
      </w:r>
      <w:r>
        <w:t xml:space="preserve">. The Commission’s response and </w:t>
      </w:r>
      <w:r w:rsidR="006D54F1">
        <w:t xml:space="preserve">its detailed </w:t>
      </w:r>
      <w:r>
        <w:t xml:space="preserve">review of PWC’s </w:t>
      </w:r>
      <w:r w:rsidR="006D54F1">
        <w:t>compliance with the 2014 NPD and</w:t>
      </w:r>
      <w:r>
        <w:t xml:space="preserve"> compliance reporting process</w:t>
      </w:r>
      <w:r w:rsidR="006D54F1">
        <w:t xml:space="preserve">es relating to the </w:t>
      </w:r>
      <w:r>
        <w:t xml:space="preserve">reporting of the breach </w:t>
      </w:r>
      <w:r w:rsidR="006D54F1">
        <w:t xml:space="preserve">will be published as a separate report in early 2017. </w:t>
      </w:r>
    </w:p>
    <w:p w14:paraId="5379121C" w14:textId="5261E054" w:rsidR="00576AFE" w:rsidRPr="0027453A" w:rsidRDefault="00956351" w:rsidP="00B75DCD">
      <w:pPr>
        <w:pStyle w:val="ListParagraph"/>
        <w:numPr>
          <w:ilvl w:val="0"/>
          <w:numId w:val="13"/>
        </w:numPr>
        <w:spacing w:before="200" w:after="200"/>
        <w:ind w:left="709" w:hanging="720"/>
        <w:contextualSpacing w:val="0"/>
      </w:pPr>
      <w:r w:rsidRPr="0027453A">
        <w:t xml:space="preserve">The findings of the review </w:t>
      </w:r>
      <w:r w:rsidR="00751F20">
        <w:t>indicate</w:t>
      </w:r>
      <w:r w:rsidRPr="0027453A">
        <w:t xml:space="preserve"> that </w:t>
      </w:r>
      <w:r w:rsidR="00DE38CE" w:rsidRPr="0027453A">
        <w:t xml:space="preserve">PWC is in breach of its </w:t>
      </w:r>
      <w:proofErr w:type="spellStart"/>
      <w:r w:rsidR="00302D53" w:rsidRPr="0027453A">
        <w:t>licen</w:t>
      </w:r>
      <w:r w:rsidR="00FD6480">
        <w:t>c</w:t>
      </w:r>
      <w:r w:rsidR="00302D53" w:rsidRPr="0027453A">
        <w:t>e</w:t>
      </w:r>
      <w:proofErr w:type="spellEnd"/>
      <w:r w:rsidR="00DE38CE" w:rsidRPr="0027453A">
        <w:t xml:space="preserve"> conditions to </w:t>
      </w:r>
      <w:r w:rsidR="00FF70E1" w:rsidRPr="0027453A">
        <w:t>establish</w:t>
      </w:r>
      <w:r w:rsidR="00DE38CE" w:rsidRPr="0027453A">
        <w:t xml:space="preserve"> and maintain a compliance process</w:t>
      </w:r>
      <w:r w:rsidR="00DE38CE" w:rsidRPr="0027453A">
        <w:rPr>
          <w:rStyle w:val="FootnoteReference"/>
        </w:rPr>
        <w:footnoteReference w:id="15"/>
      </w:r>
      <w:r w:rsidR="00C90B27">
        <w:t xml:space="preserve"> and to report material breaches as soon as reasonably possible</w:t>
      </w:r>
      <w:r w:rsidR="00C90B27">
        <w:rPr>
          <w:rStyle w:val="FootnoteReference"/>
        </w:rPr>
        <w:footnoteReference w:id="16"/>
      </w:r>
      <w:r w:rsidR="00B75DCD" w:rsidRPr="0027453A">
        <w:t xml:space="preserve">, and that improvement needs to be made in the implementation and application of existing compliance policies and strategies.  </w:t>
      </w:r>
    </w:p>
    <w:p w14:paraId="114DAE3B" w14:textId="77777777" w:rsidR="00EB13E7" w:rsidRDefault="00B75DCD" w:rsidP="00B75DCD">
      <w:pPr>
        <w:pStyle w:val="ListParagraph"/>
        <w:numPr>
          <w:ilvl w:val="0"/>
          <w:numId w:val="13"/>
        </w:numPr>
        <w:spacing w:before="200" w:after="200"/>
        <w:ind w:left="709" w:hanging="720"/>
        <w:contextualSpacing w:val="0"/>
      </w:pPr>
      <w:r w:rsidRPr="0027453A">
        <w:t>The Commission will</w:t>
      </w:r>
      <w:r w:rsidR="006D54F1">
        <w:t xml:space="preserve"> </w:t>
      </w:r>
      <w:r w:rsidRPr="0027453A">
        <w:t xml:space="preserve">continue to work with PWC to </w:t>
      </w:r>
      <w:r w:rsidR="002D3A83">
        <w:t xml:space="preserve">assist PWC to </w:t>
      </w:r>
      <w:r w:rsidR="00295105" w:rsidRPr="0027453A">
        <w:t xml:space="preserve">understand </w:t>
      </w:r>
      <w:r w:rsidR="0047741B">
        <w:t xml:space="preserve">and comply with </w:t>
      </w:r>
      <w:r w:rsidR="00295105" w:rsidRPr="0027453A">
        <w:t>its regulatory obligations</w:t>
      </w:r>
      <w:r w:rsidR="00463C23">
        <w:t xml:space="preserve">. </w:t>
      </w:r>
    </w:p>
    <w:p w14:paraId="03039FDD" w14:textId="6C21BDE9" w:rsidR="00B9172D" w:rsidRPr="0027453A" w:rsidRDefault="00B9172D" w:rsidP="00B75DCD">
      <w:pPr>
        <w:pStyle w:val="ListParagraph"/>
        <w:numPr>
          <w:ilvl w:val="0"/>
          <w:numId w:val="13"/>
        </w:numPr>
        <w:spacing w:before="200" w:after="200"/>
        <w:ind w:left="709" w:hanging="720"/>
        <w:contextualSpacing w:val="0"/>
      </w:pPr>
      <w:r w:rsidRPr="0027453A">
        <w:lastRenderedPageBreak/>
        <w:t>The Commission will continue to work with all licensees to reinforce the Commission’s guiding principles in relation to its approach to compliance</w:t>
      </w:r>
      <w:r w:rsidR="0027453A">
        <w:t>, and undertake more intrusive regulatory action such as increased monitoring of compliance through audit</w:t>
      </w:r>
      <w:r w:rsidR="00AD116D">
        <w:t>s</w:t>
      </w:r>
      <w:r w:rsidR="0027453A">
        <w:t xml:space="preserve"> and review</w:t>
      </w:r>
      <w:r w:rsidR="00AD116D">
        <w:t>s</w:t>
      </w:r>
      <w:r w:rsidR="004C1FD0">
        <w:t xml:space="preserve"> where necessary</w:t>
      </w:r>
      <w:r w:rsidRPr="0027453A">
        <w:t xml:space="preserve">. </w:t>
      </w:r>
    </w:p>
    <w:p w14:paraId="4D19C917" w14:textId="063A135D" w:rsidR="00B9172D" w:rsidRDefault="00B9172D" w:rsidP="003F6FB3">
      <w:pPr>
        <w:spacing w:before="200" w:after="200"/>
        <w:sectPr w:rsidR="00B9172D" w:rsidSect="009F29A1">
          <w:pgSz w:w="11906" w:h="16838"/>
          <w:pgMar w:top="1387" w:right="1416" w:bottom="851" w:left="1440" w:header="708" w:footer="708" w:gutter="0"/>
          <w:cols w:space="708"/>
          <w:titlePg/>
          <w:docGrid w:linePitch="360"/>
        </w:sectPr>
      </w:pPr>
    </w:p>
    <w:p w14:paraId="7817485D" w14:textId="77777777" w:rsidR="00D23480" w:rsidRDefault="00D23480" w:rsidP="00EB13E7">
      <w:pPr>
        <w:pStyle w:val="NumberLevel1"/>
        <w:spacing w:before="500"/>
      </w:pPr>
      <w:r>
        <w:lastRenderedPageBreak/>
        <w:t>CHAPTER 3</w:t>
      </w:r>
    </w:p>
    <w:p w14:paraId="3040046F" w14:textId="0BD560DC" w:rsidR="00F0368A" w:rsidRPr="003E3A6B" w:rsidRDefault="00AE3341" w:rsidP="00F0368A">
      <w:pPr>
        <w:pStyle w:val="UtilComHeading2"/>
        <w:spacing w:before="0"/>
        <w:rPr>
          <w:color w:val="31849B" w:themeColor="accent5" w:themeShade="BF"/>
          <w:lang w:eastAsia="en-AU"/>
        </w:rPr>
      </w:pPr>
      <w:bookmarkStart w:id="40" w:name="_Toc473546912"/>
      <w:r>
        <w:rPr>
          <w:color w:val="31849B" w:themeColor="accent5" w:themeShade="BF"/>
          <w:lang w:eastAsia="en-AU"/>
        </w:rPr>
        <w:t>Review of Compliance Obligations 2015-16</w:t>
      </w:r>
      <w:bookmarkEnd w:id="40"/>
    </w:p>
    <w:p w14:paraId="23E5871E" w14:textId="69A2F9B6" w:rsidR="001B69F5" w:rsidRDefault="001B69F5" w:rsidP="002F68A3">
      <w:pPr>
        <w:pStyle w:val="ListParagraph"/>
        <w:numPr>
          <w:ilvl w:val="1"/>
          <w:numId w:val="16"/>
        </w:numPr>
        <w:spacing w:before="240" w:after="200"/>
        <w:ind w:left="567" w:hanging="567"/>
        <w:rPr>
          <w:szCs w:val="22"/>
        </w:rPr>
      </w:pPr>
      <w:r>
        <w:rPr>
          <w:szCs w:val="22"/>
        </w:rPr>
        <w:t>In Schedule A of the annual</w:t>
      </w:r>
      <w:r w:rsidR="00CD5DAF">
        <w:rPr>
          <w:szCs w:val="22"/>
        </w:rPr>
        <w:t xml:space="preserve"> compliance</w:t>
      </w:r>
      <w:r>
        <w:rPr>
          <w:szCs w:val="22"/>
        </w:rPr>
        <w:t xml:space="preserve"> report, the Commission requires licensees to list all </w:t>
      </w:r>
      <w:r w:rsidR="00CD5DAF">
        <w:rPr>
          <w:szCs w:val="22"/>
        </w:rPr>
        <w:t xml:space="preserve">applicable </w:t>
      </w:r>
      <w:r>
        <w:rPr>
          <w:szCs w:val="22"/>
        </w:rPr>
        <w:t xml:space="preserve">obligations </w:t>
      </w:r>
      <w:r w:rsidR="00302225">
        <w:rPr>
          <w:szCs w:val="22"/>
        </w:rPr>
        <w:t xml:space="preserve">to ensure licensees are aware </w:t>
      </w:r>
      <w:r w:rsidR="005E7F6E">
        <w:rPr>
          <w:szCs w:val="22"/>
        </w:rPr>
        <w:t xml:space="preserve">of </w:t>
      </w:r>
      <w:r w:rsidR="009C4138">
        <w:rPr>
          <w:szCs w:val="22"/>
        </w:rPr>
        <w:t xml:space="preserve">their </w:t>
      </w:r>
      <w:r w:rsidR="005E7F6E">
        <w:rPr>
          <w:szCs w:val="22"/>
        </w:rPr>
        <w:t>regulatory obligations</w:t>
      </w:r>
      <w:r w:rsidR="00CD5DAF">
        <w:rPr>
          <w:szCs w:val="22"/>
        </w:rPr>
        <w:t>,</w:t>
      </w:r>
      <w:r w:rsidR="005E7F6E">
        <w:rPr>
          <w:szCs w:val="22"/>
        </w:rPr>
        <w:t xml:space="preserve"> and is taking steps to keep knowledge of regulatory obligations current. The Commission requested documentation from licensees to demonstrate that the obligations </w:t>
      </w:r>
      <w:r w:rsidR="002D1FF3">
        <w:rPr>
          <w:szCs w:val="22"/>
        </w:rPr>
        <w:t>are monitored thro</w:t>
      </w:r>
      <w:r w:rsidR="00BD02B7">
        <w:rPr>
          <w:szCs w:val="22"/>
        </w:rPr>
        <w:t xml:space="preserve">ugh a compliance risk register </w:t>
      </w:r>
      <w:r w:rsidR="002D1FF3">
        <w:rPr>
          <w:szCs w:val="22"/>
        </w:rPr>
        <w:t xml:space="preserve">or equivalent document. </w:t>
      </w:r>
    </w:p>
    <w:p w14:paraId="3BADA878" w14:textId="77777777" w:rsidR="001B69F5" w:rsidRDefault="001B69F5" w:rsidP="003F6FB3">
      <w:pPr>
        <w:pStyle w:val="ListParagraph"/>
        <w:spacing w:before="240" w:after="200"/>
        <w:ind w:left="567"/>
        <w:rPr>
          <w:szCs w:val="22"/>
        </w:rPr>
      </w:pPr>
    </w:p>
    <w:p w14:paraId="1F9D2C52" w14:textId="0366E53E" w:rsidR="00E205EF" w:rsidRPr="002F68A3" w:rsidRDefault="00A702AF" w:rsidP="002F68A3">
      <w:pPr>
        <w:pStyle w:val="ListParagraph"/>
        <w:numPr>
          <w:ilvl w:val="1"/>
          <w:numId w:val="16"/>
        </w:numPr>
        <w:spacing w:before="240" w:after="200"/>
        <w:ind w:left="567" w:hanging="567"/>
        <w:rPr>
          <w:szCs w:val="22"/>
        </w:rPr>
      </w:pPr>
      <w:r w:rsidRPr="00A702AF">
        <w:rPr>
          <w:szCs w:val="22"/>
        </w:rPr>
        <w:t xml:space="preserve">The Commission reviewed the list of regulatory obligations provided by Territory Generation, </w:t>
      </w:r>
      <w:r w:rsidRPr="0095284D">
        <w:rPr>
          <w:szCs w:val="22"/>
        </w:rPr>
        <w:t xml:space="preserve">Jacana Energy, ERM Power Retail Pty Ltd, </w:t>
      </w:r>
      <w:proofErr w:type="spellStart"/>
      <w:r w:rsidRPr="0095284D">
        <w:rPr>
          <w:szCs w:val="22"/>
        </w:rPr>
        <w:t>QEnergy</w:t>
      </w:r>
      <w:proofErr w:type="spellEnd"/>
      <w:r w:rsidRPr="0095284D">
        <w:rPr>
          <w:szCs w:val="22"/>
        </w:rPr>
        <w:t xml:space="preserve"> Limited</w:t>
      </w:r>
      <w:r w:rsidRPr="00A702AF">
        <w:rPr>
          <w:szCs w:val="22"/>
        </w:rPr>
        <w:t xml:space="preserve"> and </w:t>
      </w:r>
      <w:proofErr w:type="spellStart"/>
      <w:r w:rsidRPr="00A702AF">
        <w:rPr>
          <w:szCs w:val="22"/>
        </w:rPr>
        <w:t>Rimfire</w:t>
      </w:r>
      <w:proofErr w:type="spellEnd"/>
      <w:r w:rsidRPr="00A702AF">
        <w:rPr>
          <w:szCs w:val="22"/>
        </w:rPr>
        <w:t xml:space="preserve"> Energy Pty Ltd</w:t>
      </w:r>
      <w:r w:rsidR="006A676E">
        <w:rPr>
          <w:szCs w:val="22"/>
        </w:rPr>
        <w:t xml:space="preserve">, and made inquiries of licensees </w:t>
      </w:r>
      <w:r w:rsidR="002F68A3">
        <w:rPr>
          <w:szCs w:val="22"/>
        </w:rPr>
        <w:t xml:space="preserve">relating to updating and keeping regulatory obligations current. </w:t>
      </w:r>
      <w:r w:rsidR="00E205EF" w:rsidRPr="002F68A3">
        <w:rPr>
          <w:szCs w:val="22"/>
        </w:rPr>
        <w:br/>
      </w:r>
    </w:p>
    <w:p w14:paraId="6BAE2E0E" w14:textId="62034D29" w:rsidR="00A702AF" w:rsidRDefault="00EB13E7" w:rsidP="00A702AF">
      <w:pPr>
        <w:pStyle w:val="ListParagraph"/>
        <w:numPr>
          <w:ilvl w:val="1"/>
          <w:numId w:val="16"/>
        </w:numPr>
        <w:spacing w:before="240" w:after="200"/>
        <w:ind w:left="567" w:hanging="567"/>
        <w:rPr>
          <w:szCs w:val="22"/>
        </w:rPr>
      </w:pPr>
      <w:r>
        <w:rPr>
          <w:szCs w:val="22"/>
        </w:rPr>
        <w:t>T</w:t>
      </w:r>
      <w:r w:rsidR="007755F2">
        <w:rPr>
          <w:szCs w:val="22"/>
        </w:rPr>
        <w:t xml:space="preserve">he Commission was satisfied that </w:t>
      </w:r>
      <w:r w:rsidR="00075DD8">
        <w:rPr>
          <w:szCs w:val="22"/>
        </w:rPr>
        <w:t xml:space="preserve">the </w:t>
      </w:r>
      <w:r w:rsidR="007755F2">
        <w:rPr>
          <w:szCs w:val="22"/>
        </w:rPr>
        <w:t>licensees</w:t>
      </w:r>
      <w:r w:rsidR="00075DD8">
        <w:rPr>
          <w:szCs w:val="22"/>
        </w:rPr>
        <w:t xml:space="preserve"> </w:t>
      </w:r>
      <w:r w:rsidR="009C4138">
        <w:rPr>
          <w:szCs w:val="22"/>
        </w:rPr>
        <w:t xml:space="preserve">presented in Chapter 2 </w:t>
      </w:r>
      <w:r w:rsidR="007755F2">
        <w:rPr>
          <w:szCs w:val="22"/>
        </w:rPr>
        <w:t xml:space="preserve">are aware of </w:t>
      </w:r>
      <w:r w:rsidR="009C4138">
        <w:rPr>
          <w:szCs w:val="22"/>
        </w:rPr>
        <w:t xml:space="preserve">their </w:t>
      </w:r>
      <w:r w:rsidR="007755F2">
        <w:rPr>
          <w:szCs w:val="22"/>
        </w:rPr>
        <w:t xml:space="preserve">regulatory obligations. </w:t>
      </w:r>
      <w:r w:rsidR="00E205EF">
        <w:rPr>
          <w:szCs w:val="22"/>
        </w:rPr>
        <w:t>The Commission</w:t>
      </w:r>
      <w:r w:rsidR="002F68A3">
        <w:rPr>
          <w:szCs w:val="22"/>
        </w:rPr>
        <w:t xml:space="preserve"> considered the lists of regulatory obligations to be sufficiently detailed and adequately assessed</w:t>
      </w:r>
      <w:r w:rsidR="00BD02B7">
        <w:rPr>
          <w:szCs w:val="22"/>
        </w:rPr>
        <w:t xml:space="preserve">, </w:t>
      </w:r>
      <w:r w:rsidR="002F68A3">
        <w:rPr>
          <w:szCs w:val="22"/>
        </w:rPr>
        <w:t>and</w:t>
      </w:r>
      <w:r w:rsidR="00E205EF">
        <w:rPr>
          <w:szCs w:val="22"/>
        </w:rPr>
        <w:t xml:space="preserve"> will continue to work with licensees to provide</w:t>
      </w:r>
      <w:r w:rsidR="009C2250">
        <w:rPr>
          <w:szCs w:val="22"/>
        </w:rPr>
        <w:t xml:space="preserve"> assistance and</w:t>
      </w:r>
      <w:r w:rsidR="00013446">
        <w:rPr>
          <w:szCs w:val="22"/>
        </w:rPr>
        <w:t xml:space="preserve"> clarification </w:t>
      </w:r>
      <w:r w:rsidR="009C2250">
        <w:rPr>
          <w:szCs w:val="22"/>
        </w:rPr>
        <w:t>o</w:t>
      </w:r>
      <w:r w:rsidR="00E205EF">
        <w:rPr>
          <w:szCs w:val="22"/>
        </w:rPr>
        <w:t>n relevant regulatory obligations</w:t>
      </w:r>
      <w:r w:rsidR="004E5803">
        <w:rPr>
          <w:szCs w:val="22"/>
        </w:rPr>
        <w:t xml:space="preserve"> where </w:t>
      </w:r>
      <w:r w:rsidR="00171AF8">
        <w:rPr>
          <w:szCs w:val="22"/>
        </w:rPr>
        <w:t>it considers necessary</w:t>
      </w:r>
      <w:r w:rsidR="00E205EF">
        <w:rPr>
          <w:szCs w:val="22"/>
        </w:rPr>
        <w:t xml:space="preserve">. </w:t>
      </w:r>
      <w:r w:rsidR="00A702AF">
        <w:rPr>
          <w:szCs w:val="22"/>
        </w:rPr>
        <w:br/>
      </w:r>
    </w:p>
    <w:p w14:paraId="6CEF846E" w14:textId="33B4164E" w:rsidR="00AE3F72" w:rsidRDefault="00A702AF" w:rsidP="00A702AF">
      <w:pPr>
        <w:pStyle w:val="ListParagraph"/>
        <w:numPr>
          <w:ilvl w:val="1"/>
          <w:numId w:val="16"/>
        </w:numPr>
        <w:spacing w:before="240" w:after="200"/>
        <w:ind w:left="567" w:hanging="567"/>
        <w:rPr>
          <w:szCs w:val="22"/>
        </w:rPr>
      </w:pPr>
      <w:r>
        <w:rPr>
          <w:szCs w:val="22"/>
        </w:rPr>
        <w:t xml:space="preserve">On 30 June 2016, the Commission </w:t>
      </w:r>
      <w:r w:rsidR="00AE3341">
        <w:rPr>
          <w:szCs w:val="22"/>
        </w:rPr>
        <w:t xml:space="preserve">granted retail and generation </w:t>
      </w:r>
      <w:proofErr w:type="spellStart"/>
      <w:r w:rsidR="00AE3341">
        <w:rPr>
          <w:szCs w:val="22"/>
        </w:rPr>
        <w:t>licences</w:t>
      </w:r>
      <w:proofErr w:type="spellEnd"/>
      <w:r w:rsidR="00AE3341">
        <w:rPr>
          <w:szCs w:val="22"/>
        </w:rPr>
        <w:t xml:space="preserve"> to EDL NGD (NT) Pty Ltd. </w:t>
      </w:r>
      <w:r w:rsidR="00A5218C">
        <w:rPr>
          <w:szCs w:val="22"/>
        </w:rPr>
        <w:t xml:space="preserve">The licensee provided the Commission with its list of regulatory obligations </w:t>
      </w:r>
      <w:r w:rsidR="009C60C7">
        <w:rPr>
          <w:szCs w:val="22"/>
        </w:rPr>
        <w:t xml:space="preserve">and </w:t>
      </w:r>
      <w:r w:rsidR="00DB10C0">
        <w:rPr>
          <w:szCs w:val="22"/>
        </w:rPr>
        <w:t xml:space="preserve">compliance process, and </w:t>
      </w:r>
      <w:r w:rsidR="009C60C7">
        <w:rPr>
          <w:szCs w:val="22"/>
        </w:rPr>
        <w:t xml:space="preserve">these will be considered in </w:t>
      </w:r>
      <w:r w:rsidR="009C4138">
        <w:rPr>
          <w:szCs w:val="22"/>
        </w:rPr>
        <w:t>respect to</w:t>
      </w:r>
      <w:r w:rsidR="009C60C7">
        <w:rPr>
          <w:szCs w:val="22"/>
        </w:rPr>
        <w:t xml:space="preserve"> its 2016-17 annual compliance report. </w:t>
      </w:r>
    </w:p>
    <w:p w14:paraId="469AF940" w14:textId="77777777" w:rsidR="00EB13E7" w:rsidRDefault="00EB13E7" w:rsidP="00EB13E7">
      <w:pPr>
        <w:pStyle w:val="ListParagraph"/>
        <w:spacing w:before="240" w:after="200"/>
        <w:ind w:left="567"/>
        <w:rPr>
          <w:szCs w:val="22"/>
        </w:rPr>
      </w:pPr>
    </w:p>
    <w:p w14:paraId="3C3ECAE6" w14:textId="32013BAB" w:rsidR="006828D8" w:rsidRPr="00EB13E7" w:rsidRDefault="006828D8" w:rsidP="0021306B">
      <w:pPr>
        <w:pStyle w:val="ListParagraph"/>
        <w:numPr>
          <w:ilvl w:val="1"/>
          <w:numId w:val="16"/>
        </w:numPr>
        <w:spacing w:before="240" w:after="200"/>
        <w:ind w:left="567" w:hanging="567"/>
        <w:rPr>
          <w:szCs w:val="22"/>
        </w:rPr>
      </w:pPr>
      <w:r w:rsidRPr="00EB13E7">
        <w:rPr>
          <w:szCs w:val="22"/>
        </w:rPr>
        <w:t xml:space="preserve">In response to a </w:t>
      </w:r>
      <w:r w:rsidR="00EB13E7" w:rsidRPr="00EB13E7">
        <w:rPr>
          <w:szCs w:val="22"/>
        </w:rPr>
        <w:t xml:space="preserve">material </w:t>
      </w:r>
      <w:r w:rsidRPr="00EB13E7">
        <w:rPr>
          <w:szCs w:val="22"/>
        </w:rPr>
        <w:t xml:space="preserve">breach of the 2014 </w:t>
      </w:r>
      <w:r w:rsidR="00EB13E7" w:rsidRPr="00EB13E7">
        <w:rPr>
          <w:szCs w:val="22"/>
        </w:rPr>
        <w:t>NPD</w:t>
      </w:r>
      <w:r w:rsidRPr="00EB13E7">
        <w:rPr>
          <w:szCs w:val="22"/>
        </w:rPr>
        <w:t xml:space="preserve">, the Commission </w:t>
      </w:r>
      <w:r w:rsidR="00755C79" w:rsidRPr="00EB13E7">
        <w:rPr>
          <w:szCs w:val="22"/>
        </w:rPr>
        <w:t xml:space="preserve">undertook a detailed review of PWC’s compliance with the 2014 </w:t>
      </w:r>
      <w:r w:rsidR="00EB13E7" w:rsidRPr="00EB13E7">
        <w:rPr>
          <w:szCs w:val="22"/>
        </w:rPr>
        <w:t>NPD</w:t>
      </w:r>
      <w:r w:rsidR="00755C79" w:rsidRPr="00EB13E7">
        <w:rPr>
          <w:szCs w:val="22"/>
        </w:rPr>
        <w:t xml:space="preserve"> and the compliance processes leading up</w:t>
      </w:r>
      <w:r w:rsidR="00F064F2" w:rsidRPr="00EB13E7">
        <w:rPr>
          <w:szCs w:val="22"/>
        </w:rPr>
        <w:t xml:space="preserve"> to the reporting of the breach</w:t>
      </w:r>
      <w:r w:rsidR="00490E4B">
        <w:rPr>
          <w:szCs w:val="22"/>
        </w:rPr>
        <w:t xml:space="preserve"> in late 2016</w:t>
      </w:r>
      <w:r w:rsidR="00F064F2" w:rsidRPr="00EB13E7">
        <w:rPr>
          <w:szCs w:val="22"/>
        </w:rPr>
        <w:t>. The review</w:t>
      </w:r>
      <w:r w:rsidR="00755C79" w:rsidRPr="00EB13E7">
        <w:rPr>
          <w:szCs w:val="22"/>
        </w:rPr>
        <w:t xml:space="preserve"> </w:t>
      </w:r>
      <w:r w:rsidR="00F064F2" w:rsidRPr="00EB13E7">
        <w:rPr>
          <w:szCs w:val="22"/>
        </w:rPr>
        <w:t>included</w:t>
      </w:r>
      <w:r w:rsidR="00D8449C" w:rsidRPr="00EB13E7">
        <w:rPr>
          <w:szCs w:val="22"/>
        </w:rPr>
        <w:t xml:space="preserve"> a detailed review of PWC’s compliance risk register and associated documents. </w:t>
      </w:r>
      <w:r w:rsidRPr="00EB13E7">
        <w:rPr>
          <w:szCs w:val="22"/>
        </w:rPr>
        <w:t xml:space="preserve"> </w:t>
      </w:r>
      <w:r w:rsidRPr="00EB13E7">
        <w:rPr>
          <w:szCs w:val="22"/>
        </w:rPr>
        <w:br/>
      </w:r>
    </w:p>
    <w:p w14:paraId="5FC61105" w14:textId="33CFC500" w:rsidR="003D5ECF" w:rsidRPr="0021306B" w:rsidRDefault="00EB13E7" w:rsidP="0021306B">
      <w:pPr>
        <w:pStyle w:val="ListParagraph"/>
        <w:numPr>
          <w:ilvl w:val="1"/>
          <w:numId w:val="16"/>
        </w:numPr>
        <w:spacing w:before="240" w:after="200"/>
        <w:ind w:left="567" w:hanging="567"/>
        <w:rPr>
          <w:szCs w:val="22"/>
        </w:rPr>
      </w:pPr>
      <w:r>
        <w:rPr>
          <w:szCs w:val="22"/>
        </w:rPr>
        <w:t xml:space="preserve">The review </w:t>
      </w:r>
      <w:r w:rsidR="003D5ECF">
        <w:rPr>
          <w:szCs w:val="22"/>
        </w:rPr>
        <w:t>found deficiencies in the implementation of existing compliance strategies,</w:t>
      </w:r>
      <w:r w:rsidR="0021306B">
        <w:rPr>
          <w:szCs w:val="22"/>
        </w:rPr>
        <w:t xml:space="preserve"> policies and framework in PWC, </w:t>
      </w:r>
      <w:r w:rsidR="00A9020E">
        <w:rPr>
          <w:szCs w:val="22"/>
        </w:rPr>
        <w:t xml:space="preserve">including </w:t>
      </w:r>
      <w:r w:rsidR="0021306B">
        <w:rPr>
          <w:szCs w:val="22"/>
        </w:rPr>
        <w:t xml:space="preserve">that </w:t>
      </w:r>
      <w:r w:rsidR="003D5ECF" w:rsidRPr="0021306B">
        <w:rPr>
          <w:szCs w:val="22"/>
        </w:rPr>
        <w:t>PWC is not adequately monitoring its regulatory obligations</w:t>
      </w:r>
      <w:r w:rsidR="006D31B6">
        <w:rPr>
          <w:szCs w:val="22"/>
        </w:rPr>
        <w:t>,</w:t>
      </w:r>
      <w:r w:rsidR="003D5ECF" w:rsidRPr="0021306B">
        <w:rPr>
          <w:szCs w:val="22"/>
        </w:rPr>
        <w:t xml:space="preserve"> taking appropriate actions to assess the risk of the obligatio</w:t>
      </w:r>
      <w:r w:rsidR="006E5C28">
        <w:rPr>
          <w:szCs w:val="22"/>
        </w:rPr>
        <w:t xml:space="preserve">ns </w:t>
      </w:r>
      <w:r w:rsidR="006D31B6">
        <w:rPr>
          <w:szCs w:val="22"/>
        </w:rPr>
        <w:t xml:space="preserve">or </w:t>
      </w:r>
      <w:r w:rsidR="006E5C28">
        <w:rPr>
          <w:szCs w:val="22"/>
        </w:rPr>
        <w:t>put</w:t>
      </w:r>
      <w:r w:rsidR="006D31B6">
        <w:rPr>
          <w:szCs w:val="22"/>
        </w:rPr>
        <w:t>ting</w:t>
      </w:r>
      <w:r w:rsidR="006E5C28">
        <w:rPr>
          <w:szCs w:val="22"/>
        </w:rPr>
        <w:t xml:space="preserve"> controls in place. A detailed report of the findings </w:t>
      </w:r>
      <w:r w:rsidR="00B95F96">
        <w:rPr>
          <w:szCs w:val="22"/>
        </w:rPr>
        <w:t>will be made available separately</w:t>
      </w:r>
      <w:r w:rsidR="00490E4B">
        <w:rPr>
          <w:szCs w:val="22"/>
        </w:rPr>
        <w:t xml:space="preserve"> in early 2017.</w:t>
      </w:r>
      <w:r w:rsidR="006E5C28">
        <w:rPr>
          <w:szCs w:val="22"/>
        </w:rPr>
        <w:t xml:space="preserve"> </w:t>
      </w:r>
      <w:r w:rsidR="003D5ECF" w:rsidRPr="0021306B">
        <w:rPr>
          <w:szCs w:val="22"/>
        </w:rPr>
        <w:br/>
      </w:r>
    </w:p>
    <w:p w14:paraId="53DEC6CC" w14:textId="74CC4445" w:rsidR="004E2047" w:rsidRPr="00490E4B" w:rsidRDefault="008E0406" w:rsidP="00AA38EA">
      <w:pPr>
        <w:pStyle w:val="ListParagraph"/>
        <w:numPr>
          <w:ilvl w:val="1"/>
          <w:numId w:val="16"/>
        </w:numPr>
        <w:spacing w:before="240" w:after="200"/>
        <w:ind w:left="567" w:hanging="567"/>
        <w:rPr>
          <w:szCs w:val="22"/>
        </w:rPr>
      </w:pPr>
      <w:r w:rsidRPr="00490E4B">
        <w:rPr>
          <w:szCs w:val="22"/>
        </w:rPr>
        <w:t>In early 2016, t</w:t>
      </w:r>
      <w:r w:rsidR="003D5ECF" w:rsidRPr="00490E4B">
        <w:rPr>
          <w:szCs w:val="22"/>
        </w:rPr>
        <w:t xml:space="preserve">he Commission performed </w:t>
      </w:r>
      <w:r w:rsidR="00AA38EA" w:rsidRPr="00490E4B">
        <w:rPr>
          <w:szCs w:val="22"/>
        </w:rPr>
        <w:t>a high level review o</w:t>
      </w:r>
      <w:r w:rsidR="00147A40" w:rsidRPr="00490E4B">
        <w:rPr>
          <w:szCs w:val="22"/>
        </w:rPr>
        <w:t xml:space="preserve">f PWC’s register of obligations provided in response to Schedule A ‘Relevant Obligations’ </w:t>
      </w:r>
      <w:r w:rsidR="00650EFB" w:rsidRPr="00490E4B">
        <w:rPr>
          <w:szCs w:val="22"/>
        </w:rPr>
        <w:t>for 2014-15 and</w:t>
      </w:r>
      <w:r w:rsidR="003D5ECF" w:rsidRPr="00490E4B">
        <w:rPr>
          <w:szCs w:val="22"/>
        </w:rPr>
        <w:t xml:space="preserve"> identified potential gaps in the</w:t>
      </w:r>
      <w:r w:rsidR="00AA38EA" w:rsidRPr="00490E4B">
        <w:rPr>
          <w:szCs w:val="22"/>
        </w:rPr>
        <w:t xml:space="preserve"> obligatio</w:t>
      </w:r>
      <w:r w:rsidR="00147A40" w:rsidRPr="00490E4B">
        <w:rPr>
          <w:szCs w:val="22"/>
        </w:rPr>
        <w:t>ns register provided</w:t>
      </w:r>
      <w:r w:rsidR="00AA38EA" w:rsidRPr="00490E4B">
        <w:rPr>
          <w:szCs w:val="22"/>
        </w:rPr>
        <w:t xml:space="preserve">, </w:t>
      </w:r>
      <w:r w:rsidR="009F40A9" w:rsidRPr="00490E4B">
        <w:rPr>
          <w:szCs w:val="22"/>
        </w:rPr>
        <w:t xml:space="preserve">noting </w:t>
      </w:r>
      <w:r w:rsidR="00AA38EA" w:rsidRPr="00490E4B">
        <w:rPr>
          <w:szCs w:val="22"/>
        </w:rPr>
        <w:t xml:space="preserve">that several </w:t>
      </w:r>
      <w:r w:rsidR="00A73FA3" w:rsidRPr="00490E4B">
        <w:rPr>
          <w:szCs w:val="22"/>
        </w:rPr>
        <w:t xml:space="preserve">significant </w:t>
      </w:r>
      <w:r w:rsidR="00AA38EA" w:rsidRPr="00490E4B">
        <w:rPr>
          <w:szCs w:val="22"/>
        </w:rPr>
        <w:t xml:space="preserve">regulatory instruments </w:t>
      </w:r>
      <w:r w:rsidR="00AB7BA5" w:rsidRPr="00490E4B">
        <w:rPr>
          <w:szCs w:val="22"/>
        </w:rPr>
        <w:t>appeared</w:t>
      </w:r>
      <w:r w:rsidR="00AA38EA" w:rsidRPr="00490E4B">
        <w:rPr>
          <w:szCs w:val="22"/>
        </w:rPr>
        <w:t xml:space="preserve"> to have not been identified or risk assessed by PWC</w:t>
      </w:r>
      <w:r w:rsidR="00391644" w:rsidRPr="00490E4B">
        <w:rPr>
          <w:szCs w:val="22"/>
        </w:rPr>
        <w:t>,</w:t>
      </w:r>
      <w:r w:rsidR="00AA38EA" w:rsidRPr="00490E4B">
        <w:rPr>
          <w:szCs w:val="22"/>
        </w:rPr>
        <w:t xml:space="preserve"> or that the Commission considered needed further risk assessment and identification of </w:t>
      </w:r>
      <w:r w:rsidR="00AB7BA5" w:rsidRPr="00490E4B">
        <w:rPr>
          <w:szCs w:val="22"/>
        </w:rPr>
        <w:t>appropriate</w:t>
      </w:r>
      <w:r w:rsidR="00AA38EA" w:rsidRPr="00490E4B">
        <w:rPr>
          <w:szCs w:val="22"/>
        </w:rPr>
        <w:t xml:space="preserve"> management controls. </w:t>
      </w:r>
      <w:r w:rsidR="003D5ECF" w:rsidRPr="00490E4B">
        <w:rPr>
          <w:szCs w:val="22"/>
        </w:rPr>
        <w:t>The</w:t>
      </w:r>
      <w:r w:rsidR="00AA38EA" w:rsidRPr="00490E4B">
        <w:rPr>
          <w:szCs w:val="22"/>
        </w:rPr>
        <w:t xml:space="preserve"> results of the Commission’s review were provided to PWC in April 2016.</w:t>
      </w:r>
      <w:r w:rsidR="003D5ECF" w:rsidRPr="00490E4B">
        <w:rPr>
          <w:szCs w:val="22"/>
        </w:rPr>
        <w:t xml:space="preserve"> </w:t>
      </w:r>
      <w:r w:rsidR="004A58D4">
        <w:rPr>
          <w:szCs w:val="22"/>
        </w:rPr>
        <w:br/>
      </w:r>
    </w:p>
    <w:p w14:paraId="6334C31D" w14:textId="586C8610" w:rsidR="00E205EF" w:rsidRPr="00E60859" w:rsidRDefault="00E205EF" w:rsidP="003F6FB3">
      <w:pPr>
        <w:pStyle w:val="ListParagraph"/>
        <w:spacing w:before="240" w:after="200"/>
        <w:ind w:left="567"/>
        <w:rPr>
          <w:szCs w:val="22"/>
        </w:rPr>
      </w:pPr>
    </w:p>
    <w:p w14:paraId="71920703" w14:textId="65A8FFE1" w:rsidR="004E2047" w:rsidRDefault="00E205EF" w:rsidP="003D5ECF">
      <w:pPr>
        <w:pStyle w:val="ListParagraph"/>
        <w:numPr>
          <w:ilvl w:val="1"/>
          <w:numId w:val="16"/>
        </w:numPr>
        <w:spacing w:before="240" w:after="200"/>
        <w:ind w:left="567" w:hanging="567"/>
        <w:rPr>
          <w:szCs w:val="22"/>
        </w:rPr>
      </w:pPr>
      <w:r>
        <w:rPr>
          <w:szCs w:val="22"/>
        </w:rPr>
        <w:lastRenderedPageBreak/>
        <w:t xml:space="preserve">The Commission will continue to work with PWC to </w:t>
      </w:r>
      <w:r w:rsidR="008466CD">
        <w:rPr>
          <w:szCs w:val="22"/>
        </w:rPr>
        <w:t xml:space="preserve">ensure </w:t>
      </w:r>
      <w:r w:rsidR="00DD451F">
        <w:rPr>
          <w:szCs w:val="22"/>
        </w:rPr>
        <w:t xml:space="preserve">PWC complies with its </w:t>
      </w:r>
      <w:r w:rsidR="00D979B8">
        <w:rPr>
          <w:szCs w:val="22"/>
        </w:rPr>
        <w:t xml:space="preserve">regulatory </w:t>
      </w:r>
      <w:r w:rsidR="00DD451F">
        <w:rPr>
          <w:szCs w:val="22"/>
        </w:rPr>
        <w:t xml:space="preserve">obligations, including those in its </w:t>
      </w:r>
      <w:proofErr w:type="spellStart"/>
      <w:r w:rsidR="007B5749">
        <w:rPr>
          <w:szCs w:val="22"/>
        </w:rPr>
        <w:t>licen</w:t>
      </w:r>
      <w:r w:rsidR="00FD6480">
        <w:rPr>
          <w:szCs w:val="22"/>
        </w:rPr>
        <w:t>c</w:t>
      </w:r>
      <w:r w:rsidR="007B5749">
        <w:rPr>
          <w:szCs w:val="22"/>
        </w:rPr>
        <w:t>e</w:t>
      </w:r>
      <w:proofErr w:type="spellEnd"/>
      <w:r w:rsidR="00DD451F">
        <w:rPr>
          <w:szCs w:val="22"/>
        </w:rPr>
        <w:t xml:space="preserve"> </w:t>
      </w:r>
      <w:r w:rsidR="00FE3896">
        <w:rPr>
          <w:szCs w:val="22"/>
        </w:rPr>
        <w:t xml:space="preserve">requiring it </w:t>
      </w:r>
      <w:r w:rsidR="00DD451F">
        <w:rPr>
          <w:szCs w:val="22"/>
        </w:rPr>
        <w:t xml:space="preserve">to </w:t>
      </w:r>
      <w:r w:rsidR="007B5749">
        <w:rPr>
          <w:szCs w:val="22"/>
        </w:rPr>
        <w:t xml:space="preserve">establish </w:t>
      </w:r>
      <w:r w:rsidR="009D2F81">
        <w:rPr>
          <w:szCs w:val="22"/>
        </w:rPr>
        <w:t xml:space="preserve">and maintain a </w:t>
      </w:r>
      <w:r w:rsidR="00DD451F">
        <w:rPr>
          <w:szCs w:val="22"/>
        </w:rPr>
        <w:t>compliance process</w:t>
      </w:r>
      <w:r w:rsidR="008466CD">
        <w:rPr>
          <w:szCs w:val="22"/>
        </w:rPr>
        <w:t xml:space="preserve">. </w:t>
      </w:r>
      <w:r w:rsidR="004E2047">
        <w:rPr>
          <w:szCs w:val="22"/>
        </w:rPr>
        <w:br/>
      </w:r>
    </w:p>
    <w:p w14:paraId="28DC79D5" w14:textId="60DC55C2" w:rsidR="003D5ECF" w:rsidRPr="003D5ECF" w:rsidRDefault="00BD4B90" w:rsidP="003D5ECF">
      <w:pPr>
        <w:pStyle w:val="ListParagraph"/>
        <w:numPr>
          <w:ilvl w:val="1"/>
          <w:numId w:val="16"/>
        </w:numPr>
        <w:spacing w:before="240" w:after="200"/>
        <w:ind w:left="567" w:hanging="567"/>
        <w:rPr>
          <w:szCs w:val="22"/>
        </w:rPr>
      </w:pPr>
      <w:r>
        <w:rPr>
          <w:szCs w:val="22"/>
        </w:rPr>
        <w:t>PWC responded formally to the detailed review i</w:t>
      </w:r>
      <w:r w:rsidR="004E2047">
        <w:rPr>
          <w:szCs w:val="22"/>
        </w:rPr>
        <w:t>n December 2016</w:t>
      </w:r>
      <w:r w:rsidR="00490E4B">
        <w:rPr>
          <w:szCs w:val="22"/>
        </w:rPr>
        <w:t xml:space="preserve"> </w:t>
      </w:r>
      <w:r>
        <w:rPr>
          <w:szCs w:val="22"/>
        </w:rPr>
        <w:t xml:space="preserve">and </w:t>
      </w:r>
      <w:r w:rsidR="006844A7">
        <w:rPr>
          <w:szCs w:val="22"/>
        </w:rPr>
        <w:t xml:space="preserve">has </w:t>
      </w:r>
      <w:r w:rsidR="004E2047">
        <w:rPr>
          <w:szCs w:val="22"/>
        </w:rPr>
        <w:t xml:space="preserve">committed to </w:t>
      </w:r>
      <w:r w:rsidR="00420805">
        <w:rPr>
          <w:szCs w:val="22"/>
        </w:rPr>
        <w:t xml:space="preserve">a comprehensive review of its compliance framework. The Commission will monitor </w:t>
      </w:r>
      <w:r w:rsidR="003E4453">
        <w:rPr>
          <w:szCs w:val="22"/>
        </w:rPr>
        <w:t>PWC’s progress over the next 12 months</w:t>
      </w:r>
      <w:r w:rsidR="00420805">
        <w:rPr>
          <w:szCs w:val="22"/>
        </w:rPr>
        <w:t xml:space="preserve"> and consider if further </w:t>
      </w:r>
      <w:r w:rsidR="00421BC0">
        <w:rPr>
          <w:szCs w:val="22"/>
        </w:rPr>
        <w:t>regulatory</w:t>
      </w:r>
      <w:r w:rsidR="00420805">
        <w:rPr>
          <w:szCs w:val="22"/>
        </w:rPr>
        <w:t xml:space="preserve"> action is </w:t>
      </w:r>
      <w:r w:rsidR="005D5CE2">
        <w:rPr>
          <w:szCs w:val="22"/>
        </w:rPr>
        <w:t>appropriate</w:t>
      </w:r>
      <w:r w:rsidR="00420805">
        <w:rPr>
          <w:szCs w:val="22"/>
        </w:rPr>
        <w:t xml:space="preserve">. </w:t>
      </w:r>
      <w:r w:rsidR="006E5C28">
        <w:rPr>
          <w:szCs w:val="22"/>
        </w:rPr>
        <w:br/>
      </w:r>
    </w:p>
    <w:p w14:paraId="65D0B9A8" w14:textId="77777777" w:rsidR="00BB73BA" w:rsidRPr="00BB73BA" w:rsidRDefault="00BB73BA" w:rsidP="002240A9">
      <w:pPr>
        <w:spacing w:before="200" w:after="200"/>
      </w:pPr>
    </w:p>
    <w:sectPr w:rsidR="00BB73BA" w:rsidRPr="00BB73BA" w:rsidSect="00644666">
      <w:headerReference w:type="even" r:id="rId20"/>
      <w:pgSz w:w="11907" w:h="16840" w:code="9"/>
      <w:pgMar w:top="1134" w:right="1134" w:bottom="993"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A250" w14:textId="77777777" w:rsidR="00B9618E" w:rsidRDefault="00B9618E">
      <w:r>
        <w:separator/>
      </w:r>
    </w:p>
    <w:p w14:paraId="416C9DB8" w14:textId="77777777" w:rsidR="00B9618E" w:rsidRDefault="00B9618E"/>
  </w:endnote>
  <w:endnote w:type="continuationSeparator" w:id="0">
    <w:p w14:paraId="2BB5193D" w14:textId="77777777" w:rsidR="00B9618E" w:rsidRDefault="00B9618E">
      <w:r>
        <w:continuationSeparator/>
      </w:r>
    </w:p>
    <w:p w14:paraId="5D95F447" w14:textId="77777777" w:rsidR="00B9618E" w:rsidRDefault="00B96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77A0" w14:textId="4EF37A19" w:rsidR="003E62AE" w:rsidRPr="00EA0992" w:rsidRDefault="003E62AE" w:rsidP="00EA0992">
    <w:pPr>
      <w:pStyle w:val="Footer"/>
      <w:pBdr>
        <w:top w:val="single" w:sz="4" w:space="1" w:color="auto"/>
      </w:pBdr>
      <w:tabs>
        <w:tab w:val="clear" w:pos="4320"/>
        <w:tab w:val="clear" w:pos="8640"/>
        <w:tab w:val="right" w:pos="8505"/>
      </w:tabs>
      <w:rPr>
        <w:rFonts w:cs="Arial"/>
        <w:szCs w:val="18"/>
      </w:rPr>
    </w:pPr>
    <w:r w:rsidRPr="00EA0992">
      <w:rPr>
        <w:rFonts w:cs="Arial"/>
        <w:szCs w:val="18"/>
      </w:rPr>
      <w:fldChar w:fldCharType="begin"/>
    </w:r>
    <w:r w:rsidRPr="00EA0992">
      <w:rPr>
        <w:rFonts w:cs="Arial"/>
        <w:szCs w:val="18"/>
      </w:rPr>
      <w:instrText xml:space="preserve"> FILENAME </w:instrText>
    </w:r>
    <w:r w:rsidRPr="00EA0992">
      <w:rPr>
        <w:rFonts w:cs="Arial"/>
        <w:szCs w:val="18"/>
      </w:rPr>
      <w:fldChar w:fldCharType="separate"/>
    </w:r>
    <w:r w:rsidR="00514918">
      <w:rPr>
        <w:rFonts w:cs="Arial"/>
        <w:noProof/>
        <w:szCs w:val="18"/>
      </w:rPr>
      <w:t>2015-16 Compliance Report - FINAL</w:t>
    </w:r>
    <w:r w:rsidRPr="00EA0992">
      <w:rPr>
        <w:rFonts w:cs="Arial"/>
        <w:szCs w:val="18"/>
      </w:rPr>
      <w:fldChar w:fldCharType="end"/>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440DCF">
      <w:rPr>
        <w:rFonts w:cs="Arial"/>
        <w:noProof/>
        <w:szCs w:val="18"/>
      </w:rPr>
      <w:t>February 2017</w:t>
    </w:r>
    <w:r w:rsidRPr="00EA0992">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0A55" w14:textId="77777777" w:rsidR="003E62AE" w:rsidRDefault="003E62AE">
    <w:pPr>
      <w:framePr w:wrap="none" w:vAnchor="text" w:hAnchor="margin" w:xAlign="center" w:y="1"/>
    </w:pPr>
    <w:r>
      <w:fldChar w:fldCharType="begin"/>
    </w:r>
    <w:r>
      <w:instrText xml:space="preserve">PAGE  </w:instrText>
    </w:r>
    <w:r>
      <w:fldChar w:fldCharType="separate"/>
    </w:r>
    <w:r>
      <w:rPr>
        <w:noProof/>
      </w:rPr>
      <w:t>ii</w:t>
    </w:r>
    <w:r>
      <w:fldChar w:fldCharType="end"/>
    </w:r>
  </w:p>
  <w:p w14:paraId="09652311" w14:textId="77777777" w:rsidR="003E62AE" w:rsidRDefault="003E62AE">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center" w:tblpY="14176"/>
      <w:tblOverlap w:val="never"/>
      <w:tblW w:w="8640" w:type="dxa"/>
      <w:tblCellMar>
        <w:left w:w="86" w:type="dxa"/>
        <w:right w:w="86" w:type="dxa"/>
      </w:tblCellMar>
      <w:tblLook w:val="0000" w:firstRow="0" w:lastRow="0" w:firstColumn="0" w:lastColumn="0" w:noHBand="0" w:noVBand="0"/>
    </w:tblPr>
    <w:tblGrid>
      <w:gridCol w:w="3234"/>
      <w:gridCol w:w="5406"/>
    </w:tblGrid>
    <w:tr w:rsidR="003E62AE" w:rsidRPr="00CD0BDF" w14:paraId="55015112" w14:textId="77777777" w:rsidTr="00E630D5">
      <w:trPr>
        <w:trHeight w:val="848"/>
      </w:trPr>
      <w:tc>
        <w:tcPr>
          <w:tcW w:w="3234" w:type="dxa"/>
          <w:vAlign w:val="center"/>
        </w:tcPr>
        <w:p w14:paraId="3D368347" w14:textId="77777777" w:rsidR="003E62AE" w:rsidRPr="00CD0BDF" w:rsidRDefault="003E62AE" w:rsidP="00E630D5">
          <w:pPr>
            <w:pStyle w:val="CompanyInformation"/>
            <w:rPr>
              <w:rFonts w:cs="Arial"/>
            </w:rPr>
          </w:pPr>
          <w:r>
            <w:rPr>
              <w:rFonts w:cs="Arial"/>
              <w:noProof/>
              <w:lang w:eastAsia="en-AU"/>
            </w:rPr>
            <w:drawing>
              <wp:inline distT="0" distB="0" distL="0" distR="0" wp14:anchorId="4928860C" wp14:editId="32AB6522">
                <wp:extent cx="1943100" cy="1028700"/>
                <wp:effectExtent l="0" t="0" r="0" b="0"/>
                <wp:docPr id="1" name="Picture 1"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5406" w:type="dxa"/>
          <w:vAlign w:val="bottom"/>
        </w:tcPr>
        <w:p w14:paraId="6F570F62" w14:textId="77777777" w:rsidR="003E62AE" w:rsidRPr="00BD2B44" w:rsidRDefault="003E62AE" w:rsidP="00E630D5">
          <w:pPr>
            <w:pStyle w:val="UtilComHeaderInfo"/>
          </w:pPr>
          <w:r>
            <w:t xml:space="preserve">Charles Darwin Centre, 19 The Mall </w:t>
          </w:r>
          <w:r w:rsidRPr="00BD2B44">
            <w:t>DARWIN NT 0800</w:t>
          </w:r>
        </w:p>
        <w:p w14:paraId="79F62593" w14:textId="77777777" w:rsidR="003E62AE" w:rsidRDefault="003E62AE" w:rsidP="00E630D5">
          <w:pPr>
            <w:pStyle w:val="UtilComHeaderInfo"/>
          </w:pPr>
          <w:r>
            <w:t xml:space="preserve">GPO Box 915 </w:t>
          </w:r>
          <w:r w:rsidRPr="00BD2B44">
            <w:t>DARWIN NT 0801</w:t>
          </w:r>
        </w:p>
        <w:p w14:paraId="730C65B8" w14:textId="77777777" w:rsidR="003E62AE" w:rsidRDefault="003E62AE" w:rsidP="00E630D5">
          <w:pPr>
            <w:pStyle w:val="UtilComHeaderInfo"/>
          </w:pPr>
          <w:r w:rsidRPr="00874A60">
            <w:t xml:space="preserve">Email: </w:t>
          </w:r>
          <w:r w:rsidRPr="002D4390">
            <w:t>utilities.commission@nt.gov.au</w:t>
          </w:r>
        </w:p>
        <w:p w14:paraId="3DA744A5" w14:textId="77777777" w:rsidR="003E62AE" w:rsidRPr="00CD0BDF" w:rsidRDefault="003E62AE" w:rsidP="00E630D5">
          <w:pPr>
            <w:pStyle w:val="UtilComHeaderInfo"/>
            <w:rPr>
              <w:rFonts w:cs="Arial"/>
            </w:rPr>
          </w:pPr>
          <w:r>
            <w:t xml:space="preserve">Website: </w:t>
          </w:r>
          <w:r w:rsidRPr="00CD0BDF">
            <w:t>www.utilicom.nt.gov.au</w:t>
          </w:r>
        </w:p>
      </w:tc>
    </w:tr>
  </w:tbl>
  <w:p w14:paraId="2E90054B" w14:textId="77777777" w:rsidR="003E62AE" w:rsidRDefault="003E62AE" w:rsidP="003C101A">
    <w:pPr>
      <w:pStyle w:val="Footer"/>
      <w:pBdr>
        <w:top w:val="single" w:sz="4" w:space="1" w:color="99CCFF"/>
      </w:pBdr>
      <w:spacing w:line="28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BBA7" w14:textId="7CCAD940" w:rsidR="003E62AE" w:rsidRPr="00EA0992" w:rsidRDefault="007B4D83" w:rsidP="003C101A">
    <w:pPr>
      <w:pStyle w:val="Footer"/>
      <w:pBdr>
        <w:top w:val="single" w:sz="4" w:space="1" w:color="99CCFF"/>
      </w:pBdr>
      <w:tabs>
        <w:tab w:val="clear" w:pos="4320"/>
        <w:tab w:val="clear" w:pos="8640"/>
        <w:tab w:val="right" w:pos="9072"/>
      </w:tabs>
      <w:spacing w:line="280" w:lineRule="exact"/>
      <w:rPr>
        <w:rFonts w:cs="Arial"/>
        <w:szCs w:val="18"/>
      </w:rPr>
    </w:pPr>
    <w:r>
      <w:t>Annual Compliance Report</w:t>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440DCF">
      <w:rPr>
        <w:rFonts w:cs="Arial"/>
        <w:noProof/>
        <w:szCs w:val="18"/>
      </w:rPr>
      <w:t>February 2017</w:t>
    </w:r>
    <w:r w:rsidRPr="00EA0992">
      <w:rPr>
        <w:rFonts w:cs="Arial"/>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B46" w14:textId="5EA89BE9" w:rsidR="003E62AE" w:rsidRPr="00EA0992" w:rsidRDefault="003E62AE" w:rsidP="003C101A">
    <w:pPr>
      <w:pStyle w:val="Footer"/>
      <w:pBdr>
        <w:top w:val="single" w:sz="4" w:space="1" w:color="99CCFF"/>
      </w:pBdr>
      <w:tabs>
        <w:tab w:val="clear" w:pos="4320"/>
        <w:tab w:val="clear" w:pos="8640"/>
        <w:tab w:val="right" w:pos="9072"/>
      </w:tabs>
      <w:spacing w:line="280" w:lineRule="exact"/>
      <w:rPr>
        <w:rFonts w:cs="Arial"/>
        <w:szCs w:val="18"/>
      </w:rPr>
    </w:pPr>
    <w:r>
      <w:t>Annual Compliance Report</w:t>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440DCF">
      <w:rPr>
        <w:rFonts w:cs="Arial"/>
        <w:noProof/>
        <w:szCs w:val="18"/>
      </w:rPr>
      <w:t>February 2017</w:t>
    </w:r>
    <w:r w:rsidRPr="00EA0992">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1E10" w14:textId="77777777" w:rsidR="00B9618E" w:rsidRDefault="00B9618E">
      <w:pPr>
        <w:spacing w:before="100" w:after="0" w:line="240" w:lineRule="auto"/>
      </w:pPr>
      <w:r>
        <w:separator/>
      </w:r>
    </w:p>
  </w:footnote>
  <w:footnote w:type="continuationSeparator" w:id="0">
    <w:p w14:paraId="03B8EC0F" w14:textId="77777777" w:rsidR="00B9618E" w:rsidRDefault="00B9618E">
      <w:pPr>
        <w:spacing w:before="0" w:after="0" w:line="240" w:lineRule="auto"/>
      </w:pPr>
      <w:r>
        <w:continuationSeparator/>
      </w:r>
    </w:p>
    <w:p w14:paraId="6844B84A" w14:textId="77777777" w:rsidR="00B9618E" w:rsidRDefault="00B9618E"/>
  </w:footnote>
  <w:footnote w:type="continuationNotice" w:id="1">
    <w:p w14:paraId="651B9249" w14:textId="77777777" w:rsidR="00B9618E" w:rsidRDefault="00B9618E">
      <w:pPr>
        <w:spacing w:before="0" w:after="0" w:line="240" w:lineRule="auto"/>
      </w:pPr>
    </w:p>
  </w:footnote>
  <w:footnote w:id="2">
    <w:p w14:paraId="74539CF8" w14:textId="431126E6" w:rsidR="003E62AE" w:rsidRPr="000E3299" w:rsidRDefault="003E62AE" w:rsidP="00DB3FE7">
      <w:pPr>
        <w:pStyle w:val="FootnoteText"/>
        <w:tabs>
          <w:tab w:val="left" w:pos="284"/>
        </w:tabs>
        <w:spacing w:before="0" w:after="0" w:line="240" w:lineRule="auto"/>
        <w:rPr>
          <w:sz w:val="16"/>
          <w:szCs w:val="16"/>
        </w:rPr>
      </w:pPr>
      <w:r w:rsidRPr="000E3299">
        <w:rPr>
          <w:sz w:val="16"/>
          <w:szCs w:val="16"/>
          <w:vertAlign w:val="superscript"/>
        </w:rPr>
        <w:footnoteRef/>
      </w:r>
      <w:r w:rsidRPr="000E3299">
        <w:rPr>
          <w:sz w:val="16"/>
          <w:szCs w:val="16"/>
        </w:rPr>
        <w:tab/>
        <w:t>Clause 11.2</w:t>
      </w:r>
      <w:r w:rsidR="00E97E96">
        <w:rPr>
          <w:sz w:val="16"/>
          <w:szCs w:val="16"/>
        </w:rPr>
        <w:t>(b)</w:t>
      </w:r>
      <w:r w:rsidRPr="000E3299">
        <w:rPr>
          <w:sz w:val="16"/>
          <w:szCs w:val="16"/>
        </w:rPr>
        <w:t xml:space="preserve"> of the Retail, Generation and Network licences, and 12.2</w:t>
      </w:r>
      <w:r w:rsidR="00E97E96">
        <w:rPr>
          <w:sz w:val="16"/>
          <w:szCs w:val="16"/>
        </w:rPr>
        <w:t>(b)</w:t>
      </w:r>
      <w:r w:rsidRPr="000E3299">
        <w:rPr>
          <w:sz w:val="16"/>
          <w:szCs w:val="16"/>
        </w:rPr>
        <w:t xml:space="preserve"> of the System Control licence.</w:t>
      </w:r>
    </w:p>
  </w:footnote>
  <w:footnote w:id="3">
    <w:p w14:paraId="46B9CB35" w14:textId="77777777" w:rsidR="003E62AE" w:rsidRDefault="003E62AE" w:rsidP="005077EC">
      <w:pPr>
        <w:tabs>
          <w:tab w:val="left" w:pos="284"/>
        </w:tabs>
        <w:spacing w:before="0" w:after="0" w:line="240" w:lineRule="auto"/>
        <w:ind w:left="284" w:hanging="284"/>
      </w:pPr>
      <w:r w:rsidRPr="000E3299">
        <w:rPr>
          <w:rStyle w:val="FootnoteReference"/>
          <w:sz w:val="16"/>
          <w:szCs w:val="16"/>
        </w:rPr>
        <w:footnoteRef/>
      </w:r>
      <w:r w:rsidRPr="000E3299">
        <w:rPr>
          <w:sz w:val="16"/>
          <w:szCs w:val="16"/>
        </w:rPr>
        <w:tab/>
      </w:r>
      <w:r w:rsidRPr="000E3299">
        <w:rPr>
          <w:rFonts w:cs="Arial"/>
          <w:sz w:val="16"/>
          <w:szCs w:val="16"/>
        </w:rPr>
        <w:t>In February 2016, the Commission amalgamated the Guidelines with its Statement of Approach on Compliance.</w:t>
      </w:r>
    </w:p>
  </w:footnote>
  <w:footnote w:id="4">
    <w:p w14:paraId="60B5867F" w14:textId="77777777" w:rsidR="003E62AE" w:rsidRPr="000E3299" w:rsidRDefault="003E62AE" w:rsidP="005077EC">
      <w:pPr>
        <w:pStyle w:val="FootnoteText"/>
        <w:tabs>
          <w:tab w:val="left" w:pos="284"/>
        </w:tabs>
        <w:spacing w:before="0" w:after="0" w:line="240" w:lineRule="auto"/>
        <w:rPr>
          <w:sz w:val="16"/>
          <w:szCs w:val="16"/>
        </w:rPr>
      </w:pPr>
      <w:r w:rsidRPr="000E3299">
        <w:rPr>
          <w:rStyle w:val="FootnoteReference"/>
          <w:sz w:val="16"/>
          <w:szCs w:val="16"/>
        </w:rPr>
        <w:footnoteRef/>
      </w:r>
      <w:r w:rsidRPr="000E3299">
        <w:rPr>
          <w:sz w:val="16"/>
          <w:szCs w:val="16"/>
        </w:rPr>
        <w:tab/>
      </w:r>
      <w:proofErr w:type="gramStart"/>
      <w:r w:rsidRPr="000E3299">
        <w:rPr>
          <w:rFonts w:cs="Arial"/>
          <w:sz w:val="16"/>
          <w:szCs w:val="16"/>
        </w:rPr>
        <w:t>Cl.11.2(</w:t>
      </w:r>
      <w:proofErr w:type="gramEnd"/>
      <w:r w:rsidRPr="000E3299">
        <w:rPr>
          <w:rFonts w:cs="Arial"/>
          <w:sz w:val="16"/>
          <w:szCs w:val="16"/>
        </w:rPr>
        <w:t>a) of the retail, networks and generation licences, and cl.12.2(a) of the system control licence.</w:t>
      </w:r>
    </w:p>
  </w:footnote>
  <w:footnote w:id="5">
    <w:p w14:paraId="2EF59299" w14:textId="77777777" w:rsidR="003E62AE" w:rsidRPr="000E3299" w:rsidRDefault="003E62AE" w:rsidP="005077EC">
      <w:pPr>
        <w:pStyle w:val="FootnoteText"/>
        <w:tabs>
          <w:tab w:val="left" w:pos="284"/>
        </w:tabs>
        <w:spacing w:before="0" w:after="0" w:line="240" w:lineRule="auto"/>
        <w:rPr>
          <w:sz w:val="16"/>
          <w:szCs w:val="16"/>
        </w:rPr>
      </w:pPr>
      <w:r w:rsidRPr="000E3299">
        <w:rPr>
          <w:rStyle w:val="FootnoteReference"/>
          <w:sz w:val="16"/>
          <w:szCs w:val="16"/>
        </w:rPr>
        <w:footnoteRef/>
      </w:r>
      <w:r w:rsidRPr="000E3299">
        <w:rPr>
          <w:sz w:val="16"/>
          <w:szCs w:val="16"/>
        </w:rPr>
        <w:tab/>
      </w:r>
      <w:hyperlink r:id="rId1" w:history="1">
        <w:r w:rsidRPr="000E3299">
          <w:rPr>
            <w:rStyle w:val="Hyperlink"/>
            <w:rFonts w:cs="Arial"/>
            <w:sz w:val="16"/>
            <w:szCs w:val="16"/>
          </w:rPr>
          <w:t>Compliance Framework and Reporting Guidelines, Final, February 2016</w:t>
        </w:r>
      </w:hyperlink>
      <w:r w:rsidRPr="000E3299">
        <w:rPr>
          <w:rFonts w:cs="Arial"/>
          <w:sz w:val="16"/>
          <w:szCs w:val="16"/>
        </w:rPr>
        <w:t>, page 15, para 3.42</w:t>
      </w:r>
    </w:p>
  </w:footnote>
  <w:footnote w:id="6">
    <w:p w14:paraId="1E05D6F8" w14:textId="77777777" w:rsidR="003E62AE" w:rsidRDefault="003E62AE" w:rsidP="00DB3FE7">
      <w:pPr>
        <w:pStyle w:val="FootnoteText"/>
        <w:tabs>
          <w:tab w:val="left" w:pos="284"/>
        </w:tabs>
        <w:spacing w:before="0" w:after="0" w:line="240" w:lineRule="auto"/>
      </w:pPr>
      <w:r w:rsidRPr="000E3299">
        <w:rPr>
          <w:rStyle w:val="FootnoteReference"/>
          <w:sz w:val="16"/>
          <w:szCs w:val="16"/>
        </w:rPr>
        <w:footnoteRef/>
      </w:r>
      <w:r w:rsidRPr="000E3299">
        <w:rPr>
          <w:sz w:val="16"/>
          <w:szCs w:val="16"/>
        </w:rPr>
        <w:tab/>
      </w:r>
      <w:r w:rsidRPr="000E3299">
        <w:rPr>
          <w:rFonts w:cs="Arial"/>
          <w:sz w:val="16"/>
          <w:szCs w:val="16"/>
        </w:rPr>
        <w:t>Ibid, page 12, para 3.23</w:t>
      </w:r>
    </w:p>
  </w:footnote>
  <w:footnote w:id="7">
    <w:p w14:paraId="6114A456"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 page 12, para 3.24</w:t>
      </w:r>
    </w:p>
  </w:footnote>
  <w:footnote w:id="8">
    <w:p w14:paraId="6FF15294"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proofErr w:type="spellStart"/>
      <w:r w:rsidRPr="00644666">
        <w:rPr>
          <w:rFonts w:cs="Arial"/>
          <w:sz w:val="16"/>
          <w:szCs w:val="16"/>
        </w:rPr>
        <w:t>Ibid,page</w:t>
      </w:r>
      <w:proofErr w:type="spellEnd"/>
      <w:r w:rsidRPr="00644666">
        <w:rPr>
          <w:rFonts w:cs="Arial"/>
          <w:sz w:val="16"/>
          <w:szCs w:val="16"/>
        </w:rPr>
        <w:t xml:space="preserve"> 13, para 3.25</w:t>
      </w:r>
    </w:p>
  </w:footnote>
  <w:footnote w:id="9">
    <w:p w14:paraId="17F9E1B8"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proofErr w:type="spellStart"/>
      <w:r w:rsidRPr="00644666">
        <w:rPr>
          <w:rFonts w:cs="Arial"/>
          <w:sz w:val="16"/>
          <w:szCs w:val="16"/>
        </w:rPr>
        <w:t>Ibid,page</w:t>
      </w:r>
      <w:proofErr w:type="spellEnd"/>
      <w:r w:rsidRPr="00644666">
        <w:rPr>
          <w:rFonts w:cs="Arial"/>
          <w:sz w:val="16"/>
          <w:szCs w:val="16"/>
        </w:rPr>
        <w:t xml:space="preserve"> 13, para 3.26</w:t>
      </w:r>
    </w:p>
  </w:footnote>
  <w:footnote w:id="10">
    <w:p w14:paraId="6854FD53" w14:textId="77777777" w:rsidR="003E62AE" w:rsidRDefault="003E62AE" w:rsidP="00DB3FE7">
      <w:pPr>
        <w:pStyle w:val="FootnoteText"/>
        <w:tabs>
          <w:tab w:val="left" w:pos="284"/>
        </w:tabs>
        <w:spacing w:before="0" w:after="0" w:line="240" w:lineRule="auto"/>
      </w:pPr>
      <w:r w:rsidRPr="00644666">
        <w:rPr>
          <w:rStyle w:val="FootnoteReference"/>
          <w:sz w:val="16"/>
          <w:szCs w:val="16"/>
        </w:rPr>
        <w:footnoteRef/>
      </w:r>
      <w:r w:rsidRPr="00644666">
        <w:rPr>
          <w:sz w:val="16"/>
          <w:szCs w:val="16"/>
        </w:rPr>
        <w:tab/>
      </w:r>
      <w:proofErr w:type="spellStart"/>
      <w:r w:rsidRPr="00644666">
        <w:rPr>
          <w:rFonts w:cs="Arial"/>
          <w:sz w:val="16"/>
          <w:szCs w:val="16"/>
        </w:rPr>
        <w:t>Ibid,page</w:t>
      </w:r>
      <w:proofErr w:type="spellEnd"/>
      <w:r w:rsidRPr="00644666">
        <w:rPr>
          <w:rFonts w:cs="Arial"/>
          <w:sz w:val="16"/>
          <w:szCs w:val="16"/>
        </w:rPr>
        <w:t xml:space="preserve"> 1</w:t>
      </w:r>
      <w:r>
        <w:rPr>
          <w:rFonts w:cs="Arial"/>
          <w:sz w:val="16"/>
          <w:szCs w:val="16"/>
        </w:rPr>
        <w:t>3, para 3.27</w:t>
      </w:r>
    </w:p>
  </w:footnote>
  <w:footnote w:id="11">
    <w:p w14:paraId="1F873CCF" w14:textId="77777777" w:rsidR="003E62AE" w:rsidRPr="00644666" w:rsidRDefault="003E62AE" w:rsidP="00DB3FE7">
      <w:pPr>
        <w:tabs>
          <w:tab w:val="left" w:pos="284"/>
        </w:tabs>
        <w:spacing w:before="0" w:after="0" w:line="240" w:lineRule="auto"/>
        <w:rPr>
          <w:rFonts w:cs="Arial"/>
          <w:sz w:val="16"/>
          <w:szCs w:val="16"/>
        </w:rPr>
      </w:pPr>
      <w:r w:rsidRPr="00644666">
        <w:rPr>
          <w:rFonts w:cs="Arial"/>
          <w:sz w:val="16"/>
          <w:szCs w:val="16"/>
          <w:vertAlign w:val="superscript"/>
        </w:rPr>
        <w:footnoteRef/>
      </w:r>
      <w:r w:rsidRPr="00644666">
        <w:rPr>
          <w:rFonts w:cs="Arial"/>
          <w:sz w:val="16"/>
          <w:szCs w:val="16"/>
        </w:rPr>
        <w:tab/>
        <w:t>Ibid, p</w:t>
      </w:r>
      <w:r>
        <w:rPr>
          <w:rFonts w:cs="Arial"/>
          <w:sz w:val="16"/>
          <w:szCs w:val="16"/>
        </w:rPr>
        <w:t xml:space="preserve">age </w:t>
      </w:r>
      <w:r w:rsidRPr="00644666">
        <w:rPr>
          <w:rFonts w:cs="Arial"/>
          <w:sz w:val="16"/>
          <w:szCs w:val="16"/>
        </w:rPr>
        <w:t>6, para.4.5.2</w:t>
      </w:r>
    </w:p>
  </w:footnote>
  <w:footnote w:id="12">
    <w:p w14:paraId="2EA82F8A" w14:textId="77777777" w:rsidR="00E36F46" w:rsidRPr="007E764E" w:rsidRDefault="00E36F46" w:rsidP="009F29A1">
      <w:pPr>
        <w:pStyle w:val="UtilComReferenceSource"/>
        <w:tabs>
          <w:tab w:val="left" w:pos="284"/>
          <w:tab w:val="left" w:pos="426"/>
        </w:tabs>
        <w:spacing w:before="0" w:after="0"/>
        <w:rPr>
          <w:sz w:val="16"/>
          <w:szCs w:val="16"/>
        </w:rPr>
      </w:pPr>
      <w:r w:rsidRPr="007E764E">
        <w:rPr>
          <w:rStyle w:val="FootnoteReference"/>
          <w:sz w:val="16"/>
          <w:szCs w:val="16"/>
        </w:rPr>
        <w:footnoteRef/>
      </w:r>
      <w:r w:rsidRPr="007E764E">
        <w:rPr>
          <w:sz w:val="16"/>
          <w:szCs w:val="16"/>
        </w:rPr>
        <w:tab/>
      </w:r>
      <w:r w:rsidRPr="007E764E">
        <w:rPr>
          <w:sz w:val="16"/>
          <w:szCs w:val="16"/>
        </w:rPr>
        <w:tab/>
      </w:r>
      <w:r w:rsidRPr="007E764E">
        <w:rPr>
          <w:rFonts w:cs="Arial"/>
          <w:sz w:val="16"/>
          <w:szCs w:val="16"/>
          <w:lang w:val="en-AU"/>
        </w:rPr>
        <w:t>Holders of Special Licences were not required to submit annual Compliance Reports.</w:t>
      </w:r>
    </w:p>
  </w:footnote>
  <w:footnote w:id="13">
    <w:p w14:paraId="39782755" w14:textId="6A0B924E" w:rsidR="009F29A1" w:rsidRDefault="009F29A1" w:rsidP="009F29A1">
      <w:pPr>
        <w:pStyle w:val="FootnoteText"/>
        <w:tabs>
          <w:tab w:val="left" w:pos="426"/>
        </w:tabs>
      </w:pPr>
      <w:r>
        <w:rPr>
          <w:rStyle w:val="FootnoteReference"/>
        </w:rPr>
        <w:footnoteRef/>
      </w:r>
      <w:r>
        <w:t xml:space="preserve"> </w:t>
      </w:r>
      <w:r>
        <w:tab/>
      </w:r>
      <w:r w:rsidRPr="009F29A1">
        <w:rPr>
          <w:rFonts w:cs="Arial"/>
          <w:sz w:val="16"/>
          <w:szCs w:val="16"/>
        </w:rPr>
        <w:t xml:space="preserve">Section 48 </w:t>
      </w:r>
      <w:r w:rsidRPr="009F29A1">
        <w:rPr>
          <w:rFonts w:cs="Arial"/>
          <w:i/>
          <w:sz w:val="16"/>
          <w:szCs w:val="16"/>
        </w:rPr>
        <w:t>Water Supply and Sewerage Services Act</w:t>
      </w:r>
    </w:p>
  </w:footnote>
  <w:footnote w:id="14">
    <w:p w14:paraId="481FF9F0" w14:textId="703C4893" w:rsidR="00D314D3" w:rsidRPr="006D54F1" w:rsidRDefault="00D314D3" w:rsidP="006D54F1">
      <w:pPr>
        <w:pStyle w:val="FootnoteText"/>
        <w:tabs>
          <w:tab w:val="left" w:pos="426"/>
        </w:tabs>
        <w:spacing w:line="240" w:lineRule="auto"/>
        <w:ind w:left="425" w:hanging="425"/>
        <w:rPr>
          <w:rFonts w:cs="Arial"/>
          <w:sz w:val="16"/>
          <w:szCs w:val="16"/>
        </w:rPr>
      </w:pPr>
      <w:r w:rsidRPr="006D54F1">
        <w:rPr>
          <w:rFonts w:cs="Arial"/>
          <w:sz w:val="16"/>
          <w:szCs w:val="16"/>
        </w:rPr>
        <w:footnoteRef/>
      </w:r>
      <w:r w:rsidRPr="006D54F1">
        <w:rPr>
          <w:rFonts w:cs="Arial"/>
          <w:sz w:val="16"/>
          <w:szCs w:val="16"/>
        </w:rPr>
        <w:t xml:space="preserve"> </w:t>
      </w:r>
      <w:r w:rsidR="006D54F1">
        <w:rPr>
          <w:rFonts w:cs="Arial"/>
          <w:sz w:val="16"/>
          <w:szCs w:val="16"/>
        </w:rPr>
        <w:tab/>
      </w:r>
      <w:r w:rsidRPr="006D54F1">
        <w:rPr>
          <w:rFonts w:cs="Arial"/>
          <w:sz w:val="16"/>
          <w:szCs w:val="16"/>
        </w:rPr>
        <w:t xml:space="preserve">Australian Standard 19600:2015 Compliance management systems – Guidelines superseded the Australian Standard 3806:2006 Compliance Programs Standard. </w:t>
      </w:r>
    </w:p>
  </w:footnote>
  <w:footnote w:id="15">
    <w:p w14:paraId="73DB0BF0" w14:textId="1CF00CB9" w:rsidR="00DE38CE" w:rsidRPr="006D54F1" w:rsidRDefault="00DE38CE" w:rsidP="006D54F1">
      <w:pPr>
        <w:pStyle w:val="FootnoteText"/>
        <w:tabs>
          <w:tab w:val="left" w:pos="426"/>
        </w:tabs>
        <w:spacing w:line="240" w:lineRule="auto"/>
        <w:ind w:left="425" w:hanging="425"/>
        <w:rPr>
          <w:rFonts w:cs="Arial"/>
          <w:sz w:val="16"/>
          <w:szCs w:val="16"/>
        </w:rPr>
      </w:pPr>
      <w:r w:rsidRPr="006D54F1">
        <w:rPr>
          <w:rFonts w:cs="Arial"/>
          <w:sz w:val="16"/>
          <w:szCs w:val="16"/>
        </w:rPr>
        <w:footnoteRef/>
      </w:r>
      <w:r w:rsidRPr="006D54F1">
        <w:rPr>
          <w:rFonts w:cs="Arial"/>
          <w:sz w:val="16"/>
          <w:szCs w:val="16"/>
        </w:rPr>
        <w:t xml:space="preserve"> </w:t>
      </w:r>
      <w:r w:rsidR="00C90B27" w:rsidRPr="006D54F1">
        <w:rPr>
          <w:rFonts w:cs="Arial"/>
          <w:sz w:val="16"/>
          <w:szCs w:val="16"/>
        </w:rPr>
        <w:tab/>
      </w:r>
      <w:hyperlink r:id="rId2" w:history="1">
        <w:r w:rsidRPr="006D54F1">
          <w:rPr>
            <w:rFonts w:cs="Arial"/>
            <w:sz w:val="16"/>
            <w:szCs w:val="16"/>
          </w:rPr>
          <w:t>Cl. 11.1 of Power and Water Corporation’s Network Licence.</w:t>
        </w:r>
      </w:hyperlink>
    </w:p>
  </w:footnote>
  <w:footnote w:id="16">
    <w:p w14:paraId="7226C0D3" w14:textId="4024C6CF" w:rsidR="00C90B27" w:rsidRDefault="00C90B27" w:rsidP="006D54F1">
      <w:pPr>
        <w:pStyle w:val="FootnoteText"/>
        <w:tabs>
          <w:tab w:val="left" w:pos="426"/>
        </w:tabs>
        <w:spacing w:line="240" w:lineRule="auto"/>
        <w:ind w:left="425" w:hanging="425"/>
      </w:pPr>
      <w:r w:rsidRPr="006D54F1">
        <w:rPr>
          <w:rFonts w:cs="Arial"/>
          <w:sz w:val="16"/>
          <w:szCs w:val="16"/>
        </w:rPr>
        <w:footnoteRef/>
      </w:r>
      <w:r w:rsidRPr="006D54F1">
        <w:rPr>
          <w:rFonts w:cs="Arial"/>
          <w:sz w:val="16"/>
          <w:szCs w:val="16"/>
        </w:rPr>
        <w:t xml:space="preserve"> </w:t>
      </w:r>
      <w:r w:rsidRPr="006D54F1">
        <w:rPr>
          <w:rFonts w:cs="Arial"/>
          <w:sz w:val="16"/>
          <w:szCs w:val="16"/>
        </w:rPr>
        <w:tab/>
      </w:r>
      <w:hyperlink r:id="rId3" w:history="1">
        <w:r w:rsidRPr="006D54F1">
          <w:rPr>
            <w:rFonts w:cs="Arial"/>
            <w:sz w:val="16"/>
            <w:szCs w:val="16"/>
          </w:rPr>
          <w:t>Cl. 11.5 of Power and Water Corporation’s Network Licence.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C3CE" w14:textId="77777777" w:rsidR="003E62AE" w:rsidRDefault="003E62AE" w:rsidP="00EA0992">
    <w:pPr>
      <w:pStyle w:val="Header"/>
      <w:pBdr>
        <w:bottom w:val="single" w:sz="4" w:space="1" w:color="auto"/>
      </w:pBdr>
      <w:jc w:val="center"/>
    </w:pP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0256" w14:textId="77777777" w:rsidR="003E62AE" w:rsidRPr="003C101A" w:rsidRDefault="003E62AE" w:rsidP="00457A43">
    <w:pPr>
      <w:pBdr>
        <w:bottom w:val="single" w:sz="4" w:space="1" w:color="99CCFF"/>
      </w:pBdr>
      <w:jc w:val="center"/>
      <w:rPr>
        <w:sz w:val="18"/>
        <w:szCs w:val="18"/>
      </w:rPr>
    </w:pPr>
    <w:r w:rsidRPr="003C101A">
      <w:rPr>
        <w:sz w:val="18"/>
        <w:szCs w:val="18"/>
      </w:rPr>
      <w:fldChar w:fldCharType="begin"/>
    </w:r>
    <w:r w:rsidRPr="003C101A">
      <w:rPr>
        <w:sz w:val="18"/>
        <w:szCs w:val="18"/>
      </w:rPr>
      <w:instrText xml:space="preserve"> PAGE </w:instrText>
    </w:r>
    <w:r w:rsidRPr="003C101A">
      <w:rPr>
        <w:sz w:val="18"/>
        <w:szCs w:val="18"/>
      </w:rPr>
      <w:fldChar w:fldCharType="separate"/>
    </w:r>
    <w:r>
      <w:rPr>
        <w:noProof/>
        <w:sz w:val="18"/>
        <w:szCs w:val="18"/>
      </w:rPr>
      <w:t>10</w:t>
    </w:r>
    <w:r w:rsidRPr="003C101A">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62F1" w14:textId="77777777" w:rsidR="003E62AE" w:rsidRPr="003C101A" w:rsidRDefault="003E62AE" w:rsidP="003C101A">
    <w:pPr>
      <w:pStyle w:val="Header"/>
      <w:pBdr>
        <w:bottom w:val="single" w:sz="4" w:space="1" w:color="99CCFF"/>
      </w:pBd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B190" w14:textId="77777777" w:rsidR="003E62AE" w:rsidRPr="00CD0BDF" w:rsidRDefault="003E62AE" w:rsidP="00457A43">
    <w:pPr>
      <w:pStyle w:val="Header"/>
      <w:pBdr>
        <w:bottom w:val="single" w:sz="4" w:space="1" w:color="99CCFF"/>
      </w:pBdr>
      <w:jc w:val="center"/>
      <w:rPr>
        <w:rFonts w:cs="Arial"/>
        <w:sz w:val="18"/>
        <w:szCs w:val="18"/>
      </w:rPr>
    </w:pPr>
    <w:r w:rsidRPr="00CD0BDF">
      <w:rPr>
        <w:rFonts w:cs="Arial"/>
        <w:sz w:val="18"/>
        <w:szCs w:val="18"/>
      </w:rPr>
      <w:fldChar w:fldCharType="begin"/>
    </w:r>
    <w:r w:rsidRPr="00CD0BDF">
      <w:rPr>
        <w:rFonts w:cs="Arial"/>
        <w:sz w:val="18"/>
        <w:szCs w:val="18"/>
      </w:rPr>
      <w:instrText xml:space="preserve"> PAGE </w:instrText>
    </w:r>
    <w:r w:rsidRPr="00CD0BDF">
      <w:rPr>
        <w:rFonts w:cs="Arial"/>
        <w:sz w:val="18"/>
        <w:szCs w:val="18"/>
      </w:rPr>
      <w:fldChar w:fldCharType="separate"/>
    </w:r>
    <w:r w:rsidR="00017D18">
      <w:rPr>
        <w:rFonts w:cs="Arial"/>
        <w:noProof/>
        <w:sz w:val="18"/>
        <w:szCs w:val="18"/>
      </w:rPr>
      <w:t>i</w:t>
    </w:r>
    <w:r w:rsidRPr="00CD0BDF">
      <w:rPr>
        <w:rFonts w:cs="Arial"/>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9094" w14:textId="4DB7890B" w:rsidR="003E62AE" w:rsidRPr="007B4D83" w:rsidRDefault="007B4D83" w:rsidP="007B4D83">
    <w:pPr>
      <w:pStyle w:val="Header"/>
      <w:pBdr>
        <w:bottom w:val="single" w:sz="4" w:space="1" w:color="99CCFF"/>
      </w:pBdr>
      <w:jc w:val="center"/>
      <w:rPr>
        <w:rFonts w:cs="Arial"/>
        <w:sz w:val="18"/>
        <w:szCs w:val="18"/>
      </w:rPr>
    </w:pPr>
    <w:r w:rsidRPr="00CD0BDF">
      <w:rPr>
        <w:rFonts w:cs="Arial"/>
        <w:sz w:val="18"/>
        <w:szCs w:val="18"/>
      </w:rPr>
      <w:fldChar w:fldCharType="begin"/>
    </w:r>
    <w:r w:rsidRPr="00CD0BDF">
      <w:rPr>
        <w:rFonts w:cs="Arial"/>
        <w:sz w:val="18"/>
        <w:szCs w:val="18"/>
      </w:rPr>
      <w:instrText xml:space="preserve"> PAGE </w:instrText>
    </w:r>
    <w:r w:rsidRPr="00CD0BDF">
      <w:rPr>
        <w:rFonts w:cs="Arial"/>
        <w:sz w:val="18"/>
        <w:szCs w:val="18"/>
      </w:rPr>
      <w:fldChar w:fldCharType="separate"/>
    </w:r>
    <w:r w:rsidR="00017D18">
      <w:rPr>
        <w:rFonts w:cs="Arial"/>
        <w:noProof/>
        <w:sz w:val="18"/>
        <w:szCs w:val="18"/>
      </w:rPr>
      <w:t>9</w:t>
    </w:r>
    <w:r w:rsidRPr="00CD0BDF">
      <w:rPr>
        <w:rFonts w:cs="Arial"/>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FCEA" w14:textId="53C08B34" w:rsidR="003E62AE" w:rsidRPr="007B4D83" w:rsidRDefault="007B4D83" w:rsidP="007B4D83">
    <w:pPr>
      <w:pStyle w:val="Header"/>
      <w:pBdr>
        <w:bottom w:val="single" w:sz="4" w:space="1" w:color="99CCFF"/>
      </w:pBdr>
      <w:jc w:val="center"/>
      <w:rPr>
        <w:rFonts w:cs="Arial"/>
        <w:sz w:val="18"/>
        <w:szCs w:val="18"/>
      </w:rPr>
    </w:pPr>
    <w:r w:rsidRPr="00CD0BDF">
      <w:rPr>
        <w:rFonts w:cs="Arial"/>
        <w:sz w:val="18"/>
        <w:szCs w:val="18"/>
      </w:rPr>
      <w:fldChar w:fldCharType="begin"/>
    </w:r>
    <w:r w:rsidRPr="00CD0BDF">
      <w:rPr>
        <w:rFonts w:cs="Arial"/>
        <w:sz w:val="18"/>
        <w:szCs w:val="18"/>
      </w:rPr>
      <w:instrText xml:space="preserve"> PAGE </w:instrText>
    </w:r>
    <w:r w:rsidRPr="00CD0BDF">
      <w:rPr>
        <w:rFonts w:cs="Arial"/>
        <w:sz w:val="18"/>
        <w:szCs w:val="18"/>
      </w:rPr>
      <w:fldChar w:fldCharType="separate"/>
    </w:r>
    <w:r w:rsidR="00017D18">
      <w:rPr>
        <w:rFonts w:cs="Arial"/>
        <w:noProof/>
        <w:sz w:val="18"/>
        <w:szCs w:val="18"/>
      </w:rPr>
      <w:t>6</w:t>
    </w:r>
    <w:r w:rsidRPr="00CD0BDF">
      <w:rPr>
        <w:rFonts w:cs="Arial"/>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6512" w14:textId="77777777" w:rsidR="003E62AE" w:rsidRDefault="003E6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4141461"/>
    <w:multiLevelType w:val="hybridMultilevel"/>
    <w:tmpl w:val="A7CCAC68"/>
    <w:lvl w:ilvl="0" w:tplc="C3A62C14">
      <w:start w:val="1"/>
      <w:numFmt w:val="bullet"/>
      <w:pStyle w:val="MGBulletText"/>
      <w:lvlText w:val=""/>
      <w:lvlJc w:val="left"/>
      <w:pPr>
        <w:ind w:left="2138" w:hanging="360"/>
      </w:pPr>
      <w:rPr>
        <w:rFonts w:ascii="Symbol" w:hAnsi="Symbol" w:hint="default"/>
        <w:color w:val="005595"/>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13DA337A"/>
    <w:multiLevelType w:val="multilevel"/>
    <w:tmpl w:val="27368EC0"/>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0C5B20"/>
    <w:multiLevelType w:val="hybridMultilevel"/>
    <w:tmpl w:val="37D8E8EE"/>
    <w:lvl w:ilvl="0" w:tplc="DC10E8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3A16F4"/>
    <w:multiLevelType w:val="hybridMultilevel"/>
    <w:tmpl w:val="EBD4C8E0"/>
    <w:lvl w:ilvl="0" w:tplc="89364B2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25E87DBC"/>
    <w:multiLevelType w:val="multilevel"/>
    <w:tmpl w:val="A2F6611E"/>
    <w:lvl w:ilvl="0">
      <w:start w:val="2"/>
      <w:numFmt w:val="decimal"/>
      <w:lvlText w:val="%1"/>
      <w:lvlJc w:val="left"/>
      <w:pPr>
        <w:tabs>
          <w:tab w:val="num" w:pos="450"/>
        </w:tabs>
        <w:ind w:left="450" w:hanging="450"/>
      </w:pPr>
      <w:rPr>
        <w:rFonts w:hint="default"/>
      </w:rPr>
    </w:lvl>
    <w:lvl w:ilvl="1">
      <w:start w:val="1"/>
      <w:numFmt w:val="decimal"/>
      <w:pStyle w:val="UtilComNumberItem2"/>
      <w:lvlText w:val="2.%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6" w15:restartNumberingAfterBreak="0">
    <w:nsid w:val="33C7149B"/>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66EEB"/>
    <w:multiLevelType w:val="hybridMultilevel"/>
    <w:tmpl w:val="24261BD8"/>
    <w:lvl w:ilvl="0" w:tplc="692C3FF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40A70B39"/>
    <w:multiLevelType w:val="hybridMultilevel"/>
    <w:tmpl w:val="75E2DB5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686883"/>
    <w:multiLevelType w:val="multilevel"/>
    <w:tmpl w:val="B9629EE2"/>
    <w:lvl w:ilvl="0">
      <w:start w:val="1"/>
      <w:numFmt w:val="bullet"/>
      <w:pStyle w:val="UtilComBulletTex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0" w15:restartNumberingAfterBreak="0">
    <w:nsid w:val="431D6415"/>
    <w:multiLevelType w:val="multilevel"/>
    <w:tmpl w:val="7CBEE498"/>
    <w:lvl w:ilvl="0">
      <w:start w:val="1"/>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5D65B4"/>
    <w:multiLevelType w:val="hybridMultilevel"/>
    <w:tmpl w:val="0380A1A8"/>
    <w:lvl w:ilvl="0" w:tplc="C3EEF764">
      <w:start w:val="1"/>
      <w:numFmt w:val="lowerLetter"/>
      <w:lvlText w:val="(%1)"/>
      <w:lvlJc w:val="left"/>
      <w:pPr>
        <w:ind w:left="404" w:hanging="360"/>
      </w:pPr>
      <w:rPr>
        <w:rFonts w:hint="default"/>
      </w:rPr>
    </w:lvl>
    <w:lvl w:ilvl="1" w:tplc="0C090019" w:tentative="1">
      <w:start w:val="1"/>
      <w:numFmt w:val="lowerLetter"/>
      <w:lvlText w:val="%2."/>
      <w:lvlJc w:val="left"/>
      <w:pPr>
        <w:ind w:left="1124" w:hanging="360"/>
      </w:pPr>
    </w:lvl>
    <w:lvl w:ilvl="2" w:tplc="0C09001B" w:tentative="1">
      <w:start w:val="1"/>
      <w:numFmt w:val="lowerRoman"/>
      <w:lvlText w:val="%3."/>
      <w:lvlJc w:val="right"/>
      <w:pPr>
        <w:ind w:left="1844" w:hanging="180"/>
      </w:pPr>
    </w:lvl>
    <w:lvl w:ilvl="3" w:tplc="0C09000F" w:tentative="1">
      <w:start w:val="1"/>
      <w:numFmt w:val="decimal"/>
      <w:lvlText w:val="%4."/>
      <w:lvlJc w:val="left"/>
      <w:pPr>
        <w:ind w:left="2564" w:hanging="360"/>
      </w:pPr>
    </w:lvl>
    <w:lvl w:ilvl="4" w:tplc="0C090019" w:tentative="1">
      <w:start w:val="1"/>
      <w:numFmt w:val="lowerLetter"/>
      <w:lvlText w:val="%5."/>
      <w:lvlJc w:val="left"/>
      <w:pPr>
        <w:ind w:left="3284" w:hanging="360"/>
      </w:pPr>
    </w:lvl>
    <w:lvl w:ilvl="5" w:tplc="0C09001B" w:tentative="1">
      <w:start w:val="1"/>
      <w:numFmt w:val="lowerRoman"/>
      <w:lvlText w:val="%6."/>
      <w:lvlJc w:val="right"/>
      <w:pPr>
        <w:ind w:left="4004" w:hanging="180"/>
      </w:pPr>
    </w:lvl>
    <w:lvl w:ilvl="6" w:tplc="0C09000F" w:tentative="1">
      <w:start w:val="1"/>
      <w:numFmt w:val="decimal"/>
      <w:lvlText w:val="%7."/>
      <w:lvlJc w:val="left"/>
      <w:pPr>
        <w:ind w:left="4724" w:hanging="360"/>
      </w:pPr>
    </w:lvl>
    <w:lvl w:ilvl="7" w:tplc="0C090019" w:tentative="1">
      <w:start w:val="1"/>
      <w:numFmt w:val="lowerLetter"/>
      <w:lvlText w:val="%8."/>
      <w:lvlJc w:val="left"/>
      <w:pPr>
        <w:ind w:left="5444" w:hanging="360"/>
      </w:pPr>
    </w:lvl>
    <w:lvl w:ilvl="8" w:tplc="0C09001B" w:tentative="1">
      <w:start w:val="1"/>
      <w:numFmt w:val="lowerRoman"/>
      <w:lvlText w:val="%9."/>
      <w:lvlJc w:val="right"/>
      <w:pPr>
        <w:ind w:left="6164" w:hanging="180"/>
      </w:pPr>
    </w:lvl>
  </w:abstractNum>
  <w:abstractNum w:abstractNumId="12" w15:restartNumberingAfterBreak="0">
    <w:nsid w:val="46673062"/>
    <w:multiLevelType w:val="hybridMultilevel"/>
    <w:tmpl w:val="A818352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C4E03F9"/>
    <w:multiLevelType w:val="hybridMultilevel"/>
    <w:tmpl w:val="B5982E00"/>
    <w:lvl w:ilvl="0" w:tplc="AA04DD3C">
      <w:start w:val="1"/>
      <w:numFmt w:val="decimal"/>
      <w:lvlText w:val="1.%1"/>
      <w:lvlJc w:val="left"/>
      <w:pPr>
        <w:ind w:left="786" w:hanging="360"/>
      </w:pPr>
      <w:rPr>
        <w:rFonts w:hint="default"/>
      </w:rPr>
    </w:lvl>
    <w:lvl w:ilvl="1" w:tplc="9CBA274A">
      <w:start w:val="1"/>
      <w:numFmt w:val="decimal"/>
      <w:lvlText w:val="1.%2"/>
      <w:lvlJc w:val="left"/>
      <w:pPr>
        <w:ind w:left="644"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AE2671"/>
    <w:multiLevelType w:val="multilevel"/>
    <w:tmpl w:val="FECECED2"/>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539C56B9"/>
    <w:multiLevelType w:val="hybridMultilevel"/>
    <w:tmpl w:val="9AF29BE2"/>
    <w:lvl w:ilvl="0" w:tplc="DC10E84C">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6" w15:restartNumberingAfterBreak="0">
    <w:nsid w:val="5AE834C7"/>
    <w:multiLevelType w:val="multilevel"/>
    <w:tmpl w:val="5F5EFDF4"/>
    <w:lvl w:ilvl="0">
      <w:start w:val="2"/>
      <w:numFmt w:val="none"/>
      <w:lvlText w:val=""/>
      <w:lvlJc w:val="left"/>
      <w:pPr>
        <w:tabs>
          <w:tab w:val="num" w:pos="450"/>
        </w:tabs>
        <w:ind w:left="450" w:hanging="450"/>
      </w:pPr>
      <w:rPr>
        <w:rFonts w:hint="default"/>
      </w:rPr>
    </w:lvl>
    <w:lvl w:ilvl="1">
      <w:start w:val="1"/>
      <w:numFmt w:val="decimal"/>
      <w:pStyle w:val="31UtilComNumber"/>
      <w:lvlText w:val="3.%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7" w15:restartNumberingAfterBreak="0">
    <w:nsid w:val="63726976"/>
    <w:multiLevelType w:val="hybridMultilevel"/>
    <w:tmpl w:val="85383C82"/>
    <w:lvl w:ilvl="0" w:tplc="C85CF40C">
      <w:start w:val="1"/>
      <w:numFmt w:val="bullet"/>
      <w:pStyle w:val="Guideline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E75BBC"/>
    <w:multiLevelType w:val="hybridMultilevel"/>
    <w:tmpl w:val="2B7ED7EA"/>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64136"/>
    <w:multiLevelType w:val="hybridMultilevel"/>
    <w:tmpl w:val="F354995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280EBF"/>
    <w:multiLevelType w:val="hybridMultilevel"/>
    <w:tmpl w:val="F43EA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893F36"/>
    <w:multiLevelType w:val="multilevel"/>
    <w:tmpl w:val="1FB019F0"/>
    <w:lvl w:ilvl="0">
      <w:start w:val="4"/>
      <w:numFmt w:val="decimal"/>
      <w:lvlText w:val="%1.1"/>
      <w:lvlJc w:val="left"/>
      <w:pPr>
        <w:tabs>
          <w:tab w:val="num" w:pos="450"/>
        </w:tabs>
        <w:ind w:left="450" w:hanging="450"/>
      </w:pPr>
      <w:rPr>
        <w:rFonts w:hint="default"/>
      </w:rPr>
    </w:lvl>
    <w:lvl w:ilvl="1">
      <w:start w:val="1"/>
      <w:numFmt w:val="decimal"/>
      <w:pStyle w:val="UtilComNumberedText"/>
      <w:lvlText w:val="%24.1"/>
      <w:lvlJc w:val="left"/>
      <w:pPr>
        <w:tabs>
          <w:tab w:val="num" w:pos="522"/>
        </w:tabs>
        <w:ind w:left="522" w:hanging="45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3" w15:restartNumberingAfterBreak="0">
    <w:nsid w:val="74D9706A"/>
    <w:multiLevelType w:val="hybridMultilevel"/>
    <w:tmpl w:val="F43EA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7B7CD7"/>
    <w:multiLevelType w:val="hybridMultilevel"/>
    <w:tmpl w:val="33CA31DA"/>
    <w:lvl w:ilvl="0" w:tplc="3E5A74C6">
      <w:start w:val="1"/>
      <w:numFmt w:val="lowerLetter"/>
      <w:pStyle w:val="UtilComLetterNumbering"/>
      <w:lvlText w:val="%1)"/>
      <w:lvlJc w:val="left"/>
      <w:pPr>
        <w:tabs>
          <w:tab w:val="num" w:pos="964"/>
        </w:tabs>
        <w:ind w:left="964" w:hanging="397"/>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5" w15:restartNumberingAfterBreak="0">
    <w:nsid w:val="78995741"/>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4E39EF"/>
    <w:multiLevelType w:val="hybridMultilevel"/>
    <w:tmpl w:val="D54C41F6"/>
    <w:lvl w:ilvl="0" w:tplc="C85CF40C">
      <w:start w:val="1"/>
      <w:numFmt w:val="bullet"/>
      <w:lvlText w:val=""/>
      <w:lvlJc w:val="left"/>
      <w:pPr>
        <w:ind w:left="720" w:hanging="360"/>
      </w:pPr>
      <w:rPr>
        <w:rFonts w:ascii="Symbol" w:hAnsi="Symbol" w:hint="default"/>
      </w:rPr>
    </w:lvl>
    <w:lvl w:ilvl="1" w:tplc="01DCB77C">
      <w:start w:val="1"/>
      <w:numFmt w:val="bullet"/>
      <w:pStyle w:val="GuidelineTabledas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197BC1"/>
    <w:multiLevelType w:val="hybridMultilevel"/>
    <w:tmpl w:val="E5D84832"/>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9"/>
  </w:num>
  <w:num w:numId="3">
    <w:abstractNumId w:val="9"/>
  </w:num>
  <w:num w:numId="4">
    <w:abstractNumId w:val="5"/>
  </w:num>
  <w:num w:numId="5">
    <w:abstractNumId w:val="16"/>
  </w:num>
  <w:num w:numId="6">
    <w:abstractNumId w:val="22"/>
  </w:num>
  <w:num w:numId="7">
    <w:abstractNumId w:val="24"/>
  </w:num>
  <w:num w:numId="8">
    <w:abstractNumId w:val="17"/>
  </w:num>
  <w:num w:numId="9">
    <w:abstractNumId w:val="26"/>
  </w:num>
  <w:num w:numId="10">
    <w:abstractNumId w:val="13"/>
  </w:num>
  <w:num w:numId="11">
    <w:abstractNumId w:val="3"/>
  </w:num>
  <w:num w:numId="12">
    <w:abstractNumId w:val="11"/>
  </w:num>
  <w:num w:numId="13">
    <w:abstractNumId w:val="2"/>
  </w:num>
  <w:num w:numId="14">
    <w:abstractNumId w:val="15"/>
  </w:num>
  <w:num w:numId="15">
    <w:abstractNumId w:val="1"/>
  </w:num>
  <w:num w:numId="16">
    <w:abstractNumId w:val="14"/>
  </w:num>
  <w:num w:numId="17">
    <w:abstractNumId w:val="6"/>
  </w:num>
  <w:num w:numId="18">
    <w:abstractNumId w:val="20"/>
  </w:num>
  <w:num w:numId="19">
    <w:abstractNumId w:val="25"/>
  </w:num>
  <w:num w:numId="20">
    <w:abstractNumId w:val="18"/>
  </w:num>
  <w:num w:numId="21">
    <w:abstractNumId w:val="27"/>
  </w:num>
  <w:num w:numId="22">
    <w:abstractNumId w:val="7"/>
  </w:num>
  <w:num w:numId="23">
    <w:abstractNumId w:val="4"/>
  </w:num>
  <w:num w:numId="24">
    <w:abstractNumId w:val="10"/>
  </w:num>
  <w:num w:numId="25">
    <w:abstractNumId w:val="12"/>
  </w:num>
  <w:num w:numId="26">
    <w:abstractNumId w:val="8"/>
  </w:num>
  <w:num w:numId="27">
    <w:abstractNumId w:val="21"/>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hhMtEGb5mBOj5ocePj5663yYXSiogcyDGmrYGblQntAHw+FtOozHra9lqzXFI17ZPdxICtXCk3nZDpHQMytwgQ==" w:salt="fl37quSuxS8PszQ4CIHVLw=="/>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97"/>
    <w:rsid w:val="00002435"/>
    <w:rsid w:val="00003079"/>
    <w:rsid w:val="00004B5B"/>
    <w:rsid w:val="00013446"/>
    <w:rsid w:val="00014342"/>
    <w:rsid w:val="000153DA"/>
    <w:rsid w:val="000175F9"/>
    <w:rsid w:val="00017D18"/>
    <w:rsid w:val="00020BFA"/>
    <w:rsid w:val="00021039"/>
    <w:rsid w:val="000301BC"/>
    <w:rsid w:val="00030443"/>
    <w:rsid w:val="00032E00"/>
    <w:rsid w:val="0003436F"/>
    <w:rsid w:val="00035941"/>
    <w:rsid w:val="00037306"/>
    <w:rsid w:val="00043069"/>
    <w:rsid w:val="00047BC3"/>
    <w:rsid w:val="0005025F"/>
    <w:rsid w:val="000504E0"/>
    <w:rsid w:val="0005270C"/>
    <w:rsid w:val="00052773"/>
    <w:rsid w:val="00053955"/>
    <w:rsid w:val="00057D21"/>
    <w:rsid w:val="000611EE"/>
    <w:rsid w:val="00065763"/>
    <w:rsid w:val="0006594C"/>
    <w:rsid w:val="000676FB"/>
    <w:rsid w:val="0007018F"/>
    <w:rsid w:val="00071AB1"/>
    <w:rsid w:val="000730C2"/>
    <w:rsid w:val="00073D5B"/>
    <w:rsid w:val="00075DD8"/>
    <w:rsid w:val="00076268"/>
    <w:rsid w:val="00077F33"/>
    <w:rsid w:val="0008641C"/>
    <w:rsid w:val="00091B25"/>
    <w:rsid w:val="00096548"/>
    <w:rsid w:val="000A0BE7"/>
    <w:rsid w:val="000A209A"/>
    <w:rsid w:val="000A272A"/>
    <w:rsid w:val="000A3818"/>
    <w:rsid w:val="000A5A4E"/>
    <w:rsid w:val="000A5CA7"/>
    <w:rsid w:val="000A7125"/>
    <w:rsid w:val="000A73D6"/>
    <w:rsid w:val="000A7671"/>
    <w:rsid w:val="000A7C23"/>
    <w:rsid w:val="000B027C"/>
    <w:rsid w:val="000B04D8"/>
    <w:rsid w:val="000B0A14"/>
    <w:rsid w:val="000B21F0"/>
    <w:rsid w:val="000B2FF9"/>
    <w:rsid w:val="000B3305"/>
    <w:rsid w:val="000B59DE"/>
    <w:rsid w:val="000C089E"/>
    <w:rsid w:val="000C3FD8"/>
    <w:rsid w:val="000D1349"/>
    <w:rsid w:val="000D2502"/>
    <w:rsid w:val="000D2973"/>
    <w:rsid w:val="000D566F"/>
    <w:rsid w:val="000E3299"/>
    <w:rsid w:val="000E345C"/>
    <w:rsid w:val="000E4E81"/>
    <w:rsid w:val="000E6026"/>
    <w:rsid w:val="000E7DF5"/>
    <w:rsid w:val="000F1467"/>
    <w:rsid w:val="000F2860"/>
    <w:rsid w:val="000F3AA4"/>
    <w:rsid w:val="000F7A5D"/>
    <w:rsid w:val="00101B26"/>
    <w:rsid w:val="0010538D"/>
    <w:rsid w:val="00110347"/>
    <w:rsid w:val="00110CD4"/>
    <w:rsid w:val="0011295E"/>
    <w:rsid w:val="00120343"/>
    <w:rsid w:val="00122679"/>
    <w:rsid w:val="00127A28"/>
    <w:rsid w:val="00127B06"/>
    <w:rsid w:val="001309E9"/>
    <w:rsid w:val="00132BBD"/>
    <w:rsid w:val="00136A29"/>
    <w:rsid w:val="00136D8F"/>
    <w:rsid w:val="0014027E"/>
    <w:rsid w:val="00140D13"/>
    <w:rsid w:val="0014299B"/>
    <w:rsid w:val="00143B9C"/>
    <w:rsid w:val="0014495F"/>
    <w:rsid w:val="00144E16"/>
    <w:rsid w:val="00147A40"/>
    <w:rsid w:val="001506EB"/>
    <w:rsid w:val="001515B2"/>
    <w:rsid w:val="00151EA6"/>
    <w:rsid w:val="00152E92"/>
    <w:rsid w:val="00156763"/>
    <w:rsid w:val="0015679A"/>
    <w:rsid w:val="00157DE9"/>
    <w:rsid w:val="00163AED"/>
    <w:rsid w:val="00171AF8"/>
    <w:rsid w:val="0018105A"/>
    <w:rsid w:val="00184F56"/>
    <w:rsid w:val="001917BC"/>
    <w:rsid w:val="00191BC8"/>
    <w:rsid w:val="001A344F"/>
    <w:rsid w:val="001A7ABB"/>
    <w:rsid w:val="001B0524"/>
    <w:rsid w:val="001B0FBB"/>
    <w:rsid w:val="001B28A7"/>
    <w:rsid w:val="001B4DD3"/>
    <w:rsid w:val="001B69F5"/>
    <w:rsid w:val="001B6B35"/>
    <w:rsid w:val="001C58BC"/>
    <w:rsid w:val="001C5B67"/>
    <w:rsid w:val="001C692B"/>
    <w:rsid w:val="001C7A1F"/>
    <w:rsid w:val="001D1CF4"/>
    <w:rsid w:val="001D21E9"/>
    <w:rsid w:val="001D53E7"/>
    <w:rsid w:val="001F5DEB"/>
    <w:rsid w:val="00202F90"/>
    <w:rsid w:val="002040DE"/>
    <w:rsid w:val="002072CD"/>
    <w:rsid w:val="00212E11"/>
    <w:rsid w:val="0021306B"/>
    <w:rsid w:val="002159D8"/>
    <w:rsid w:val="0021602D"/>
    <w:rsid w:val="00220881"/>
    <w:rsid w:val="0022281D"/>
    <w:rsid w:val="00222A8F"/>
    <w:rsid w:val="00222AC1"/>
    <w:rsid w:val="00222F71"/>
    <w:rsid w:val="002240A9"/>
    <w:rsid w:val="00230BDF"/>
    <w:rsid w:val="00231E5A"/>
    <w:rsid w:val="00233BD8"/>
    <w:rsid w:val="00234128"/>
    <w:rsid w:val="002358BB"/>
    <w:rsid w:val="00241EA4"/>
    <w:rsid w:val="00246A2C"/>
    <w:rsid w:val="00247BA8"/>
    <w:rsid w:val="00262D52"/>
    <w:rsid w:val="00265E01"/>
    <w:rsid w:val="002709E4"/>
    <w:rsid w:val="002716CF"/>
    <w:rsid w:val="00273D78"/>
    <w:rsid w:val="0027453A"/>
    <w:rsid w:val="0028092B"/>
    <w:rsid w:val="002816D3"/>
    <w:rsid w:val="00282E34"/>
    <w:rsid w:val="00284F4E"/>
    <w:rsid w:val="002871F3"/>
    <w:rsid w:val="00291D6F"/>
    <w:rsid w:val="00295105"/>
    <w:rsid w:val="00295D96"/>
    <w:rsid w:val="00297C91"/>
    <w:rsid w:val="00297D14"/>
    <w:rsid w:val="002A12B8"/>
    <w:rsid w:val="002A1473"/>
    <w:rsid w:val="002A2E20"/>
    <w:rsid w:val="002A3481"/>
    <w:rsid w:val="002A3B4A"/>
    <w:rsid w:val="002A3CD0"/>
    <w:rsid w:val="002A539F"/>
    <w:rsid w:val="002A5ABC"/>
    <w:rsid w:val="002A5D4C"/>
    <w:rsid w:val="002A6AA1"/>
    <w:rsid w:val="002A6D4E"/>
    <w:rsid w:val="002B163E"/>
    <w:rsid w:val="002B1DDB"/>
    <w:rsid w:val="002B25C1"/>
    <w:rsid w:val="002B3DFE"/>
    <w:rsid w:val="002B4043"/>
    <w:rsid w:val="002B5D42"/>
    <w:rsid w:val="002B6F0A"/>
    <w:rsid w:val="002B7219"/>
    <w:rsid w:val="002B752E"/>
    <w:rsid w:val="002C0C1A"/>
    <w:rsid w:val="002C21F6"/>
    <w:rsid w:val="002C3177"/>
    <w:rsid w:val="002C39A3"/>
    <w:rsid w:val="002C5A75"/>
    <w:rsid w:val="002D1FF3"/>
    <w:rsid w:val="002D2C68"/>
    <w:rsid w:val="002D2F24"/>
    <w:rsid w:val="002D3A83"/>
    <w:rsid w:val="002D5729"/>
    <w:rsid w:val="002E3F0C"/>
    <w:rsid w:val="002E5929"/>
    <w:rsid w:val="002F053A"/>
    <w:rsid w:val="002F4C96"/>
    <w:rsid w:val="002F5B02"/>
    <w:rsid w:val="002F68A3"/>
    <w:rsid w:val="003000B7"/>
    <w:rsid w:val="00302225"/>
    <w:rsid w:val="00302A92"/>
    <w:rsid w:val="00302D53"/>
    <w:rsid w:val="00302FDB"/>
    <w:rsid w:val="00303F16"/>
    <w:rsid w:val="00304A8B"/>
    <w:rsid w:val="00305D49"/>
    <w:rsid w:val="00306A2C"/>
    <w:rsid w:val="003111F9"/>
    <w:rsid w:val="0031184F"/>
    <w:rsid w:val="00311971"/>
    <w:rsid w:val="003123E4"/>
    <w:rsid w:val="00313A5B"/>
    <w:rsid w:val="0031468C"/>
    <w:rsid w:val="003146B9"/>
    <w:rsid w:val="00314DE6"/>
    <w:rsid w:val="00330A17"/>
    <w:rsid w:val="00332E84"/>
    <w:rsid w:val="00335DA0"/>
    <w:rsid w:val="00340392"/>
    <w:rsid w:val="003441DB"/>
    <w:rsid w:val="00346F6E"/>
    <w:rsid w:val="00356212"/>
    <w:rsid w:val="00356FC4"/>
    <w:rsid w:val="00357221"/>
    <w:rsid w:val="0036201E"/>
    <w:rsid w:val="0036395A"/>
    <w:rsid w:val="00373D11"/>
    <w:rsid w:val="00376E8B"/>
    <w:rsid w:val="0038126F"/>
    <w:rsid w:val="00383EBA"/>
    <w:rsid w:val="00387E69"/>
    <w:rsid w:val="00387EFD"/>
    <w:rsid w:val="00391644"/>
    <w:rsid w:val="003917D9"/>
    <w:rsid w:val="00391E2E"/>
    <w:rsid w:val="003A10C1"/>
    <w:rsid w:val="003A21D7"/>
    <w:rsid w:val="003A2897"/>
    <w:rsid w:val="003A32E7"/>
    <w:rsid w:val="003A4A57"/>
    <w:rsid w:val="003A54E7"/>
    <w:rsid w:val="003B1E29"/>
    <w:rsid w:val="003B24A3"/>
    <w:rsid w:val="003B57C0"/>
    <w:rsid w:val="003B6A4F"/>
    <w:rsid w:val="003B7BBD"/>
    <w:rsid w:val="003C0D3E"/>
    <w:rsid w:val="003C101A"/>
    <w:rsid w:val="003C1E81"/>
    <w:rsid w:val="003C28EF"/>
    <w:rsid w:val="003C3635"/>
    <w:rsid w:val="003C4FA7"/>
    <w:rsid w:val="003D1825"/>
    <w:rsid w:val="003D4F74"/>
    <w:rsid w:val="003D5ECF"/>
    <w:rsid w:val="003D61B7"/>
    <w:rsid w:val="003D7D27"/>
    <w:rsid w:val="003E3A6B"/>
    <w:rsid w:val="003E4453"/>
    <w:rsid w:val="003E5A8B"/>
    <w:rsid w:val="003E5A93"/>
    <w:rsid w:val="003E6088"/>
    <w:rsid w:val="003E62AE"/>
    <w:rsid w:val="003F1660"/>
    <w:rsid w:val="003F3FCA"/>
    <w:rsid w:val="003F66D9"/>
    <w:rsid w:val="003F6759"/>
    <w:rsid w:val="003F67A7"/>
    <w:rsid w:val="003F6D25"/>
    <w:rsid w:val="003F6FB3"/>
    <w:rsid w:val="003F733B"/>
    <w:rsid w:val="00400F9D"/>
    <w:rsid w:val="0040101D"/>
    <w:rsid w:val="00401C4A"/>
    <w:rsid w:val="00406D26"/>
    <w:rsid w:val="00407EFD"/>
    <w:rsid w:val="00411762"/>
    <w:rsid w:val="004119D9"/>
    <w:rsid w:val="004147D8"/>
    <w:rsid w:val="00415FF3"/>
    <w:rsid w:val="00420706"/>
    <w:rsid w:val="00420805"/>
    <w:rsid w:val="00421BC0"/>
    <w:rsid w:val="004247A5"/>
    <w:rsid w:val="00424CBB"/>
    <w:rsid w:val="004300D4"/>
    <w:rsid w:val="0043277F"/>
    <w:rsid w:val="00434D05"/>
    <w:rsid w:val="0043584F"/>
    <w:rsid w:val="00440DCF"/>
    <w:rsid w:val="00440F41"/>
    <w:rsid w:val="00444834"/>
    <w:rsid w:val="00446E4E"/>
    <w:rsid w:val="0045182F"/>
    <w:rsid w:val="00453C45"/>
    <w:rsid w:val="00457475"/>
    <w:rsid w:val="00457A43"/>
    <w:rsid w:val="00463C23"/>
    <w:rsid w:val="004704CA"/>
    <w:rsid w:val="004725E3"/>
    <w:rsid w:val="00472A60"/>
    <w:rsid w:val="004756BF"/>
    <w:rsid w:val="00476931"/>
    <w:rsid w:val="0047741B"/>
    <w:rsid w:val="0048351E"/>
    <w:rsid w:val="00483921"/>
    <w:rsid w:val="00484493"/>
    <w:rsid w:val="0048538B"/>
    <w:rsid w:val="00486252"/>
    <w:rsid w:val="00490E4B"/>
    <w:rsid w:val="00493EF3"/>
    <w:rsid w:val="00494C75"/>
    <w:rsid w:val="004A04A1"/>
    <w:rsid w:val="004A1262"/>
    <w:rsid w:val="004A1E19"/>
    <w:rsid w:val="004A2FC7"/>
    <w:rsid w:val="004A3B20"/>
    <w:rsid w:val="004A4B56"/>
    <w:rsid w:val="004A56F0"/>
    <w:rsid w:val="004A58D4"/>
    <w:rsid w:val="004B0905"/>
    <w:rsid w:val="004B4498"/>
    <w:rsid w:val="004B5562"/>
    <w:rsid w:val="004C0751"/>
    <w:rsid w:val="004C0CB0"/>
    <w:rsid w:val="004C12DA"/>
    <w:rsid w:val="004C1B5D"/>
    <w:rsid w:val="004C1FD0"/>
    <w:rsid w:val="004C5881"/>
    <w:rsid w:val="004C7665"/>
    <w:rsid w:val="004D478C"/>
    <w:rsid w:val="004D52BF"/>
    <w:rsid w:val="004D5C0D"/>
    <w:rsid w:val="004E2047"/>
    <w:rsid w:val="004E350C"/>
    <w:rsid w:val="004E3E84"/>
    <w:rsid w:val="004E5803"/>
    <w:rsid w:val="004E597F"/>
    <w:rsid w:val="004E7574"/>
    <w:rsid w:val="004E7B26"/>
    <w:rsid w:val="004F0B3E"/>
    <w:rsid w:val="004F1F09"/>
    <w:rsid w:val="004F769A"/>
    <w:rsid w:val="00500806"/>
    <w:rsid w:val="00500975"/>
    <w:rsid w:val="00500DE5"/>
    <w:rsid w:val="005019B2"/>
    <w:rsid w:val="00503575"/>
    <w:rsid w:val="005053A9"/>
    <w:rsid w:val="005077EC"/>
    <w:rsid w:val="00510056"/>
    <w:rsid w:val="00510BE1"/>
    <w:rsid w:val="005112A6"/>
    <w:rsid w:val="00511E1D"/>
    <w:rsid w:val="0051247F"/>
    <w:rsid w:val="00514918"/>
    <w:rsid w:val="00514E0A"/>
    <w:rsid w:val="00517BD7"/>
    <w:rsid w:val="00517C2B"/>
    <w:rsid w:val="00517D47"/>
    <w:rsid w:val="00520DD3"/>
    <w:rsid w:val="00524BA5"/>
    <w:rsid w:val="00532057"/>
    <w:rsid w:val="0054367D"/>
    <w:rsid w:val="0054414B"/>
    <w:rsid w:val="00546FB0"/>
    <w:rsid w:val="00551877"/>
    <w:rsid w:val="00552772"/>
    <w:rsid w:val="005544FD"/>
    <w:rsid w:val="005555CC"/>
    <w:rsid w:val="0056465E"/>
    <w:rsid w:val="00564813"/>
    <w:rsid w:val="00565677"/>
    <w:rsid w:val="0056625C"/>
    <w:rsid w:val="00570D08"/>
    <w:rsid w:val="00572210"/>
    <w:rsid w:val="00576AFE"/>
    <w:rsid w:val="00577A39"/>
    <w:rsid w:val="00581062"/>
    <w:rsid w:val="00581277"/>
    <w:rsid w:val="00583D4F"/>
    <w:rsid w:val="005859C9"/>
    <w:rsid w:val="00593489"/>
    <w:rsid w:val="005958CF"/>
    <w:rsid w:val="005A29BC"/>
    <w:rsid w:val="005A5B54"/>
    <w:rsid w:val="005A6892"/>
    <w:rsid w:val="005B0921"/>
    <w:rsid w:val="005B0ADF"/>
    <w:rsid w:val="005B0C30"/>
    <w:rsid w:val="005B1EA4"/>
    <w:rsid w:val="005B699D"/>
    <w:rsid w:val="005B7516"/>
    <w:rsid w:val="005C11FC"/>
    <w:rsid w:val="005C2D21"/>
    <w:rsid w:val="005C48A6"/>
    <w:rsid w:val="005C683A"/>
    <w:rsid w:val="005C7A16"/>
    <w:rsid w:val="005C7E50"/>
    <w:rsid w:val="005D23C7"/>
    <w:rsid w:val="005D316B"/>
    <w:rsid w:val="005D5CE2"/>
    <w:rsid w:val="005E694C"/>
    <w:rsid w:val="005E7F6E"/>
    <w:rsid w:val="005F106F"/>
    <w:rsid w:val="005F540B"/>
    <w:rsid w:val="005F7D32"/>
    <w:rsid w:val="00602451"/>
    <w:rsid w:val="00612369"/>
    <w:rsid w:val="00615454"/>
    <w:rsid w:val="00617C81"/>
    <w:rsid w:val="00621789"/>
    <w:rsid w:val="00623475"/>
    <w:rsid w:val="006272DA"/>
    <w:rsid w:val="00627A0C"/>
    <w:rsid w:val="006324DB"/>
    <w:rsid w:val="00637DC8"/>
    <w:rsid w:val="006404BF"/>
    <w:rsid w:val="00640608"/>
    <w:rsid w:val="00644666"/>
    <w:rsid w:val="00650EFB"/>
    <w:rsid w:val="00651C8B"/>
    <w:rsid w:val="00652CAC"/>
    <w:rsid w:val="0065464D"/>
    <w:rsid w:val="00655D76"/>
    <w:rsid w:val="00662F77"/>
    <w:rsid w:val="00670FE5"/>
    <w:rsid w:val="00671412"/>
    <w:rsid w:val="0068001F"/>
    <w:rsid w:val="00681DFD"/>
    <w:rsid w:val="006828D8"/>
    <w:rsid w:val="006844A7"/>
    <w:rsid w:val="00684ABC"/>
    <w:rsid w:val="006876B1"/>
    <w:rsid w:val="006953F0"/>
    <w:rsid w:val="0069568E"/>
    <w:rsid w:val="006A17AB"/>
    <w:rsid w:val="006A5F9F"/>
    <w:rsid w:val="006A676E"/>
    <w:rsid w:val="006A72AB"/>
    <w:rsid w:val="006B23C6"/>
    <w:rsid w:val="006B48A8"/>
    <w:rsid w:val="006C19EE"/>
    <w:rsid w:val="006C2D21"/>
    <w:rsid w:val="006C3D52"/>
    <w:rsid w:val="006D31B6"/>
    <w:rsid w:val="006D54F1"/>
    <w:rsid w:val="006E0DBB"/>
    <w:rsid w:val="006E2058"/>
    <w:rsid w:val="006E3A87"/>
    <w:rsid w:val="006E5C28"/>
    <w:rsid w:val="006E7285"/>
    <w:rsid w:val="006F3BC4"/>
    <w:rsid w:val="006F5B2F"/>
    <w:rsid w:val="00705CCC"/>
    <w:rsid w:val="00706701"/>
    <w:rsid w:val="007120EC"/>
    <w:rsid w:val="00715039"/>
    <w:rsid w:val="00720551"/>
    <w:rsid w:val="00721E44"/>
    <w:rsid w:val="00734C1B"/>
    <w:rsid w:val="00735EAC"/>
    <w:rsid w:val="00737C46"/>
    <w:rsid w:val="0074125F"/>
    <w:rsid w:val="00741703"/>
    <w:rsid w:val="00744CDA"/>
    <w:rsid w:val="00745582"/>
    <w:rsid w:val="007463F8"/>
    <w:rsid w:val="00746887"/>
    <w:rsid w:val="007508A5"/>
    <w:rsid w:val="00751F20"/>
    <w:rsid w:val="00752A15"/>
    <w:rsid w:val="00753D39"/>
    <w:rsid w:val="00755C79"/>
    <w:rsid w:val="00755D87"/>
    <w:rsid w:val="00760D6C"/>
    <w:rsid w:val="007616AF"/>
    <w:rsid w:val="007618B8"/>
    <w:rsid w:val="0077065C"/>
    <w:rsid w:val="00772705"/>
    <w:rsid w:val="007755F2"/>
    <w:rsid w:val="007770DC"/>
    <w:rsid w:val="00781255"/>
    <w:rsid w:val="00781B15"/>
    <w:rsid w:val="00783AFB"/>
    <w:rsid w:val="00786F08"/>
    <w:rsid w:val="00790116"/>
    <w:rsid w:val="007964CF"/>
    <w:rsid w:val="007A002E"/>
    <w:rsid w:val="007A2200"/>
    <w:rsid w:val="007A2770"/>
    <w:rsid w:val="007A2B31"/>
    <w:rsid w:val="007A4FBA"/>
    <w:rsid w:val="007A7473"/>
    <w:rsid w:val="007B098B"/>
    <w:rsid w:val="007B1297"/>
    <w:rsid w:val="007B1E76"/>
    <w:rsid w:val="007B23FF"/>
    <w:rsid w:val="007B2CC5"/>
    <w:rsid w:val="007B2CEE"/>
    <w:rsid w:val="007B4B80"/>
    <w:rsid w:val="007B4D83"/>
    <w:rsid w:val="007B5749"/>
    <w:rsid w:val="007B576A"/>
    <w:rsid w:val="007C39ED"/>
    <w:rsid w:val="007C656E"/>
    <w:rsid w:val="007D799E"/>
    <w:rsid w:val="007E0B2A"/>
    <w:rsid w:val="007E3578"/>
    <w:rsid w:val="007E4E95"/>
    <w:rsid w:val="007E6018"/>
    <w:rsid w:val="007E764E"/>
    <w:rsid w:val="007F2F5E"/>
    <w:rsid w:val="007F4738"/>
    <w:rsid w:val="00800036"/>
    <w:rsid w:val="00810B98"/>
    <w:rsid w:val="0081215E"/>
    <w:rsid w:val="00813759"/>
    <w:rsid w:val="00814878"/>
    <w:rsid w:val="008156AF"/>
    <w:rsid w:val="00820643"/>
    <w:rsid w:val="00821095"/>
    <w:rsid w:val="00821532"/>
    <w:rsid w:val="00822764"/>
    <w:rsid w:val="00822AF5"/>
    <w:rsid w:val="008236DC"/>
    <w:rsid w:val="00830D00"/>
    <w:rsid w:val="008344E0"/>
    <w:rsid w:val="00836009"/>
    <w:rsid w:val="00840D26"/>
    <w:rsid w:val="008466CD"/>
    <w:rsid w:val="00852081"/>
    <w:rsid w:val="00857751"/>
    <w:rsid w:val="0086346A"/>
    <w:rsid w:val="00863D3D"/>
    <w:rsid w:val="00865446"/>
    <w:rsid w:val="008677AD"/>
    <w:rsid w:val="0087248C"/>
    <w:rsid w:val="00872669"/>
    <w:rsid w:val="00872B23"/>
    <w:rsid w:val="00881503"/>
    <w:rsid w:val="0088155A"/>
    <w:rsid w:val="008847F6"/>
    <w:rsid w:val="00890180"/>
    <w:rsid w:val="00892BED"/>
    <w:rsid w:val="008931EA"/>
    <w:rsid w:val="008932C5"/>
    <w:rsid w:val="0089457F"/>
    <w:rsid w:val="00895E8F"/>
    <w:rsid w:val="00895F8E"/>
    <w:rsid w:val="008A06E3"/>
    <w:rsid w:val="008A5F7F"/>
    <w:rsid w:val="008A6919"/>
    <w:rsid w:val="008A76CA"/>
    <w:rsid w:val="008B2DBD"/>
    <w:rsid w:val="008B3499"/>
    <w:rsid w:val="008B789B"/>
    <w:rsid w:val="008C11DD"/>
    <w:rsid w:val="008C79B9"/>
    <w:rsid w:val="008D2232"/>
    <w:rsid w:val="008D2B3E"/>
    <w:rsid w:val="008D535F"/>
    <w:rsid w:val="008D5ABC"/>
    <w:rsid w:val="008E0406"/>
    <w:rsid w:val="008F17E6"/>
    <w:rsid w:val="0090579C"/>
    <w:rsid w:val="00906366"/>
    <w:rsid w:val="00910E54"/>
    <w:rsid w:val="00910E6C"/>
    <w:rsid w:val="009112A5"/>
    <w:rsid w:val="00912DE0"/>
    <w:rsid w:val="00914ADA"/>
    <w:rsid w:val="0092098B"/>
    <w:rsid w:val="00921303"/>
    <w:rsid w:val="00922449"/>
    <w:rsid w:val="009245AA"/>
    <w:rsid w:val="00930A41"/>
    <w:rsid w:val="0093137B"/>
    <w:rsid w:val="00932693"/>
    <w:rsid w:val="009346B7"/>
    <w:rsid w:val="0093522F"/>
    <w:rsid w:val="00935D6E"/>
    <w:rsid w:val="00937D06"/>
    <w:rsid w:val="00937F10"/>
    <w:rsid w:val="00942703"/>
    <w:rsid w:val="0095219B"/>
    <w:rsid w:val="0095284D"/>
    <w:rsid w:val="00956351"/>
    <w:rsid w:val="009645A1"/>
    <w:rsid w:val="009709CC"/>
    <w:rsid w:val="009716F1"/>
    <w:rsid w:val="00971960"/>
    <w:rsid w:val="00971A83"/>
    <w:rsid w:val="0097319D"/>
    <w:rsid w:val="009767E0"/>
    <w:rsid w:val="00981791"/>
    <w:rsid w:val="00984DBC"/>
    <w:rsid w:val="0099016A"/>
    <w:rsid w:val="00991851"/>
    <w:rsid w:val="00992376"/>
    <w:rsid w:val="009A1159"/>
    <w:rsid w:val="009A2F74"/>
    <w:rsid w:val="009A4B84"/>
    <w:rsid w:val="009B1195"/>
    <w:rsid w:val="009B4C29"/>
    <w:rsid w:val="009B548B"/>
    <w:rsid w:val="009B7C5F"/>
    <w:rsid w:val="009C2250"/>
    <w:rsid w:val="009C4138"/>
    <w:rsid w:val="009C60C7"/>
    <w:rsid w:val="009C7163"/>
    <w:rsid w:val="009D2F81"/>
    <w:rsid w:val="009D5B38"/>
    <w:rsid w:val="009D7F47"/>
    <w:rsid w:val="009E5515"/>
    <w:rsid w:val="009F29A1"/>
    <w:rsid w:val="009F2B06"/>
    <w:rsid w:val="009F3E94"/>
    <w:rsid w:val="009F40A9"/>
    <w:rsid w:val="009F55BF"/>
    <w:rsid w:val="00A02429"/>
    <w:rsid w:val="00A03EE9"/>
    <w:rsid w:val="00A041E2"/>
    <w:rsid w:val="00A05D7B"/>
    <w:rsid w:val="00A063FA"/>
    <w:rsid w:val="00A066DC"/>
    <w:rsid w:val="00A210E7"/>
    <w:rsid w:val="00A21984"/>
    <w:rsid w:val="00A23442"/>
    <w:rsid w:val="00A23B8A"/>
    <w:rsid w:val="00A25010"/>
    <w:rsid w:val="00A3037F"/>
    <w:rsid w:val="00A31125"/>
    <w:rsid w:val="00A351E4"/>
    <w:rsid w:val="00A4370D"/>
    <w:rsid w:val="00A43EB7"/>
    <w:rsid w:val="00A512AB"/>
    <w:rsid w:val="00A51A80"/>
    <w:rsid w:val="00A5218C"/>
    <w:rsid w:val="00A52B16"/>
    <w:rsid w:val="00A554E9"/>
    <w:rsid w:val="00A56266"/>
    <w:rsid w:val="00A573A3"/>
    <w:rsid w:val="00A6573F"/>
    <w:rsid w:val="00A66195"/>
    <w:rsid w:val="00A702AF"/>
    <w:rsid w:val="00A717DA"/>
    <w:rsid w:val="00A724B7"/>
    <w:rsid w:val="00A7287B"/>
    <w:rsid w:val="00A73FA3"/>
    <w:rsid w:val="00A745CA"/>
    <w:rsid w:val="00A75244"/>
    <w:rsid w:val="00A755D2"/>
    <w:rsid w:val="00A75637"/>
    <w:rsid w:val="00A75D86"/>
    <w:rsid w:val="00A76BD8"/>
    <w:rsid w:val="00A778F6"/>
    <w:rsid w:val="00A8381B"/>
    <w:rsid w:val="00A86E1F"/>
    <w:rsid w:val="00A86F8B"/>
    <w:rsid w:val="00A9020E"/>
    <w:rsid w:val="00A90F43"/>
    <w:rsid w:val="00A92B16"/>
    <w:rsid w:val="00A9387A"/>
    <w:rsid w:val="00AA38EA"/>
    <w:rsid w:val="00AA66CB"/>
    <w:rsid w:val="00AB57E6"/>
    <w:rsid w:val="00AB610D"/>
    <w:rsid w:val="00AB7BA5"/>
    <w:rsid w:val="00AC052A"/>
    <w:rsid w:val="00AC0619"/>
    <w:rsid w:val="00AC2AF3"/>
    <w:rsid w:val="00AC64E0"/>
    <w:rsid w:val="00AC6FF3"/>
    <w:rsid w:val="00AD0EF9"/>
    <w:rsid w:val="00AD116D"/>
    <w:rsid w:val="00AD4996"/>
    <w:rsid w:val="00AD5D62"/>
    <w:rsid w:val="00AE1A4B"/>
    <w:rsid w:val="00AE3341"/>
    <w:rsid w:val="00AE3F72"/>
    <w:rsid w:val="00AE4A3A"/>
    <w:rsid w:val="00AE6DA7"/>
    <w:rsid w:val="00AE7804"/>
    <w:rsid w:val="00AF1961"/>
    <w:rsid w:val="00AF3B7C"/>
    <w:rsid w:val="00AF5323"/>
    <w:rsid w:val="00AF5857"/>
    <w:rsid w:val="00B0316D"/>
    <w:rsid w:val="00B04876"/>
    <w:rsid w:val="00B0548A"/>
    <w:rsid w:val="00B102BD"/>
    <w:rsid w:val="00B14387"/>
    <w:rsid w:val="00B14F2A"/>
    <w:rsid w:val="00B16232"/>
    <w:rsid w:val="00B16C7C"/>
    <w:rsid w:val="00B225A3"/>
    <w:rsid w:val="00B235F7"/>
    <w:rsid w:val="00B270E2"/>
    <w:rsid w:val="00B27E35"/>
    <w:rsid w:val="00B305DF"/>
    <w:rsid w:val="00B337A8"/>
    <w:rsid w:val="00B33D92"/>
    <w:rsid w:val="00B3473E"/>
    <w:rsid w:val="00B3493C"/>
    <w:rsid w:val="00B37B7B"/>
    <w:rsid w:val="00B44679"/>
    <w:rsid w:val="00B4517A"/>
    <w:rsid w:val="00B4653D"/>
    <w:rsid w:val="00B46C18"/>
    <w:rsid w:val="00B55F5D"/>
    <w:rsid w:val="00B56DD4"/>
    <w:rsid w:val="00B57747"/>
    <w:rsid w:val="00B57FA7"/>
    <w:rsid w:val="00B613FE"/>
    <w:rsid w:val="00B61D05"/>
    <w:rsid w:val="00B67197"/>
    <w:rsid w:val="00B75DCD"/>
    <w:rsid w:val="00B81FA5"/>
    <w:rsid w:val="00B8398F"/>
    <w:rsid w:val="00B84B11"/>
    <w:rsid w:val="00B8746C"/>
    <w:rsid w:val="00B9172D"/>
    <w:rsid w:val="00B923B9"/>
    <w:rsid w:val="00B95035"/>
    <w:rsid w:val="00B95F96"/>
    <w:rsid w:val="00B9618E"/>
    <w:rsid w:val="00B96D2E"/>
    <w:rsid w:val="00B973EC"/>
    <w:rsid w:val="00BA0D8C"/>
    <w:rsid w:val="00BA668C"/>
    <w:rsid w:val="00BA6962"/>
    <w:rsid w:val="00BA7691"/>
    <w:rsid w:val="00BB1B3A"/>
    <w:rsid w:val="00BB73BA"/>
    <w:rsid w:val="00BB7E49"/>
    <w:rsid w:val="00BC2B65"/>
    <w:rsid w:val="00BC5A1C"/>
    <w:rsid w:val="00BC73DD"/>
    <w:rsid w:val="00BD009B"/>
    <w:rsid w:val="00BD02B7"/>
    <w:rsid w:val="00BD1607"/>
    <w:rsid w:val="00BD3D85"/>
    <w:rsid w:val="00BD4B90"/>
    <w:rsid w:val="00BE137D"/>
    <w:rsid w:val="00BE198D"/>
    <w:rsid w:val="00BE201E"/>
    <w:rsid w:val="00BE40E8"/>
    <w:rsid w:val="00BF1F32"/>
    <w:rsid w:val="00BF4981"/>
    <w:rsid w:val="00BF6E1C"/>
    <w:rsid w:val="00BF7966"/>
    <w:rsid w:val="00C01B1D"/>
    <w:rsid w:val="00C01B71"/>
    <w:rsid w:val="00C048E8"/>
    <w:rsid w:val="00C16EC7"/>
    <w:rsid w:val="00C17522"/>
    <w:rsid w:val="00C20673"/>
    <w:rsid w:val="00C23AE4"/>
    <w:rsid w:val="00C26EA8"/>
    <w:rsid w:val="00C307D2"/>
    <w:rsid w:val="00C33230"/>
    <w:rsid w:val="00C34332"/>
    <w:rsid w:val="00C35AD4"/>
    <w:rsid w:val="00C3602D"/>
    <w:rsid w:val="00C36862"/>
    <w:rsid w:val="00C369A8"/>
    <w:rsid w:val="00C40331"/>
    <w:rsid w:val="00C41C58"/>
    <w:rsid w:val="00C42F78"/>
    <w:rsid w:val="00C44A9B"/>
    <w:rsid w:val="00C46BF1"/>
    <w:rsid w:val="00C46C12"/>
    <w:rsid w:val="00C50E49"/>
    <w:rsid w:val="00C52C79"/>
    <w:rsid w:val="00C53700"/>
    <w:rsid w:val="00C5504F"/>
    <w:rsid w:val="00C61432"/>
    <w:rsid w:val="00C62F1A"/>
    <w:rsid w:val="00C67F3B"/>
    <w:rsid w:val="00C70060"/>
    <w:rsid w:val="00C76ABE"/>
    <w:rsid w:val="00C8050B"/>
    <w:rsid w:val="00C812FC"/>
    <w:rsid w:val="00C81DB3"/>
    <w:rsid w:val="00C8249A"/>
    <w:rsid w:val="00C82C6C"/>
    <w:rsid w:val="00C85057"/>
    <w:rsid w:val="00C90B27"/>
    <w:rsid w:val="00C94320"/>
    <w:rsid w:val="00C948D2"/>
    <w:rsid w:val="00C95717"/>
    <w:rsid w:val="00C969CE"/>
    <w:rsid w:val="00CA02D2"/>
    <w:rsid w:val="00CA3A3B"/>
    <w:rsid w:val="00CA3B15"/>
    <w:rsid w:val="00CA4ADE"/>
    <w:rsid w:val="00CA5254"/>
    <w:rsid w:val="00CA5A1A"/>
    <w:rsid w:val="00CA7C9D"/>
    <w:rsid w:val="00CB2CE7"/>
    <w:rsid w:val="00CB3BDB"/>
    <w:rsid w:val="00CB66B9"/>
    <w:rsid w:val="00CB79B5"/>
    <w:rsid w:val="00CC0620"/>
    <w:rsid w:val="00CC3843"/>
    <w:rsid w:val="00CC5FB6"/>
    <w:rsid w:val="00CC7B2E"/>
    <w:rsid w:val="00CD0BDF"/>
    <w:rsid w:val="00CD2EC9"/>
    <w:rsid w:val="00CD34FD"/>
    <w:rsid w:val="00CD5DAF"/>
    <w:rsid w:val="00CD6956"/>
    <w:rsid w:val="00CD78D4"/>
    <w:rsid w:val="00CE132A"/>
    <w:rsid w:val="00CE2570"/>
    <w:rsid w:val="00CE3E7A"/>
    <w:rsid w:val="00CE5BED"/>
    <w:rsid w:val="00CF2180"/>
    <w:rsid w:val="00CF239E"/>
    <w:rsid w:val="00CF5E89"/>
    <w:rsid w:val="00CF6321"/>
    <w:rsid w:val="00CF73BD"/>
    <w:rsid w:val="00CF7F50"/>
    <w:rsid w:val="00D1111A"/>
    <w:rsid w:val="00D141B5"/>
    <w:rsid w:val="00D142F4"/>
    <w:rsid w:val="00D15DEC"/>
    <w:rsid w:val="00D17B03"/>
    <w:rsid w:val="00D20D63"/>
    <w:rsid w:val="00D2277B"/>
    <w:rsid w:val="00D23480"/>
    <w:rsid w:val="00D24E92"/>
    <w:rsid w:val="00D25E28"/>
    <w:rsid w:val="00D30E30"/>
    <w:rsid w:val="00D314D3"/>
    <w:rsid w:val="00D32D33"/>
    <w:rsid w:val="00D42525"/>
    <w:rsid w:val="00D42B2A"/>
    <w:rsid w:val="00D463A4"/>
    <w:rsid w:val="00D509BC"/>
    <w:rsid w:val="00D51CD5"/>
    <w:rsid w:val="00D568E8"/>
    <w:rsid w:val="00D60A42"/>
    <w:rsid w:val="00D64054"/>
    <w:rsid w:val="00D64EE5"/>
    <w:rsid w:val="00D70319"/>
    <w:rsid w:val="00D7446E"/>
    <w:rsid w:val="00D753D2"/>
    <w:rsid w:val="00D805C0"/>
    <w:rsid w:val="00D81A59"/>
    <w:rsid w:val="00D8449C"/>
    <w:rsid w:val="00D85108"/>
    <w:rsid w:val="00D85D87"/>
    <w:rsid w:val="00D85F7E"/>
    <w:rsid w:val="00D916BE"/>
    <w:rsid w:val="00D93461"/>
    <w:rsid w:val="00D944A7"/>
    <w:rsid w:val="00D95D7C"/>
    <w:rsid w:val="00D979B8"/>
    <w:rsid w:val="00DA5FA0"/>
    <w:rsid w:val="00DA7266"/>
    <w:rsid w:val="00DB10C0"/>
    <w:rsid w:val="00DB3FE7"/>
    <w:rsid w:val="00DB4D2C"/>
    <w:rsid w:val="00DB5548"/>
    <w:rsid w:val="00DB599E"/>
    <w:rsid w:val="00DB5FE4"/>
    <w:rsid w:val="00DC1729"/>
    <w:rsid w:val="00DC56FD"/>
    <w:rsid w:val="00DC6E7E"/>
    <w:rsid w:val="00DC7DAB"/>
    <w:rsid w:val="00DD451F"/>
    <w:rsid w:val="00DD4B7A"/>
    <w:rsid w:val="00DD5F07"/>
    <w:rsid w:val="00DE0B8E"/>
    <w:rsid w:val="00DE21C1"/>
    <w:rsid w:val="00DE38CE"/>
    <w:rsid w:val="00DE4078"/>
    <w:rsid w:val="00DF1062"/>
    <w:rsid w:val="00DF1281"/>
    <w:rsid w:val="00DF229F"/>
    <w:rsid w:val="00DF27F5"/>
    <w:rsid w:val="00DF2B83"/>
    <w:rsid w:val="00DF7CE3"/>
    <w:rsid w:val="00E00248"/>
    <w:rsid w:val="00E053F4"/>
    <w:rsid w:val="00E072DC"/>
    <w:rsid w:val="00E12C4B"/>
    <w:rsid w:val="00E13AEE"/>
    <w:rsid w:val="00E205EF"/>
    <w:rsid w:val="00E210AF"/>
    <w:rsid w:val="00E23436"/>
    <w:rsid w:val="00E30A58"/>
    <w:rsid w:val="00E3196B"/>
    <w:rsid w:val="00E347B7"/>
    <w:rsid w:val="00E35756"/>
    <w:rsid w:val="00E36F46"/>
    <w:rsid w:val="00E37C43"/>
    <w:rsid w:val="00E41FFE"/>
    <w:rsid w:val="00E423D3"/>
    <w:rsid w:val="00E467B1"/>
    <w:rsid w:val="00E47E49"/>
    <w:rsid w:val="00E511BF"/>
    <w:rsid w:val="00E55CD7"/>
    <w:rsid w:val="00E60859"/>
    <w:rsid w:val="00E608B1"/>
    <w:rsid w:val="00E630D5"/>
    <w:rsid w:val="00E663E1"/>
    <w:rsid w:val="00E668DD"/>
    <w:rsid w:val="00E70583"/>
    <w:rsid w:val="00E721AF"/>
    <w:rsid w:val="00E75ABB"/>
    <w:rsid w:val="00E77784"/>
    <w:rsid w:val="00E81EB9"/>
    <w:rsid w:val="00E82AFA"/>
    <w:rsid w:val="00E84853"/>
    <w:rsid w:val="00E84926"/>
    <w:rsid w:val="00E87F2C"/>
    <w:rsid w:val="00E9189F"/>
    <w:rsid w:val="00E936D6"/>
    <w:rsid w:val="00E97E96"/>
    <w:rsid w:val="00EA0992"/>
    <w:rsid w:val="00EB13E7"/>
    <w:rsid w:val="00EB1449"/>
    <w:rsid w:val="00EB160B"/>
    <w:rsid w:val="00EB1D35"/>
    <w:rsid w:val="00EB265D"/>
    <w:rsid w:val="00EB3FAE"/>
    <w:rsid w:val="00EB45EA"/>
    <w:rsid w:val="00EC175F"/>
    <w:rsid w:val="00EC7886"/>
    <w:rsid w:val="00ED0C85"/>
    <w:rsid w:val="00ED7CFB"/>
    <w:rsid w:val="00EE4418"/>
    <w:rsid w:val="00EF0D01"/>
    <w:rsid w:val="00EF4641"/>
    <w:rsid w:val="00EF5238"/>
    <w:rsid w:val="00EF5AE5"/>
    <w:rsid w:val="00F0284C"/>
    <w:rsid w:val="00F0368A"/>
    <w:rsid w:val="00F03BBA"/>
    <w:rsid w:val="00F03D46"/>
    <w:rsid w:val="00F040B8"/>
    <w:rsid w:val="00F0638A"/>
    <w:rsid w:val="00F064F2"/>
    <w:rsid w:val="00F10D96"/>
    <w:rsid w:val="00F10DE8"/>
    <w:rsid w:val="00F12A7D"/>
    <w:rsid w:val="00F21440"/>
    <w:rsid w:val="00F229AB"/>
    <w:rsid w:val="00F234DC"/>
    <w:rsid w:val="00F238A0"/>
    <w:rsid w:val="00F238F4"/>
    <w:rsid w:val="00F3264F"/>
    <w:rsid w:val="00F35530"/>
    <w:rsid w:val="00F45F9A"/>
    <w:rsid w:val="00F516EE"/>
    <w:rsid w:val="00F53D44"/>
    <w:rsid w:val="00F56F32"/>
    <w:rsid w:val="00F5733D"/>
    <w:rsid w:val="00F64BB4"/>
    <w:rsid w:val="00F65656"/>
    <w:rsid w:val="00F65CE6"/>
    <w:rsid w:val="00F6628A"/>
    <w:rsid w:val="00F74386"/>
    <w:rsid w:val="00F769DB"/>
    <w:rsid w:val="00F8127B"/>
    <w:rsid w:val="00F820F4"/>
    <w:rsid w:val="00F8221A"/>
    <w:rsid w:val="00F82B9A"/>
    <w:rsid w:val="00F8644E"/>
    <w:rsid w:val="00F9446E"/>
    <w:rsid w:val="00F954D4"/>
    <w:rsid w:val="00F956C8"/>
    <w:rsid w:val="00FA13D4"/>
    <w:rsid w:val="00FA2829"/>
    <w:rsid w:val="00FA4BC1"/>
    <w:rsid w:val="00FB159C"/>
    <w:rsid w:val="00FB1B10"/>
    <w:rsid w:val="00FB2152"/>
    <w:rsid w:val="00FB2352"/>
    <w:rsid w:val="00FB2743"/>
    <w:rsid w:val="00FB41BE"/>
    <w:rsid w:val="00FC001E"/>
    <w:rsid w:val="00FC14CF"/>
    <w:rsid w:val="00FC4E17"/>
    <w:rsid w:val="00FC5308"/>
    <w:rsid w:val="00FC5CA4"/>
    <w:rsid w:val="00FC603E"/>
    <w:rsid w:val="00FD04A0"/>
    <w:rsid w:val="00FD6480"/>
    <w:rsid w:val="00FD72B5"/>
    <w:rsid w:val="00FD72C0"/>
    <w:rsid w:val="00FD78F4"/>
    <w:rsid w:val="00FE0CDF"/>
    <w:rsid w:val="00FE3896"/>
    <w:rsid w:val="00FE5B6F"/>
    <w:rsid w:val="00FE5C00"/>
    <w:rsid w:val="00FE79B4"/>
    <w:rsid w:val="00FF346C"/>
    <w:rsid w:val="00FF49D0"/>
    <w:rsid w:val="00FF70E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7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8C"/>
    <w:pPr>
      <w:spacing w:before="60" w:after="60" w:line="300" w:lineRule="exact"/>
    </w:pPr>
    <w:rPr>
      <w:rFonts w:ascii="Arial" w:hAnsi="Arial"/>
      <w:sz w:val="22"/>
      <w:lang w:eastAsia="en-US"/>
    </w:rPr>
  </w:style>
  <w:style w:type="paragraph" w:styleId="Heading1">
    <w:name w:val="heading 1"/>
    <w:basedOn w:val="Normal"/>
    <w:next w:val="Normal"/>
    <w:qFormat/>
    <w:rsid w:val="00356212"/>
    <w:pPr>
      <w:keepNext/>
      <w:spacing w:before="240" w:after="40" w:line="240" w:lineRule="auto"/>
      <w:outlineLvl w:val="0"/>
    </w:pPr>
    <w:rPr>
      <w:b/>
      <w:caps/>
      <w:sz w:val="20"/>
      <w:szCs w:val="24"/>
    </w:rPr>
  </w:style>
  <w:style w:type="paragraph" w:styleId="Heading2">
    <w:name w:val="heading 2"/>
    <w:basedOn w:val="Normal"/>
    <w:next w:val="Normal"/>
    <w:link w:val="Heading2Char"/>
    <w:qFormat/>
    <w:rsid w:val="00356212"/>
    <w:pPr>
      <w:keepNext/>
      <w:spacing w:before="120" w:after="40" w:line="240" w:lineRule="auto"/>
      <w:ind w:left="360"/>
      <w:outlineLvl w:val="1"/>
    </w:pPr>
    <w:rPr>
      <w:b/>
    </w:rPr>
  </w:style>
  <w:style w:type="paragraph" w:styleId="Heading3">
    <w:name w:val="heading 3"/>
    <w:basedOn w:val="Heading2"/>
    <w:next w:val="Normal"/>
    <w:qFormat/>
    <w:rsid w:val="00C8050B"/>
    <w:pPr>
      <w:outlineLvl w:val="2"/>
    </w:pPr>
  </w:style>
  <w:style w:type="paragraph" w:styleId="Heading4">
    <w:name w:val="heading 4"/>
    <w:basedOn w:val="Normal"/>
    <w:next w:val="Normal"/>
    <w:qFormat/>
    <w:rsid w:val="003F6759"/>
    <w:pPr>
      <w:keepNext/>
      <w:keepLines/>
      <w:spacing w:after="240" w:line="240" w:lineRule="atLeast"/>
      <w:outlineLvl w:val="3"/>
    </w:pPr>
    <w:rPr>
      <w:spacing w:val="-4"/>
      <w:kern w:val="28"/>
    </w:rPr>
  </w:style>
  <w:style w:type="paragraph" w:styleId="Heading5">
    <w:name w:val="heading 5"/>
    <w:basedOn w:val="Normal"/>
    <w:next w:val="Normal"/>
    <w:qFormat/>
    <w:rsid w:val="003F6759"/>
    <w:pPr>
      <w:keepNext/>
      <w:keepLines/>
      <w:spacing w:line="240" w:lineRule="atLeast"/>
      <w:ind w:left="1440"/>
      <w:outlineLvl w:val="4"/>
    </w:pPr>
    <w:rPr>
      <w:spacing w:val="-4"/>
      <w:kern w:val="28"/>
    </w:rPr>
  </w:style>
  <w:style w:type="paragraph" w:styleId="Heading6">
    <w:name w:val="heading 6"/>
    <w:basedOn w:val="Normal"/>
    <w:next w:val="Normal"/>
    <w:qFormat/>
    <w:rsid w:val="003F6759"/>
    <w:pPr>
      <w:keepNext/>
      <w:keepLines/>
      <w:spacing w:before="140" w:line="220" w:lineRule="atLeast"/>
      <w:ind w:left="1440"/>
      <w:outlineLvl w:val="5"/>
    </w:pPr>
    <w:rPr>
      <w:i/>
      <w:spacing w:val="-4"/>
      <w:kern w:val="28"/>
    </w:rPr>
  </w:style>
  <w:style w:type="paragraph" w:styleId="Heading7">
    <w:name w:val="heading 7"/>
    <w:aliases w:val="cover date"/>
    <w:basedOn w:val="Normal"/>
    <w:next w:val="Normal"/>
    <w:qFormat/>
    <w:rsid w:val="003F6759"/>
    <w:pPr>
      <w:keepNext/>
      <w:keepLines/>
      <w:spacing w:before="140" w:line="220" w:lineRule="atLeast"/>
      <w:outlineLvl w:val="6"/>
    </w:pPr>
    <w:rPr>
      <w:spacing w:val="-4"/>
      <w:kern w:val="28"/>
    </w:rPr>
  </w:style>
  <w:style w:type="paragraph" w:styleId="Heading8">
    <w:name w:val="heading 8"/>
    <w:aliases w:val="Cover header"/>
    <w:basedOn w:val="Normal"/>
    <w:next w:val="Normal"/>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12C4B"/>
    <w:rPr>
      <w:rFonts w:ascii="Arial" w:hAnsi="Arial"/>
      <w:b/>
      <w:sz w:val="22"/>
      <w:lang w:val="en-US" w:eastAsia="en-US" w:bidi="ar-SA"/>
    </w:rPr>
  </w:style>
  <w:style w:type="paragraph" w:customStyle="1" w:styleId="CompanyInformation">
    <w:name w:val="Company Information"/>
    <w:basedOn w:val="Normal"/>
    <w:link w:val="CompanyInformationChar"/>
    <w:semiHidden/>
    <w:rsid w:val="002D2F24"/>
    <w:pPr>
      <w:spacing w:line="240" w:lineRule="auto"/>
    </w:pPr>
    <w:rPr>
      <w:color w:val="808080"/>
      <w:sz w:val="15"/>
    </w:rPr>
  </w:style>
  <w:style w:type="character" w:customStyle="1" w:styleId="CompanyInformationChar">
    <w:name w:val="Company Information Char"/>
    <w:link w:val="CompanyInformation"/>
    <w:rsid w:val="002D2F24"/>
    <w:rPr>
      <w:rFonts w:ascii="Verdana" w:hAnsi="Verdana"/>
      <w:color w:val="808080"/>
      <w:sz w:val="15"/>
      <w:lang w:val="en-US" w:eastAsia="en-US" w:bidi="ar-SA"/>
    </w:rPr>
  </w:style>
  <w:style w:type="paragraph" w:customStyle="1" w:styleId="InsideTitle">
    <w:name w:val="Inside Title"/>
    <w:basedOn w:val="Normal"/>
    <w:semiHidden/>
    <w:rsid w:val="00872B23"/>
    <w:pPr>
      <w:keepNext/>
      <w:spacing w:before="2400" w:line="240" w:lineRule="auto"/>
    </w:pPr>
    <w:rPr>
      <w:b/>
      <w:sz w:val="32"/>
    </w:rPr>
  </w:style>
  <w:style w:type="paragraph" w:styleId="Caption">
    <w:name w:val="caption"/>
    <w:basedOn w:val="Normal"/>
    <w:next w:val="Normal"/>
    <w:qFormat/>
    <w:rsid w:val="003F6759"/>
    <w:pPr>
      <w:keepNext/>
      <w:numPr>
        <w:numId w:val="1"/>
      </w:numPr>
      <w:spacing w:after="240" w:line="220" w:lineRule="atLeast"/>
    </w:pPr>
    <w:rPr>
      <w:rFonts w:ascii="Arial Narrow" w:hAnsi="Arial Narrow"/>
      <w:sz w:val="18"/>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numPr>
        <w:numId w:val="2"/>
      </w:numPr>
      <w:spacing w:after="80"/>
      <w:contextualSpacing/>
    </w:pPr>
  </w:style>
  <w:style w:type="character" w:customStyle="1" w:styleId="BulletedListChar">
    <w:name w:val="Bulleted List Char"/>
    <w:link w:val="BulletedList"/>
    <w:semiHidden/>
    <w:rsid w:val="00971A83"/>
    <w:rPr>
      <w:rFonts w:ascii="Arial" w:hAnsi="Arial"/>
      <w:sz w:val="22"/>
      <w:lang w:eastAsia="en-US"/>
    </w:rPr>
  </w:style>
  <w:style w:type="character" w:styleId="CommentReference">
    <w:name w:val="annotation reference"/>
    <w:uiPriority w:val="99"/>
    <w:semiHidden/>
    <w:rPr>
      <w:rFonts w:ascii="Arial" w:hAnsi="Arial"/>
      <w:sz w:val="16"/>
    </w:rPr>
  </w:style>
  <w:style w:type="paragraph" w:styleId="CommentText">
    <w:name w:val="annotation text"/>
    <w:basedOn w:val="Normal"/>
    <w:link w:val="CommentTextChar"/>
    <w:uiPriority w:val="99"/>
    <w:semiHidden/>
    <w:rsid w:val="003F6759"/>
  </w:style>
  <w:style w:type="paragraph" w:customStyle="1" w:styleId="NumberedList">
    <w:name w:val="Numbered List"/>
    <w:basedOn w:val="Normal"/>
    <w:link w:val="NumberedListCharChar"/>
    <w:semiHidden/>
    <w:rsid w:val="00D17B03"/>
    <w:pPr>
      <w:spacing w:after="120"/>
    </w:pPr>
  </w:style>
  <w:style w:type="character" w:customStyle="1" w:styleId="NumberedListCharChar">
    <w:name w:val="Numbered List Char Char"/>
    <w:link w:val="NumberedList"/>
    <w:rsid w:val="00D17B03"/>
    <w:rPr>
      <w:rFonts w:ascii="Arial" w:hAnsi="Arial"/>
      <w:sz w:val="22"/>
      <w:lang w:val="en-US" w:eastAsia="en-US" w:bidi="ar-SA"/>
    </w:rPr>
  </w:style>
  <w:style w:type="character" w:styleId="EndnoteReference">
    <w:name w:val="endnote reference"/>
    <w:semiHidden/>
    <w:rPr>
      <w:vertAlign w:val="superscript"/>
    </w:rPr>
  </w:style>
  <w:style w:type="paragraph" w:styleId="EndnoteText">
    <w:name w:val="endnote text"/>
    <w:basedOn w:val="Normal"/>
    <w:semiHidden/>
    <w:rsid w:val="003F6759"/>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link w:val="BlockQuotation"/>
    <w:rsid w:val="00971A83"/>
    <w:rPr>
      <w:rFonts w:ascii="Verdana" w:hAnsi="Verdana"/>
      <w:spacing w:val="-10"/>
      <w:sz w:val="17"/>
      <w:lang w:val="en-US" w:eastAsia="en-US" w:bidi="ar-SA"/>
    </w:rPr>
  </w:style>
  <w:style w:type="character" w:styleId="FootnoteReference">
    <w:name w:val="footnote reference"/>
    <w:semiHidden/>
    <w:rPr>
      <w:vertAlign w:val="superscript"/>
    </w:rPr>
  </w:style>
  <w:style w:type="paragraph" w:styleId="FootnoteText">
    <w:name w:val="footnote text"/>
    <w:basedOn w:val="Normal"/>
    <w:semiHidden/>
    <w:rsid w:val="003F6759"/>
  </w:style>
  <w:style w:type="paragraph" w:styleId="Header">
    <w:name w:val="header"/>
    <w:basedOn w:val="Normal"/>
    <w:link w:val="HeaderChar"/>
    <w:uiPriority w:val="99"/>
    <w:rsid w:val="00A745CA"/>
    <w:pPr>
      <w:tabs>
        <w:tab w:val="center" w:pos="4320"/>
        <w:tab w:val="right" w:pos="8640"/>
      </w:tabs>
    </w:p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semiHidden/>
    <w:rsid w:val="00AD5D62"/>
    <w:pPr>
      <w:spacing w:before="80" w:after="120"/>
      <w:ind w:left="360"/>
    </w:pPr>
    <w:rPr>
      <w:i/>
      <w:sz w:val="15"/>
    </w:rPr>
  </w:style>
  <w:style w:type="paragraph" w:customStyle="1" w:styleId="UtilComTableColumnHeading">
    <w:name w:val="UtilCom Table Column Heading"/>
    <w:basedOn w:val="Normal"/>
    <w:rsid w:val="002F053A"/>
    <w:rPr>
      <w:rFonts w:cs="Arial"/>
      <w:b/>
      <w:sz w:val="18"/>
      <w:szCs w:val="18"/>
    </w:rPr>
  </w:style>
  <w:style w:type="paragraph" w:customStyle="1" w:styleId="UtilComReportHeading">
    <w:name w:val="UtilCom Report Heading"/>
    <w:basedOn w:val="Title"/>
    <w:link w:val="UtilComReportHeadingChar"/>
    <w:semiHidden/>
    <w:rsid w:val="00B305DF"/>
    <w:pPr>
      <w:spacing w:before="480"/>
      <w:ind w:left="1134"/>
    </w:pPr>
  </w:style>
  <w:style w:type="paragraph" w:styleId="Title">
    <w:name w:val="Title"/>
    <w:basedOn w:val="Normal"/>
    <w:link w:val="TitleChar"/>
    <w:qFormat/>
    <w:rsid w:val="00CD0BDF"/>
    <w:pPr>
      <w:spacing w:before="2000"/>
    </w:pPr>
    <w:rPr>
      <w:rFonts w:cs="Arial"/>
      <w:b/>
      <w:caps/>
      <w:sz w:val="40"/>
      <w:szCs w:val="40"/>
    </w:rPr>
  </w:style>
  <w:style w:type="character" w:customStyle="1" w:styleId="TitleChar">
    <w:name w:val="Title Char"/>
    <w:link w:val="Title"/>
    <w:rsid w:val="00B305DF"/>
    <w:rPr>
      <w:rFonts w:ascii="Arial" w:hAnsi="Arial" w:cs="Arial"/>
      <w:b/>
      <w:caps/>
      <w:sz w:val="40"/>
      <w:szCs w:val="40"/>
      <w:lang w:val="en-US" w:eastAsia="en-US" w:bidi="ar-SA"/>
    </w:rPr>
  </w:style>
  <w:style w:type="character" w:customStyle="1" w:styleId="UtilComReportHeadingChar">
    <w:name w:val="UtilCom Report Heading Char"/>
    <w:basedOn w:val="TitleChar"/>
    <w:link w:val="UtilComReportHeading"/>
    <w:rsid w:val="00B305DF"/>
    <w:rPr>
      <w:rFonts w:ascii="Arial" w:hAnsi="Arial" w:cs="Arial"/>
      <w:b/>
      <w:caps/>
      <w:sz w:val="40"/>
      <w:szCs w:val="40"/>
      <w:lang w:val="en-US" w:eastAsia="en-US" w:bidi="ar-SA"/>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link w:val="IndentedBodyText"/>
    <w:rsid w:val="00CC5FB6"/>
    <w:rPr>
      <w:rFonts w:ascii="Verdana" w:hAnsi="Verdana"/>
      <w:sz w:val="17"/>
      <w:lang w:val="en-US" w:eastAsia="en-US" w:bidi="ar-SA"/>
    </w:rPr>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hAnsi="Tahoma" w:cs="Tahoma"/>
      <w:sz w:val="16"/>
      <w:szCs w:val="16"/>
    </w:rPr>
  </w:style>
  <w:style w:type="paragraph" w:customStyle="1" w:styleId="CompanyInformationBold">
    <w:name w:val="Company Information Bold"/>
    <w:basedOn w:val="CompanyInformation"/>
    <w:semiHidden/>
    <w:rsid w:val="0093137B"/>
    <w:rPr>
      <w:b/>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Normal"/>
    <w:autoRedefine/>
    <w:uiPriority w:val="39"/>
    <w:rsid w:val="00B235F7"/>
    <w:rPr>
      <w:b/>
      <w:spacing w:val="-4"/>
    </w:rPr>
  </w:style>
  <w:style w:type="paragraph" w:styleId="TOC2">
    <w:name w:val="toc 2"/>
    <w:basedOn w:val="Normal"/>
    <w:autoRedefine/>
    <w:uiPriority w:val="39"/>
    <w:rsid w:val="006D31B6"/>
    <w:pPr>
      <w:tabs>
        <w:tab w:val="right" w:leader="dot" w:pos="9062"/>
      </w:tabs>
    </w:pPr>
    <w:rPr>
      <w:noProof/>
      <w:color w:val="31849B" w:themeColor="accent5" w:themeShade="BF"/>
      <w:sz w:val="18"/>
      <w:szCs w:val="18"/>
      <w:lang w:eastAsia="en-AU"/>
    </w:rPr>
  </w:style>
  <w:style w:type="paragraph" w:styleId="TOC3">
    <w:name w:val="toc 3"/>
    <w:basedOn w:val="Normal"/>
    <w:autoRedefine/>
    <w:uiPriority w:val="39"/>
    <w:rsid w:val="002A1473"/>
    <w:pPr>
      <w:tabs>
        <w:tab w:val="left" w:pos="1418"/>
        <w:tab w:val="right" w:leader="dot" w:pos="9062"/>
      </w:tabs>
      <w:ind w:left="426"/>
    </w:pPr>
    <w:rPr>
      <w:noProof/>
      <w:sz w:val="18"/>
      <w:lang w:val="en-US"/>
    </w:rPr>
  </w:style>
  <w:style w:type="paragraph" w:styleId="TOC4">
    <w:name w:val="toc 4"/>
    <w:basedOn w:val="Normal"/>
    <w:autoRedefine/>
    <w:uiPriority w:val="39"/>
    <w:rsid w:val="00564813"/>
    <w:pPr>
      <w:tabs>
        <w:tab w:val="left" w:pos="284"/>
        <w:tab w:val="left" w:pos="1200"/>
        <w:tab w:val="right" w:leader="dot" w:pos="9062"/>
      </w:tabs>
      <w:ind w:left="284"/>
    </w:pPr>
    <w:rPr>
      <w:noProof/>
      <w:sz w:val="18"/>
      <w:szCs w:val="18"/>
    </w:rPr>
  </w:style>
  <w:style w:type="paragraph" w:styleId="TOC5">
    <w:name w:val="toc 5"/>
    <w:basedOn w:val="Normal"/>
    <w:autoRedefine/>
    <w:semiHidden/>
    <w:rsid w:val="00720551"/>
    <w:pPr>
      <w:ind w:left="360"/>
    </w:pPr>
  </w:style>
  <w:style w:type="paragraph" w:customStyle="1" w:styleId="UtilComReferenceSource">
    <w:name w:val="UtilCom Reference/Source"/>
    <w:link w:val="UtilComReferenceSourceChar"/>
    <w:rsid w:val="00CA5254"/>
    <w:pPr>
      <w:spacing w:before="60" w:after="120"/>
    </w:pPr>
    <w:rPr>
      <w:rFonts w:ascii="Arial" w:hAnsi="Arial"/>
      <w:sz w:val="18"/>
      <w:szCs w:val="18"/>
      <w:lang w:val="en-US" w:eastAsia="en-US"/>
    </w:rPr>
  </w:style>
  <w:style w:type="paragraph" w:customStyle="1" w:styleId="ChapterBold">
    <w:name w:val="Chapter Bold"/>
    <w:basedOn w:val="Normal"/>
    <w:semiHidden/>
    <w:rsid w:val="00781B15"/>
    <w:pPr>
      <w:spacing w:before="960" w:after="240" w:line="400" w:lineRule="atLeast"/>
    </w:pPr>
    <w:rPr>
      <w:b/>
      <w:caps/>
      <w:color w:val="808080"/>
      <w:sz w:val="36"/>
      <w:szCs w:val="36"/>
    </w:rPr>
  </w:style>
  <w:style w:type="paragraph" w:customStyle="1" w:styleId="CompanyInformationItalic">
    <w:name w:val="Company Information Italic"/>
    <w:basedOn w:val="CompanyInformation"/>
    <w:link w:val="CompanyInformationItalicChar"/>
    <w:semiHidden/>
    <w:rsid w:val="002D2F24"/>
    <w:rPr>
      <w:i/>
    </w:rPr>
  </w:style>
  <w:style w:type="character" w:customStyle="1" w:styleId="CompanyInformationItalicChar">
    <w:name w:val="Company Information Italic Char"/>
    <w:link w:val="CompanyInformationItalic"/>
    <w:rsid w:val="002D2F24"/>
    <w:rPr>
      <w:rFonts w:ascii="Verdana" w:hAnsi="Verdana"/>
      <w:i/>
      <w:color w:val="808080"/>
      <w:sz w:val="15"/>
      <w:lang w:val="en-US" w:eastAsia="en-US" w:bidi="ar-SA"/>
    </w:rPr>
  </w:style>
  <w:style w:type="paragraph" w:styleId="Footer">
    <w:name w:val="footer"/>
    <w:basedOn w:val="Normal"/>
    <w:link w:val="FooterChar"/>
    <w:uiPriority w:val="99"/>
    <w:rsid w:val="00EA0992"/>
    <w:pPr>
      <w:tabs>
        <w:tab w:val="center" w:pos="4320"/>
        <w:tab w:val="right" w:pos="8640"/>
      </w:tabs>
    </w:pPr>
    <w:rPr>
      <w:sz w:val="18"/>
    </w:rPr>
  </w:style>
  <w:style w:type="paragraph" w:styleId="Subtitle">
    <w:name w:val="Subtitle"/>
    <w:aliases w:val="UtilCom Subtitle"/>
    <w:basedOn w:val="Normal"/>
    <w:qFormat/>
    <w:rsid w:val="00CD0BDF"/>
    <w:rPr>
      <w:rFonts w:cs="Arial"/>
      <w:i/>
      <w:sz w:val="24"/>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link w:val="BulletedListBold"/>
    <w:semiHidden/>
    <w:rsid w:val="00971A83"/>
    <w:rPr>
      <w:rFonts w:ascii="Arial" w:hAnsi="Arial"/>
      <w:b/>
      <w:bCs/>
      <w:sz w:val="22"/>
      <w:lang w:eastAsia="en-U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link w:val="NumberedListBold"/>
    <w:rsid w:val="00971A83"/>
    <w:rPr>
      <w:rFonts w:ascii="Arial" w:hAnsi="Arial"/>
      <w:b/>
      <w:bCs/>
      <w:sz w:val="22"/>
      <w:lang w:val="en-US" w:eastAsia="en-US" w:bidi="ar-SA"/>
    </w:rPr>
  </w:style>
  <w:style w:type="character" w:customStyle="1" w:styleId="Lead-inEmphasis">
    <w:name w:val="Lead-in Emphasis"/>
    <w:semiHidden/>
    <w:rsid w:val="00E75ABB"/>
    <w:rPr>
      <w:rFonts w:ascii="Tahoma" w:hAnsi="Tahoma"/>
      <w:b/>
      <w:spacing w:val="4"/>
      <w:kern w:val="0"/>
    </w:rPr>
  </w:style>
  <w:style w:type="paragraph" w:customStyle="1" w:styleId="NumberedText">
    <w:name w:val="NumberedText"/>
    <w:basedOn w:val="Normal"/>
    <w:semiHidden/>
    <w:rsid w:val="00CD0BDF"/>
    <w:pPr>
      <w:tabs>
        <w:tab w:val="left" w:pos="720"/>
      </w:tabs>
      <w:spacing w:before="180" w:line="240" w:lineRule="auto"/>
      <w:ind w:left="431"/>
      <w:jc w:val="both"/>
    </w:pPr>
    <w:rPr>
      <w:sz w:val="20"/>
    </w:rPr>
  </w:style>
  <w:style w:type="paragraph" w:customStyle="1" w:styleId="UtilComHeaderInfo">
    <w:name w:val="UtilCom Header Info"/>
    <w:semiHidden/>
    <w:rsid w:val="00CD0BDF"/>
    <w:pPr>
      <w:spacing w:line="240" w:lineRule="exact"/>
      <w:jc w:val="right"/>
    </w:pPr>
    <w:rPr>
      <w:rFonts w:ascii="Arial" w:hAnsi="Arial"/>
      <w:sz w:val="18"/>
      <w:szCs w:val="18"/>
    </w:rPr>
  </w:style>
  <w:style w:type="paragraph" w:customStyle="1" w:styleId="UtilComAddressInfo">
    <w:name w:val="UtilCom Address Info"/>
    <w:semiHidden/>
    <w:rsid w:val="00CD0BDF"/>
    <w:pPr>
      <w:spacing w:line="240" w:lineRule="exact"/>
      <w:jc w:val="right"/>
    </w:pPr>
    <w:rPr>
      <w:rFonts w:ascii="Arial" w:hAnsi="Arial"/>
      <w:sz w:val="18"/>
      <w:szCs w:val="18"/>
    </w:rPr>
  </w:style>
  <w:style w:type="paragraph" w:customStyle="1" w:styleId="UtilComDate">
    <w:name w:val="UtilCom Date"/>
    <w:basedOn w:val="Subtitle"/>
    <w:semiHidden/>
    <w:rsid w:val="00CD0BDF"/>
    <w:pPr>
      <w:spacing w:before="480"/>
    </w:pPr>
  </w:style>
  <w:style w:type="paragraph" w:customStyle="1" w:styleId="Heading11">
    <w:name w:val="Heading 11"/>
    <w:basedOn w:val="Normal"/>
    <w:semiHidden/>
    <w:rsid w:val="006E3A87"/>
    <w:pPr>
      <w:spacing w:before="240" w:line="240" w:lineRule="auto"/>
    </w:pPr>
    <w:rPr>
      <w:b/>
      <w:sz w:val="28"/>
    </w:rPr>
  </w:style>
  <w:style w:type="character" w:styleId="Hyperlink">
    <w:name w:val="Hyperlink"/>
    <w:uiPriority w:val="99"/>
    <w:rsid w:val="00EA0992"/>
    <w:rPr>
      <w:color w:val="0000FF"/>
      <w:u w:val="single"/>
    </w:rPr>
  </w:style>
  <w:style w:type="paragraph" w:customStyle="1" w:styleId="NormalText">
    <w:name w:val="NormalText"/>
    <w:basedOn w:val="Normal"/>
    <w:semiHidden/>
    <w:rsid w:val="00EA0992"/>
    <w:pPr>
      <w:spacing w:before="240" w:line="240" w:lineRule="auto"/>
      <w:jc w:val="both"/>
    </w:pPr>
    <w:rPr>
      <w:sz w:val="20"/>
    </w:rPr>
  </w:style>
  <w:style w:type="paragraph" w:customStyle="1" w:styleId="UtilComChapterHeading">
    <w:name w:val="UtilCom Chapter Heading"/>
    <w:basedOn w:val="UtilComHeading2"/>
    <w:next w:val="TOC1"/>
    <w:link w:val="UtilComChapterHeadingChar"/>
    <w:semiHidden/>
    <w:rsid w:val="00457A43"/>
    <w:rPr>
      <w:sz w:val="32"/>
      <w:szCs w:val="28"/>
    </w:rPr>
  </w:style>
  <w:style w:type="paragraph" w:customStyle="1" w:styleId="UtilComHeading2">
    <w:name w:val="UtilCom Heading 2"/>
    <w:basedOn w:val="Heading2"/>
    <w:next w:val="TOC2"/>
    <w:link w:val="UtilComHeading2Char"/>
    <w:rsid w:val="00A755D2"/>
    <w:pPr>
      <w:spacing w:before="240" w:after="120" w:line="360" w:lineRule="exact"/>
      <w:ind w:left="0"/>
    </w:pPr>
    <w:rPr>
      <w:sz w:val="28"/>
    </w:rPr>
  </w:style>
  <w:style w:type="character" w:customStyle="1" w:styleId="UtilComHeading2Char">
    <w:name w:val="UtilCom Heading 2 Char"/>
    <w:link w:val="UtilComHeading2"/>
    <w:rsid w:val="00A755D2"/>
    <w:rPr>
      <w:rFonts w:ascii="Arial" w:hAnsi="Arial"/>
      <w:b/>
      <w:sz w:val="28"/>
      <w:lang w:val="en-US" w:eastAsia="en-US" w:bidi="ar-SA"/>
    </w:rPr>
  </w:style>
  <w:style w:type="character" w:customStyle="1" w:styleId="UtilComChapterHeadingChar">
    <w:name w:val="UtilCom Chapter Heading Char"/>
    <w:link w:val="UtilComChapterHeading"/>
    <w:rsid w:val="00457A43"/>
    <w:rPr>
      <w:rFonts w:ascii="Arial" w:hAnsi="Arial"/>
      <w:b/>
      <w:sz w:val="32"/>
      <w:szCs w:val="28"/>
      <w:lang w:val="en-US" w:eastAsia="en-US" w:bidi="ar-SA"/>
    </w:rPr>
  </w:style>
  <w:style w:type="paragraph" w:customStyle="1" w:styleId="UtilComBodyText">
    <w:name w:val="UtilCom Body Text"/>
    <w:basedOn w:val="Normal"/>
    <w:rsid w:val="00FE79B4"/>
    <w:rPr>
      <w:rFonts w:cs="Arial"/>
      <w:szCs w:val="22"/>
    </w:rPr>
  </w:style>
  <w:style w:type="paragraph" w:customStyle="1" w:styleId="UtilComNumberedText">
    <w:name w:val="UtilCom Numbered Text"/>
    <w:basedOn w:val="Normal"/>
    <w:semiHidden/>
    <w:rsid w:val="00D17B03"/>
    <w:pPr>
      <w:numPr>
        <w:ilvl w:val="1"/>
        <w:numId w:val="6"/>
      </w:numPr>
      <w:tabs>
        <w:tab w:val="left" w:pos="993"/>
      </w:tabs>
      <w:spacing w:line="240" w:lineRule="auto"/>
    </w:pPr>
    <w:rPr>
      <w:rFonts w:cs="Arial"/>
      <w:szCs w:val="22"/>
    </w:rPr>
  </w:style>
  <w:style w:type="paragraph" w:customStyle="1" w:styleId="UtilComBulletText">
    <w:name w:val="UtilCom Bullet Text"/>
    <w:basedOn w:val="Normal"/>
    <w:link w:val="UtilComBulletTextChar"/>
    <w:rsid w:val="00F8644E"/>
    <w:pPr>
      <w:numPr>
        <w:numId w:val="3"/>
      </w:numPr>
      <w:tabs>
        <w:tab w:val="left" w:pos="1134"/>
      </w:tabs>
      <w:spacing w:line="240" w:lineRule="auto"/>
    </w:pPr>
    <w:rPr>
      <w:rFonts w:cs="Arial"/>
      <w:szCs w:val="22"/>
    </w:rPr>
  </w:style>
  <w:style w:type="paragraph" w:customStyle="1" w:styleId="UtilComHeading3">
    <w:name w:val="UtilCom Heading 3"/>
    <w:basedOn w:val="Heading3"/>
    <w:next w:val="TOC3"/>
    <w:link w:val="UtilComHeading3Char"/>
    <w:rsid w:val="00127A28"/>
    <w:pPr>
      <w:spacing w:after="60" w:line="320" w:lineRule="exact"/>
      <w:ind w:left="0"/>
    </w:pPr>
    <w:rPr>
      <w:sz w:val="24"/>
      <w:szCs w:val="24"/>
    </w:rPr>
  </w:style>
  <w:style w:type="paragraph" w:styleId="TOC9">
    <w:name w:val="toc 9"/>
    <w:basedOn w:val="Normal"/>
    <w:next w:val="Normal"/>
    <w:autoRedefine/>
    <w:semiHidden/>
    <w:rsid w:val="004C0CB0"/>
    <w:pPr>
      <w:ind w:left="1760"/>
    </w:pPr>
  </w:style>
  <w:style w:type="paragraph" w:customStyle="1" w:styleId="UtilComNumberItem2">
    <w:name w:val="UtilCom Number Item 2"/>
    <w:basedOn w:val="Normal"/>
    <w:semiHidden/>
    <w:rsid w:val="00A8381B"/>
    <w:pPr>
      <w:numPr>
        <w:ilvl w:val="1"/>
        <w:numId w:val="4"/>
      </w:numPr>
    </w:pPr>
  </w:style>
  <w:style w:type="paragraph" w:customStyle="1" w:styleId="UtilComTabletext">
    <w:name w:val="UtilCom Table text"/>
    <w:basedOn w:val="Normal"/>
    <w:rsid w:val="002F053A"/>
    <w:rPr>
      <w:rFonts w:cs="Arial"/>
      <w:sz w:val="18"/>
      <w:szCs w:val="18"/>
    </w:rPr>
  </w:style>
  <w:style w:type="paragraph" w:customStyle="1" w:styleId="UtilComTableNumbers">
    <w:name w:val="UtilCom Table Numbers"/>
    <w:basedOn w:val="Normal"/>
    <w:rsid w:val="002F053A"/>
    <w:pPr>
      <w:jc w:val="right"/>
    </w:pPr>
    <w:rPr>
      <w:rFonts w:cs="Arial"/>
      <w:sz w:val="18"/>
      <w:szCs w:val="18"/>
    </w:rPr>
  </w:style>
  <w:style w:type="paragraph" w:customStyle="1" w:styleId="UtilComNumbered">
    <w:name w:val="UtilCom Numbered"/>
    <w:basedOn w:val="UtilComNumberItem2"/>
    <w:semiHidden/>
    <w:rsid w:val="001D21E9"/>
    <w:pPr>
      <w:numPr>
        <w:ilvl w:val="0"/>
        <w:numId w:val="0"/>
      </w:numPr>
    </w:pPr>
  </w:style>
  <w:style w:type="paragraph" w:customStyle="1" w:styleId="31UtilComNumber">
    <w:name w:val="3.1 UtilCom Number"/>
    <w:basedOn w:val="UtilComNumberItem2"/>
    <w:semiHidden/>
    <w:rsid w:val="000B21F0"/>
    <w:pPr>
      <w:numPr>
        <w:numId w:val="5"/>
      </w:numPr>
    </w:pPr>
  </w:style>
  <w:style w:type="paragraph" w:customStyle="1" w:styleId="AppendixHeading">
    <w:name w:val="Appendix Heading"/>
    <w:basedOn w:val="ChapterBold"/>
    <w:rsid w:val="00A554E9"/>
    <w:pPr>
      <w:jc w:val="right"/>
      <w:outlineLvl w:val="0"/>
    </w:pPr>
  </w:style>
  <w:style w:type="paragraph" w:customStyle="1" w:styleId="NumberLevel1">
    <w:name w:val="Number Level 1"/>
    <w:basedOn w:val="Normal"/>
    <w:rsid w:val="00BA0D8C"/>
    <w:pPr>
      <w:spacing w:before="960" w:after="240" w:line="400" w:lineRule="exact"/>
    </w:pPr>
    <w:rPr>
      <w:b/>
      <w:caps/>
      <w:color w:val="808080"/>
      <w:sz w:val="36"/>
    </w:rPr>
  </w:style>
  <w:style w:type="paragraph" w:customStyle="1" w:styleId="NumberLevel2">
    <w:name w:val="Number Level 2"/>
    <w:basedOn w:val="Normal"/>
    <w:next w:val="Normal"/>
    <w:link w:val="NumberLevel2Char"/>
    <w:rsid w:val="00A041E2"/>
    <w:pPr>
      <w:outlineLvl w:val="3"/>
    </w:pPr>
  </w:style>
  <w:style w:type="paragraph" w:customStyle="1" w:styleId="NumberLevel3">
    <w:name w:val="Number Level 3"/>
    <w:basedOn w:val="NumberLevel2"/>
    <w:rsid w:val="00BA0D8C"/>
    <w:pPr>
      <w:numPr>
        <w:ilvl w:val="2"/>
      </w:numPr>
    </w:pPr>
  </w:style>
  <w:style w:type="paragraph" w:customStyle="1" w:styleId="UtilComLetterNumbering">
    <w:name w:val="UtilCom Letter Numbering"/>
    <w:basedOn w:val="Normal"/>
    <w:rsid w:val="00F8644E"/>
    <w:pPr>
      <w:numPr>
        <w:numId w:val="7"/>
      </w:numPr>
    </w:pPr>
  </w:style>
  <w:style w:type="paragraph" w:customStyle="1" w:styleId="UtilComHeading4">
    <w:name w:val="UtilCom Heading 4"/>
    <w:basedOn w:val="TOC4"/>
    <w:next w:val="TOC4"/>
    <w:rsid w:val="00FE79B4"/>
    <w:pPr>
      <w:tabs>
        <w:tab w:val="clear" w:pos="1200"/>
        <w:tab w:val="clear" w:pos="9062"/>
      </w:tabs>
      <w:spacing w:after="0" w:line="312" w:lineRule="auto"/>
      <w:ind w:left="0"/>
      <w:outlineLvl w:val="3"/>
    </w:pPr>
    <w:rPr>
      <w:i/>
      <w:noProof w:val="0"/>
      <w:sz w:val="22"/>
      <w:szCs w:val="22"/>
    </w:rPr>
  </w:style>
  <w:style w:type="paragraph" w:customStyle="1" w:styleId="UtilComQuotationText">
    <w:name w:val="UtilCom Quotation Text"/>
    <w:basedOn w:val="BlockQuotation"/>
    <w:rsid w:val="00FE79B4"/>
    <w:pPr>
      <w:spacing w:line="312" w:lineRule="auto"/>
      <w:ind w:left="567"/>
    </w:pPr>
    <w:rPr>
      <w:i/>
      <w:spacing w:val="0"/>
    </w:rPr>
  </w:style>
  <w:style w:type="paragraph" w:customStyle="1" w:styleId="UtiliComAppendixHeading">
    <w:name w:val="UtiliCom Appendix Heading"/>
    <w:basedOn w:val="ChapterBold"/>
    <w:autoRedefine/>
    <w:rsid w:val="000A5CA7"/>
    <w:pPr>
      <w:jc w:val="right"/>
      <w:outlineLvl w:val="0"/>
    </w:pPr>
    <w:rPr>
      <w:caps w:val="0"/>
    </w:rPr>
  </w:style>
  <w:style w:type="paragraph" w:styleId="CommentSubject">
    <w:name w:val="annotation subject"/>
    <w:basedOn w:val="CommentText"/>
    <w:next w:val="CommentText"/>
    <w:link w:val="CommentSubjectChar"/>
    <w:rsid w:val="00BD3D85"/>
    <w:pPr>
      <w:spacing w:line="240" w:lineRule="auto"/>
    </w:pPr>
    <w:rPr>
      <w:b/>
      <w:bCs/>
      <w:sz w:val="20"/>
    </w:rPr>
  </w:style>
  <w:style w:type="character" w:customStyle="1" w:styleId="CommentTextChar">
    <w:name w:val="Comment Text Char"/>
    <w:basedOn w:val="DefaultParagraphFont"/>
    <w:link w:val="CommentText"/>
    <w:uiPriority w:val="99"/>
    <w:semiHidden/>
    <w:rsid w:val="00BD3D85"/>
    <w:rPr>
      <w:rFonts w:ascii="Arial" w:hAnsi="Arial"/>
      <w:sz w:val="22"/>
      <w:lang w:eastAsia="en-US"/>
    </w:rPr>
  </w:style>
  <w:style w:type="character" w:customStyle="1" w:styleId="CommentSubjectChar">
    <w:name w:val="Comment Subject Char"/>
    <w:basedOn w:val="CommentTextChar"/>
    <w:link w:val="CommentSubject"/>
    <w:rsid w:val="00BD3D85"/>
    <w:rPr>
      <w:rFonts w:ascii="Arial" w:hAnsi="Arial"/>
      <w:b/>
      <w:bCs/>
      <w:sz w:val="22"/>
      <w:lang w:eastAsia="en-US"/>
    </w:rPr>
  </w:style>
  <w:style w:type="character" w:customStyle="1" w:styleId="FooterChar">
    <w:name w:val="Footer Char"/>
    <w:basedOn w:val="DefaultParagraphFont"/>
    <w:link w:val="Footer"/>
    <w:uiPriority w:val="99"/>
    <w:rsid w:val="00B81FA5"/>
    <w:rPr>
      <w:rFonts w:ascii="Arial" w:hAnsi="Arial"/>
      <w:sz w:val="18"/>
      <w:lang w:eastAsia="en-US"/>
    </w:rPr>
  </w:style>
  <w:style w:type="character" w:customStyle="1" w:styleId="UtilComReferenceSourceChar">
    <w:name w:val="UtilCom Reference/Source Char"/>
    <w:basedOn w:val="DefaultParagraphFont"/>
    <w:link w:val="UtilComReferenceSource"/>
    <w:rsid w:val="00401C4A"/>
    <w:rPr>
      <w:rFonts w:ascii="Arial" w:hAnsi="Arial"/>
      <w:sz w:val="18"/>
      <w:szCs w:val="18"/>
      <w:lang w:val="en-US" w:eastAsia="en-US"/>
    </w:rPr>
  </w:style>
  <w:style w:type="character" w:customStyle="1" w:styleId="UtilComBulletTextChar">
    <w:name w:val="UtilCom Bullet Text Char"/>
    <w:basedOn w:val="DefaultParagraphFont"/>
    <w:link w:val="UtilComBulletText"/>
    <w:rsid w:val="00401C4A"/>
    <w:rPr>
      <w:rFonts w:ascii="Arial" w:hAnsi="Arial" w:cs="Arial"/>
      <w:sz w:val="22"/>
      <w:szCs w:val="22"/>
      <w:lang w:eastAsia="en-US"/>
    </w:rPr>
  </w:style>
  <w:style w:type="character" w:customStyle="1" w:styleId="UtilComHeading3Char">
    <w:name w:val="UtilCom Heading 3 Char"/>
    <w:basedOn w:val="DefaultParagraphFont"/>
    <w:link w:val="UtilComHeading3"/>
    <w:rsid w:val="00401C4A"/>
    <w:rPr>
      <w:rFonts w:ascii="Arial" w:hAnsi="Arial"/>
      <w:b/>
      <w:sz w:val="24"/>
      <w:szCs w:val="24"/>
      <w:lang w:eastAsia="en-US"/>
    </w:rPr>
  </w:style>
  <w:style w:type="paragraph" w:styleId="ListParagraph">
    <w:name w:val="List Paragraph"/>
    <w:basedOn w:val="Normal"/>
    <w:uiPriority w:val="34"/>
    <w:qFormat/>
    <w:rsid w:val="00401C4A"/>
    <w:pPr>
      <w:ind w:left="720"/>
      <w:contextualSpacing/>
    </w:pPr>
    <w:rPr>
      <w:lang w:val="en-US"/>
    </w:rPr>
  </w:style>
  <w:style w:type="paragraph" w:customStyle="1" w:styleId="GuidelineTableColumnHeading">
    <w:name w:val="Guideline_Table Column Heading"/>
    <w:basedOn w:val="Normal"/>
    <w:rsid w:val="00401C4A"/>
    <w:pPr>
      <w:keepNext/>
      <w:suppressAutoHyphens/>
      <w:autoSpaceDE w:val="0"/>
      <w:autoSpaceDN w:val="0"/>
      <w:adjustRightInd w:val="0"/>
      <w:spacing w:line="240" w:lineRule="atLeast"/>
      <w:textAlignment w:val="center"/>
    </w:pPr>
    <w:rPr>
      <w:rFonts w:eastAsia="Calibri" w:cs="Arial"/>
      <w:b/>
      <w:bCs/>
      <w:caps/>
      <w:szCs w:val="22"/>
    </w:rPr>
  </w:style>
  <w:style w:type="paragraph" w:customStyle="1" w:styleId="GuidelineTableColumnText">
    <w:name w:val="Guideline_Table Column Text"/>
    <w:basedOn w:val="Normal"/>
    <w:qFormat/>
    <w:rsid w:val="00401C4A"/>
    <w:pPr>
      <w:suppressAutoHyphens/>
      <w:autoSpaceDE w:val="0"/>
      <w:autoSpaceDN w:val="0"/>
      <w:adjustRightInd w:val="0"/>
      <w:spacing w:before="0" w:after="0" w:line="240" w:lineRule="atLeast"/>
      <w:textAlignment w:val="center"/>
    </w:pPr>
    <w:rPr>
      <w:rFonts w:ascii="Calibri" w:eastAsia="Calibri" w:hAnsi="Calibri" w:cs="Calibri"/>
    </w:rPr>
  </w:style>
  <w:style w:type="paragraph" w:customStyle="1" w:styleId="GuidelineTableBullet">
    <w:name w:val="Guideline_Table_Bullet"/>
    <w:basedOn w:val="GuidelineTableColumnText"/>
    <w:uiPriority w:val="1"/>
    <w:qFormat/>
    <w:rsid w:val="00401C4A"/>
    <w:pPr>
      <w:numPr>
        <w:numId w:val="8"/>
      </w:numPr>
      <w:tabs>
        <w:tab w:val="num" w:pos="450"/>
      </w:tabs>
      <w:ind w:left="548" w:hanging="450"/>
    </w:pPr>
  </w:style>
  <w:style w:type="character" w:styleId="Strong">
    <w:name w:val="Strong"/>
    <w:basedOn w:val="DefaultParagraphFont"/>
    <w:qFormat/>
    <w:rsid w:val="00401C4A"/>
    <w:rPr>
      <w:b/>
      <w:bCs/>
    </w:rPr>
  </w:style>
  <w:style w:type="paragraph" w:customStyle="1" w:styleId="GuidelineTabledash">
    <w:name w:val="Guideline Table dash"/>
    <w:basedOn w:val="GuidelineTableBullet"/>
    <w:qFormat/>
    <w:rsid w:val="00401C4A"/>
    <w:pPr>
      <w:numPr>
        <w:ilvl w:val="1"/>
        <w:numId w:val="9"/>
      </w:numPr>
      <w:ind w:left="924" w:hanging="357"/>
    </w:pPr>
    <w:rPr>
      <w:rFonts w:ascii="Arial" w:hAnsi="Arial" w:cs="Arial"/>
      <w:szCs w:val="22"/>
    </w:rPr>
  </w:style>
  <w:style w:type="paragraph" w:customStyle="1" w:styleId="Default">
    <w:name w:val="Default"/>
    <w:rsid w:val="0014299B"/>
    <w:pPr>
      <w:autoSpaceDE w:val="0"/>
      <w:autoSpaceDN w:val="0"/>
      <w:adjustRightInd w:val="0"/>
    </w:pPr>
    <w:rPr>
      <w:rFonts w:ascii="Arial" w:hAnsi="Arial" w:cs="Arial"/>
      <w:color w:val="000000"/>
      <w:sz w:val="24"/>
      <w:szCs w:val="24"/>
    </w:rPr>
  </w:style>
  <w:style w:type="character" w:customStyle="1" w:styleId="NumberLevel2Char">
    <w:name w:val="Number Level 2 Char"/>
    <w:basedOn w:val="DefaultParagraphFont"/>
    <w:link w:val="NumberLevel2"/>
    <w:rsid w:val="00A52B16"/>
    <w:rPr>
      <w:rFonts w:ascii="Arial" w:hAnsi="Arial"/>
      <w:sz w:val="22"/>
      <w:lang w:eastAsia="en-US"/>
    </w:rPr>
  </w:style>
  <w:style w:type="paragraph" w:customStyle="1" w:styleId="UCTOC1">
    <w:name w:val="UC TOC1"/>
    <w:basedOn w:val="UtilComHeading2"/>
    <w:link w:val="UCTOC1Char"/>
    <w:qFormat/>
    <w:rsid w:val="00302A92"/>
    <w:pPr>
      <w:keepNext w:val="0"/>
      <w:spacing w:before="120" w:line="290" w:lineRule="atLeast"/>
      <w:outlineLvl w:val="9"/>
    </w:pPr>
    <w:rPr>
      <w:sz w:val="32"/>
      <w:szCs w:val="32"/>
      <w:lang w:val="en-US"/>
    </w:rPr>
  </w:style>
  <w:style w:type="character" w:customStyle="1" w:styleId="UCTOC1Char">
    <w:name w:val="UC TOC1 Char"/>
    <w:basedOn w:val="UtilComHeading2Char"/>
    <w:link w:val="UCTOC1"/>
    <w:rsid w:val="00302A92"/>
    <w:rPr>
      <w:rFonts w:ascii="Arial" w:hAnsi="Arial"/>
      <w:b/>
      <w:sz w:val="32"/>
      <w:szCs w:val="32"/>
      <w:lang w:val="en-US" w:eastAsia="en-US" w:bidi="ar-SA"/>
    </w:rPr>
  </w:style>
  <w:style w:type="character" w:customStyle="1" w:styleId="HeaderChar">
    <w:name w:val="Header Char"/>
    <w:basedOn w:val="DefaultParagraphFont"/>
    <w:link w:val="Header"/>
    <w:uiPriority w:val="99"/>
    <w:rsid w:val="00B57FA7"/>
    <w:rPr>
      <w:rFonts w:ascii="Arial" w:hAnsi="Arial"/>
      <w:sz w:val="22"/>
      <w:lang w:eastAsia="en-US"/>
    </w:rPr>
  </w:style>
  <w:style w:type="paragraph" w:customStyle="1" w:styleId="MGBulletText">
    <w:name w:val="MG Bullet Text"/>
    <w:basedOn w:val="Normal"/>
    <w:autoRedefine/>
    <w:uiPriority w:val="99"/>
    <w:rsid w:val="00B57FA7"/>
    <w:pPr>
      <w:numPr>
        <w:numId w:val="15"/>
      </w:numPr>
      <w:tabs>
        <w:tab w:val="left" w:pos="1304"/>
      </w:tabs>
      <w:suppressAutoHyphens/>
      <w:autoSpaceDE w:val="0"/>
      <w:autoSpaceDN w:val="0"/>
      <w:adjustRightInd w:val="0"/>
      <w:spacing w:before="0" w:after="57" w:line="300" w:lineRule="atLeast"/>
      <w:ind w:left="1701" w:hanging="283"/>
      <w:textAlignment w:val="center"/>
    </w:pPr>
    <w:rPr>
      <w:rFonts w:eastAsiaTheme="minorHAnsi" w:cs="Arial MT Std Light"/>
      <w:color w:val="000000"/>
      <w:szCs w:val="22"/>
    </w:rPr>
  </w:style>
  <w:style w:type="paragraph" w:styleId="Revision">
    <w:name w:val="Revision"/>
    <w:hidden/>
    <w:uiPriority w:val="99"/>
    <w:semiHidden/>
    <w:rsid w:val="00FD648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utilities.commission@nt.gov.a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utilicom.nt.gov.au/PMS/Publications/UC-LIC-PWC-NET.pdf" TargetMode="External"/><Relationship Id="rId2" Type="http://schemas.openxmlformats.org/officeDocument/2006/relationships/hyperlink" Target="http://www.utilicom.nt.gov.au/PMS/Publications/UC-LIC-PWC-NET.pdf" TargetMode="External"/><Relationship Id="rId1" Type="http://schemas.openxmlformats.org/officeDocument/2006/relationships/hyperlink" Target="http://www.utilicom.nt.gov.au/PMS/Publications/UC-COM-REP-GDL-0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 xsi:nil="true"/>
    <Main_x0020_Category xmlns="4d0431e8-3aad-4d02-84b7-fecd7c8a0e22">3</Main_x0020_Category>
    <Sub_x0020_Sub_x0020_Category xmlns="4d0431e8-3aad-4d02-84b7-fecd7c8a0e22" xsi:nil="true"/>
    <Date_x0020_Approved xmlns="4d0431e8-3aad-4d02-84b7-fecd7c8a0e22">2017-02-13T14:30:00+00:00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Props1.xml><?xml version="1.0" encoding="utf-8"?>
<ds:datastoreItem xmlns:ds="http://schemas.openxmlformats.org/officeDocument/2006/customXml" ds:itemID="{61D6DF83-02EA-4210-9530-B2F931428F97}"/>
</file>

<file path=customXml/itemProps2.xml><?xml version="1.0" encoding="utf-8"?>
<ds:datastoreItem xmlns:ds="http://schemas.openxmlformats.org/officeDocument/2006/customXml" ds:itemID="{EB751FD0-6919-41B8-A7D5-463A66677FD5}"/>
</file>

<file path=customXml/itemProps3.xml><?xml version="1.0" encoding="utf-8"?>
<ds:datastoreItem xmlns:ds="http://schemas.openxmlformats.org/officeDocument/2006/customXml" ds:itemID="{EC6EC0C7-8C05-4F17-9FCE-C5357451929A}"/>
</file>

<file path=customXml/itemProps4.xml><?xml version="1.0" encoding="utf-8"?>
<ds:datastoreItem xmlns:ds="http://schemas.openxmlformats.org/officeDocument/2006/customXml" ds:itemID="{E6AFF2B2-37EE-4321-AB16-11C418BDB5B6}"/>
</file>

<file path=docProps/app.xml><?xml version="1.0" encoding="utf-8"?>
<Properties xmlns="http://schemas.openxmlformats.org/officeDocument/2006/extended-properties" xmlns:vt="http://schemas.openxmlformats.org/officeDocument/2006/docPropsVTypes">
  <Template>Normal</Template>
  <TotalTime>0</TotalTime>
  <Pages>14</Pages>
  <Words>3037</Words>
  <Characters>18224</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21219</CharactersWithSpaces>
  <SharedDoc>false</SharedDoc>
  <HLinks>
    <vt:vector size="300" baseType="variant">
      <vt:variant>
        <vt:i4>3276826</vt:i4>
      </vt:variant>
      <vt:variant>
        <vt:i4>297</vt:i4>
      </vt:variant>
      <vt:variant>
        <vt:i4>0</vt:i4>
      </vt:variant>
      <vt:variant>
        <vt:i4>5</vt:i4>
      </vt:variant>
      <vt:variant>
        <vt:lpwstr>mailto:utilities.commission@nt.gov.au</vt:lpwstr>
      </vt:variant>
      <vt:variant>
        <vt:lpwstr/>
      </vt:variant>
      <vt:variant>
        <vt:i4>1114167</vt:i4>
      </vt:variant>
      <vt:variant>
        <vt:i4>290</vt:i4>
      </vt:variant>
      <vt:variant>
        <vt:i4>0</vt:i4>
      </vt:variant>
      <vt:variant>
        <vt:i4>5</vt:i4>
      </vt:variant>
      <vt:variant>
        <vt:lpwstr/>
      </vt:variant>
      <vt:variant>
        <vt:lpwstr>_Toc252365159</vt:lpwstr>
      </vt:variant>
      <vt:variant>
        <vt:i4>1114167</vt:i4>
      </vt:variant>
      <vt:variant>
        <vt:i4>284</vt:i4>
      </vt:variant>
      <vt:variant>
        <vt:i4>0</vt:i4>
      </vt:variant>
      <vt:variant>
        <vt:i4>5</vt:i4>
      </vt:variant>
      <vt:variant>
        <vt:lpwstr/>
      </vt:variant>
      <vt:variant>
        <vt:lpwstr>_Toc252365158</vt:lpwstr>
      </vt:variant>
      <vt:variant>
        <vt:i4>1114167</vt:i4>
      </vt:variant>
      <vt:variant>
        <vt:i4>278</vt:i4>
      </vt:variant>
      <vt:variant>
        <vt:i4>0</vt:i4>
      </vt:variant>
      <vt:variant>
        <vt:i4>5</vt:i4>
      </vt:variant>
      <vt:variant>
        <vt:lpwstr/>
      </vt:variant>
      <vt:variant>
        <vt:lpwstr>_Toc252365157</vt:lpwstr>
      </vt:variant>
      <vt:variant>
        <vt:i4>1114167</vt:i4>
      </vt:variant>
      <vt:variant>
        <vt:i4>272</vt:i4>
      </vt:variant>
      <vt:variant>
        <vt:i4>0</vt:i4>
      </vt:variant>
      <vt:variant>
        <vt:i4>5</vt:i4>
      </vt:variant>
      <vt:variant>
        <vt:lpwstr/>
      </vt:variant>
      <vt:variant>
        <vt:lpwstr>_Toc252365156</vt:lpwstr>
      </vt:variant>
      <vt:variant>
        <vt:i4>1114167</vt:i4>
      </vt:variant>
      <vt:variant>
        <vt:i4>266</vt:i4>
      </vt:variant>
      <vt:variant>
        <vt:i4>0</vt:i4>
      </vt:variant>
      <vt:variant>
        <vt:i4>5</vt:i4>
      </vt:variant>
      <vt:variant>
        <vt:lpwstr/>
      </vt:variant>
      <vt:variant>
        <vt:lpwstr>_Toc252365155</vt:lpwstr>
      </vt:variant>
      <vt:variant>
        <vt:i4>1114167</vt:i4>
      </vt:variant>
      <vt:variant>
        <vt:i4>260</vt:i4>
      </vt:variant>
      <vt:variant>
        <vt:i4>0</vt:i4>
      </vt:variant>
      <vt:variant>
        <vt:i4>5</vt:i4>
      </vt:variant>
      <vt:variant>
        <vt:lpwstr/>
      </vt:variant>
      <vt:variant>
        <vt:lpwstr>_Toc252365154</vt:lpwstr>
      </vt:variant>
      <vt:variant>
        <vt:i4>1114167</vt:i4>
      </vt:variant>
      <vt:variant>
        <vt:i4>254</vt:i4>
      </vt:variant>
      <vt:variant>
        <vt:i4>0</vt:i4>
      </vt:variant>
      <vt:variant>
        <vt:i4>5</vt:i4>
      </vt:variant>
      <vt:variant>
        <vt:lpwstr/>
      </vt:variant>
      <vt:variant>
        <vt:lpwstr>_Toc252365153</vt:lpwstr>
      </vt:variant>
      <vt:variant>
        <vt:i4>1114167</vt:i4>
      </vt:variant>
      <vt:variant>
        <vt:i4>248</vt:i4>
      </vt:variant>
      <vt:variant>
        <vt:i4>0</vt:i4>
      </vt:variant>
      <vt:variant>
        <vt:i4>5</vt:i4>
      </vt:variant>
      <vt:variant>
        <vt:lpwstr/>
      </vt:variant>
      <vt:variant>
        <vt:lpwstr>_Toc252365152</vt:lpwstr>
      </vt:variant>
      <vt:variant>
        <vt:i4>1114167</vt:i4>
      </vt:variant>
      <vt:variant>
        <vt:i4>242</vt:i4>
      </vt:variant>
      <vt:variant>
        <vt:i4>0</vt:i4>
      </vt:variant>
      <vt:variant>
        <vt:i4>5</vt:i4>
      </vt:variant>
      <vt:variant>
        <vt:lpwstr/>
      </vt:variant>
      <vt:variant>
        <vt:lpwstr>_Toc252365151</vt:lpwstr>
      </vt:variant>
      <vt:variant>
        <vt:i4>1114167</vt:i4>
      </vt:variant>
      <vt:variant>
        <vt:i4>236</vt:i4>
      </vt:variant>
      <vt:variant>
        <vt:i4>0</vt:i4>
      </vt:variant>
      <vt:variant>
        <vt:i4>5</vt:i4>
      </vt:variant>
      <vt:variant>
        <vt:lpwstr/>
      </vt:variant>
      <vt:variant>
        <vt:lpwstr>_Toc252365150</vt:lpwstr>
      </vt:variant>
      <vt:variant>
        <vt:i4>1048631</vt:i4>
      </vt:variant>
      <vt:variant>
        <vt:i4>230</vt:i4>
      </vt:variant>
      <vt:variant>
        <vt:i4>0</vt:i4>
      </vt:variant>
      <vt:variant>
        <vt:i4>5</vt:i4>
      </vt:variant>
      <vt:variant>
        <vt:lpwstr/>
      </vt:variant>
      <vt:variant>
        <vt:lpwstr>_Toc252365149</vt:lpwstr>
      </vt:variant>
      <vt:variant>
        <vt:i4>1048631</vt:i4>
      </vt:variant>
      <vt:variant>
        <vt:i4>224</vt:i4>
      </vt:variant>
      <vt:variant>
        <vt:i4>0</vt:i4>
      </vt:variant>
      <vt:variant>
        <vt:i4>5</vt:i4>
      </vt:variant>
      <vt:variant>
        <vt:lpwstr/>
      </vt:variant>
      <vt:variant>
        <vt:lpwstr>_Toc252365148</vt:lpwstr>
      </vt:variant>
      <vt:variant>
        <vt:i4>1048631</vt:i4>
      </vt:variant>
      <vt:variant>
        <vt:i4>218</vt:i4>
      </vt:variant>
      <vt:variant>
        <vt:i4>0</vt:i4>
      </vt:variant>
      <vt:variant>
        <vt:i4>5</vt:i4>
      </vt:variant>
      <vt:variant>
        <vt:lpwstr/>
      </vt:variant>
      <vt:variant>
        <vt:lpwstr>_Toc252365147</vt:lpwstr>
      </vt:variant>
      <vt:variant>
        <vt:i4>1048631</vt:i4>
      </vt:variant>
      <vt:variant>
        <vt:i4>212</vt:i4>
      </vt:variant>
      <vt:variant>
        <vt:i4>0</vt:i4>
      </vt:variant>
      <vt:variant>
        <vt:i4>5</vt:i4>
      </vt:variant>
      <vt:variant>
        <vt:lpwstr/>
      </vt:variant>
      <vt:variant>
        <vt:lpwstr>_Toc252365146</vt:lpwstr>
      </vt:variant>
      <vt:variant>
        <vt:i4>1048631</vt:i4>
      </vt:variant>
      <vt:variant>
        <vt:i4>206</vt:i4>
      </vt:variant>
      <vt:variant>
        <vt:i4>0</vt:i4>
      </vt:variant>
      <vt:variant>
        <vt:i4>5</vt:i4>
      </vt:variant>
      <vt:variant>
        <vt:lpwstr/>
      </vt:variant>
      <vt:variant>
        <vt:lpwstr>_Toc252365145</vt:lpwstr>
      </vt:variant>
      <vt:variant>
        <vt:i4>1048631</vt:i4>
      </vt:variant>
      <vt:variant>
        <vt:i4>200</vt:i4>
      </vt:variant>
      <vt:variant>
        <vt:i4>0</vt:i4>
      </vt:variant>
      <vt:variant>
        <vt:i4>5</vt:i4>
      </vt:variant>
      <vt:variant>
        <vt:lpwstr/>
      </vt:variant>
      <vt:variant>
        <vt:lpwstr>_Toc252365144</vt:lpwstr>
      </vt:variant>
      <vt:variant>
        <vt:i4>1048631</vt:i4>
      </vt:variant>
      <vt:variant>
        <vt:i4>194</vt:i4>
      </vt:variant>
      <vt:variant>
        <vt:i4>0</vt:i4>
      </vt:variant>
      <vt:variant>
        <vt:i4>5</vt:i4>
      </vt:variant>
      <vt:variant>
        <vt:lpwstr/>
      </vt:variant>
      <vt:variant>
        <vt:lpwstr>_Toc252365143</vt:lpwstr>
      </vt:variant>
      <vt:variant>
        <vt:i4>1048631</vt:i4>
      </vt:variant>
      <vt:variant>
        <vt:i4>188</vt:i4>
      </vt:variant>
      <vt:variant>
        <vt:i4>0</vt:i4>
      </vt:variant>
      <vt:variant>
        <vt:i4>5</vt:i4>
      </vt:variant>
      <vt:variant>
        <vt:lpwstr/>
      </vt:variant>
      <vt:variant>
        <vt:lpwstr>_Toc252365142</vt:lpwstr>
      </vt:variant>
      <vt:variant>
        <vt:i4>1048631</vt:i4>
      </vt:variant>
      <vt:variant>
        <vt:i4>182</vt:i4>
      </vt:variant>
      <vt:variant>
        <vt:i4>0</vt:i4>
      </vt:variant>
      <vt:variant>
        <vt:i4>5</vt:i4>
      </vt:variant>
      <vt:variant>
        <vt:lpwstr/>
      </vt:variant>
      <vt:variant>
        <vt:lpwstr>_Toc252365141</vt:lpwstr>
      </vt:variant>
      <vt:variant>
        <vt:i4>1048631</vt:i4>
      </vt:variant>
      <vt:variant>
        <vt:i4>176</vt:i4>
      </vt:variant>
      <vt:variant>
        <vt:i4>0</vt:i4>
      </vt:variant>
      <vt:variant>
        <vt:i4>5</vt:i4>
      </vt:variant>
      <vt:variant>
        <vt:lpwstr/>
      </vt:variant>
      <vt:variant>
        <vt:lpwstr>_Toc252365140</vt:lpwstr>
      </vt:variant>
      <vt:variant>
        <vt:i4>1507383</vt:i4>
      </vt:variant>
      <vt:variant>
        <vt:i4>170</vt:i4>
      </vt:variant>
      <vt:variant>
        <vt:i4>0</vt:i4>
      </vt:variant>
      <vt:variant>
        <vt:i4>5</vt:i4>
      </vt:variant>
      <vt:variant>
        <vt:lpwstr/>
      </vt:variant>
      <vt:variant>
        <vt:lpwstr>_Toc252365139</vt:lpwstr>
      </vt:variant>
      <vt:variant>
        <vt:i4>1507383</vt:i4>
      </vt:variant>
      <vt:variant>
        <vt:i4>164</vt:i4>
      </vt:variant>
      <vt:variant>
        <vt:i4>0</vt:i4>
      </vt:variant>
      <vt:variant>
        <vt:i4>5</vt:i4>
      </vt:variant>
      <vt:variant>
        <vt:lpwstr/>
      </vt:variant>
      <vt:variant>
        <vt:lpwstr>_Toc252365138</vt:lpwstr>
      </vt:variant>
      <vt:variant>
        <vt:i4>1507383</vt:i4>
      </vt:variant>
      <vt:variant>
        <vt:i4>158</vt:i4>
      </vt:variant>
      <vt:variant>
        <vt:i4>0</vt:i4>
      </vt:variant>
      <vt:variant>
        <vt:i4>5</vt:i4>
      </vt:variant>
      <vt:variant>
        <vt:lpwstr/>
      </vt:variant>
      <vt:variant>
        <vt:lpwstr>_Toc252365137</vt:lpwstr>
      </vt:variant>
      <vt:variant>
        <vt:i4>1507383</vt:i4>
      </vt:variant>
      <vt:variant>
        <vt:i4>152</vt:i4>
      </vt:variant>
      <vt:variant>
        <vt:i4>0</vt:i4>
      </vt:variant>
      <vt:variant>
        <vt:i4>5</vt:i4>
      </vt:variant>
      <vt:variant>
        <vt:lpwstr/>
      </vt:variant>
      <vt:variant>
        <vt:lpwstr>_Toc252365136</vt:lpwstr>
      </vt:variant>
      <vt:variant>
        <vt:i4>1507383</vt:i4>
      </vt:variant>
      <vt:variant>
        <vt:i4>146</vt:i4>
      </vt:variant>
      <vt:variant>
        <vt:i4>0</vt:i4>
      </vt:variant>
      <vt:variant>
        <vt:i4>5</vt:i4>
      </vt:variant>
      <vt:variant>
        <vt:lpwstr/>
      </vt:variant>
      <vt:variant>
        <vt:lpwstr>_Toc252365135</vt:lpwstr>
      </vt:variant>
      <vt:variant>
        <vt:i4>1507383</vt:i4>
      </vt:variant>
      <vt:variant>
        <vt:i4>140</vt:i4>
      </vt:variant>
      <vt:variant>
        <vt:i4>0</vt:i4>
      </vt:variant>
      <vt:variant>
        <vt:i4>5</vt:i4>
      </vt:variant>
      <vt:variant>
        <vt:lpwstr/>
      </vt:variant>
      <vt:variant>
        <vt:lpwstr>_Toc252365134</vt:lpwstr>
      </vt:variant>
      <vt:variant>
        <vt:i4>1507383</vt:i4>
      </vt:variant>
      <vt:variant>
        <vt:i4>134</vt:i4>
      </vt:variant>
      <vt:variant>
        <vt:i4>0</vt:i4>
      </vt:variant>
      <vt:variant>
        <vt:i4>5</vt:i4>
      </vt:variant>
      <vt:variant>
        <vt:lpwstr/>
      </vt:variant>
      <vt:variant>
        <vt:lpwstr>_Toc252365133</vt:lpwstr>
      </vt:variant>
      <vt:variant>
        <vt:i4>1507383</vt:i4>
      </vt:variant>
      <vt:variant>
        <vt:i4>128</vt:i4>
      </vt:variant>
      <vt:variant>
        <vt:i4>0</vt:i4>
      </vt:variant>
      <vt:variant>
        <vt:i4>5</vt:i4>
      </vt:variant>
      <vt:variant>
        <vt:lpwstr/>
      </vt:variant>
      <vt:variant>
        <vt:lpwstr>_Toc252365132</vt:lpwstr>
      </vt:variant>
      <vt:variant>
        <vt:i4>1507383</vt:i4>
      </vt:variant>
      <vt:variant>
        <vt:i4>122</vt:i4>
      </vt:variant>
      <vt:variant>
        <vt:i4>0</vt:i4>
      </vt:variant>
      <vt:variant>
        <vt:i4>5</vt:i4>
      </vt:variant>
      <vt:variant>
        <vt:lpwstr/>
      </vt:variant>
      <vt:variant>
        <vt:lpwstr>_Toc252365131</vt:lpwstr>
      </vt:variant>
      <vt:variant>
        <vt:i4>1507383</vt:i4>
      </vt:variant>
      <vt:variant>
        <vt:i4>116</vt:i4>
      </vt:variant>
      <vt:variant>
        <vt:i4>0</vt:i4>
      </vt:variant>
      <vt:variant>
        <vt:i4>5</vt:i4>
      </vt:variant>
      <vt:variant>
        <vt:lpwstr/>
      </vt:variant>
      <vt:variant>
        <vt:lpwstr>_Toc252365130</vt:lpwstr>
      </vt:variant>
      <vt:variant>
        <vt:i4>1441847</vt:i4>
      </vt:variant>
      <vt:variant>
        <vt:i4>110</vt:i4>
      </vt:variant>
      <vt:variant>
        <vt:i4>0</vt:i4>
      </vt:variant>
      <vt:variant>
        <vt:i4>5</vt:i4>
      </vt:variant>
      <vt:variant>
        <vt:lpwstr/>
      </vt:variant>
      <vt:variant>
        <vt:lpwstr>_Toc252365129</vt:lpwstr>
      </vt:variant>
      <vt:variant>
        <vt:i4>1441847</vt:i4>
      </vt:variant>
      <vt:variant>
        <vt:i4>104</vt:i4>
      </vt:variant>
      <vt:variant>
        <vt:i4>0</vt:i4>
      </vt:variant>
      <vt:variant>
        <vt:i4>5</vt:i4>
      </vt:variant>
      <vt:variant>
        <vt:lpwstr/>
      </vt:variant>
      <vt:variant>
        <vt:lpwstr>_Toc252365128</vt:lpwstr>
      </vt:variant>
      <vt:variant>
        <vt:i4>1441847</vt:i4>
      </vt:variant>
      <vt:variant>
        <vt:i4>98</vt:i4>
      </vt:variant>
      <vt:variant>
        <vt:i4>0</vt:i4>
      </vt:variant>
      <vt:variant>
        <vt:i4>5</vt:i4>
      </vt:variant>
      <vt:variant>
        <vt:lpwstr/>
      </vt:variant>
      <vt:variant>
        <vt:lpwstr>_Toc252365127</vt:lpwstr>
      </vt:variant>
      <vt:variant>
        <vt:i4>1441847</vt:i4>
      </vt:variant>
      <vt:variant>
        <vt:i4>92</vt:i4>
      </vt:variant>
      <vt:variant>
        <vt:i4>0</vt:i4>
      </vt:variant>
      <vt:variant>
        <vt:i4>5</vt:i4>
      </vt:variant>
      <vt:variant>
        <vt:lpwstr/>
      </vt:variant>
      <vt:variant>
        <vt:lpwstr>_Toc252365126</vt:lpwstr>
      </vt:variant>
      <vt:variant>
        <vt:i4>1441847</vt:i4>
      </vt:variant>
      <vt:variant>
        <vt:i4>86</vt:i4>
      </vt:variant>
      <vt:variant>
        <vt:i4>0</vt:i4>
      </vt:variant>
      <vt:variant>
        <vt:i4>5</vt:i4>
      </vt:variant>
      <vt:variant>
        <vt:lpwstr/>
      </vt:variant>
      <vt:variant>
        <vt:lpwstr>_Toc252365125</vt:lpwstr>
      </vt:variant>
      <vt:variant>
        <vt:i4>1441847</vt:i4>
      </vt:variant>
      <vt:variant>
        <vt:i4>80</vt:i4>
      </vt:variant>
      <vt:variant>
        <vt:i4>0</vt:i4>
      </vt:variant>
      <vt:variant>
        <vt:i4>5</vt:i4>
      </vt:variant>
      <vt:variant>
        <vt:lpwstr/>
      </vt:variant>
      <vt:variant>
        <vt:lpwstr>_Toc252365124</vt:lpwstr>
      </vt:variant>
      <vt:variant>
        <vt:i4>1441847</vt:i4>
      </vt:variant>
      <vt:variant>
        <vt:i4>74</vt:i4>
      </vt:variant>
      <vt:variant>
        <vt:i4>0</vt:i4>
      </vt:variant>
      <vt:variant>
        <vt:i4>5</vt:i4>
      </vt:variant>
      <vt:variant>
        <vt:lpwstr/>
      </vt:variant>
      <vt:variant>
        <vt:lpwstr>_Toc252365123</vt:lpwstr>
      </vt:variant>
      <vt:variant>
        <vt:i4>1441847</vt:i4>
      </vt:variant>
      <vt:variant>
        <vt:i4>68</vt:i4>
      </vt:variant>
      <vt:variant>
        <vt:i4>0</vt:i4>
      </vt:variant>
      <vt:variant>
        <vt:i4>5</vt:i4>
      </vt:variant>
      <vt:variant>
        <vt:lpwstr/>
      </vt:variant>
      <vt:variant>
        <vt:lpwstr>_Toc252365122</vt:lpwstr>
      </vt:variant>
      <vt:variant>
        <vt:i4>1441847</vt:i4>
      </vt:variant>
      <vt:variant>
        <vt:i4>62</vt:i4>
      </vt:variant>
      <vt:variant>
        <vt:i4>0</vt:i4>
      </vt:variant>
      <vt:variant>
        <vt:i4>5</vt:i4>
      </vt:variant>
      <vt:variant>
        <vt:lpwstr/>
      </vt:variant>
      <vt:variant>
        <vt:lpwstr>_Toc252365121</vt:lpwstr>
      </vt:variant>
      <vt:variant>
        <vt:i4>1441847</vt:i4>
      </vt:variant>
      <vt:variant>
        <vt:i4>56</vt:i4>
      </vt:variant>
      <vt:variant>
        <vt:i4>0</vt:i4>
      </vt:variant>
      <vt:variant>
        <vt:i4>5</vt:i4>
      </vt:variant>
      <vt:variant>
        <vt:lpwstr/>
      </vt:variant>
      <vt:variant>
        <vt:lpwstr>_Toc252365120</vt:lpwstr>
      </vt:variant>
      <vt:variant>
        <vt:i4>1376311</vt:i4>
      </vt:variant>
      <vt:variant>
        <vt:i4>50</vt:i4>
      </vt:variant>
      <vt:variant>
        <vt:i4>0</vt:i4>
      </vt:variant>
      <vt:variant>
        <vt:i4>5</vt:i4>
      </vt:variant>
      <vt:variant>
        <vt:lpwstr/>
      </vt:variant>
      <vt:variant>
        <vt:lpwstr>_Toc252365119</vt:lpwstr>
      </vt:variant>
      <vt:variant>
        <vt:i4>1376311</vt:i4>
      </vt:variant>
      <vt:variant>
        <vt:i4>44</vt:i4>
      </vt:variant>
      <vt:variant>
        <vt:i4>0</vt:i4>
      </vt:variant>
      <vt:variant>
        <vt:i4>5</vt:i4>
      </vt:variant>
      <vt:variant>
        <vt:lpwstr/>
      </vt:variant>
      <vt:variant>
        <vt:lpwstr>_Toc252365118</vt:lpwstr>
      </vt:variant>
      <vt:variant>
        <vt:i4>1376311</vt:i4>
      </vt:variant>
      <vt:variant>
        <vt:i4>38</vt:i4>
      </vt:variant>
      <vt:variant>
        <vt:i4>0</vt:i4>
      </vt:variant>
      <vt:variant>
        <vt:i4>5</vt:i4>
      </vt:variant>
      <vt:variant>
        <vt:lpwstr/>
      </vt:variant>
      <vt:variant>
        <vt:lpwstr>_Toc252365117</vt:lpwstr>
      </vt:variant>
      <vt:variant>
        <vt:i4>1376311</vt:i4>
      </vt:variant>
      <vt:variant>
        <vt:i4>32</vt:i4>
      </vt:variant>
      <vt:variant>
        <vt:i4>0</vt:i4>
      </vt:variant>
      <vt:variant>
        <vt:i4>5</vt:i4>
      </vt:variant>
      <vt:variant>
        <vt:lpwstr/>
      </vt:variant>
      <vt:variant>
        <vt:lpwstr>_Toc252365116</vt:lpwstr>
      </vt:variant>
      <vt:variant>
        <vt:i4>1376311</vt:i4>
      </vt:variant>
      <vt:variant>
        <vt:i4>26</vt:i4>
      </vt:variant>
      <vt:variant>
        <vt:i4>0</vt:i4>
      </vt:variant>
      <vt:variant>
        <vt:i4>5</vt:i4>
      </vt:variant>
      <vt:variant>
        <vt:lpwstr/>
      </vt:variant>
      <vt:variant>
        <vt:lpwstr>_Toc252365115</vt:lpwstr>
      </vt:variant>
      <vt:variant>
        <vt:i4>1376311</vt:i4>
      </vt:variant>
      <vt:variant>
        <vt:i4>20</vt:i4>
      </vt:variant>
      <vt:variant>
        <vt:i4>0</vt:i4>
      </vt:variant>
      <vt:variant>
        <vt:i4>5</vt:i4>
      </vt:variant>
      <vt:variant>
        <vt:lpwstr/>
      </vt:variant>
      <vt:variant>
        <vt:lpwstr>_Toc252365114</vt:lpwstr>
      </vt:variant>
      <vt:variant>
        <vt:i4>1376311</vt:i4>
      </vt:variant>
      <vt:variant>
        <vt:i4>14</vt:i4>
      </vt:variant>
      <vt:variant>
        <vt:i4>0</vt:i4>
      </vt:variant>
      <vt:variant>
        <vt:i4>5</vt:i4>
      </vt:variant>
      <vt:variant>
        <vt:lpwstr/>
      </vt:variant>
      <vt:variant>
        <vt:lpwstr>_Toc252365113</vt:lpwstr>
      </vt:variant>
      <vt:variant>
        <vt:i4>1376311</vt:i4>
      </vt:variant>
      <vt:variant>
        <vt:i4>8</vt:i4>
      </vt:variant>
      <vt:variant>
        <vt:i4>0</vt:i4>
      </vt:variant>
      <vt:variant>
        <vt:i4>5</vt:i4>
      </vt:variant>
      <vt:variant>
        <vt:lpwstr/>
      </vt:variant>
      <vt:variant>
        <vt:lpwstr>_Toc252365112</vt:lpwstr>
      </vt:variant>
      <vt:variant>
        <vt:i4>1376311</vt:i4>
      </vt:variant>
      <vt:variant>
        <vt:i4>2</vt:i4>
      </vt:variant>
      <vt:variant>
        <vt:i4>0</vt:i4>
      </vt:variant>
      <vt:variant>
        <vt:i4>5</vt:i4>
      </vt:variant>
      <vt:variant>
        <vt:lpwstr/>
      </vt:variant>
      <vt:variant>
        <vt:lpwstr>_Toc252365111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Compliance Report 2015-16</dc:title>
  <dc:creator/>
  <cp:lastModifiedBy/>
  <cp:revision>1</cp:revision>
  <dcterms:created xsi:type="dcterms:W3CDTF">2017-02-14T02:11:00Z</dcterms:created>
  <dcterms:modified xsi:type="dcterms:W3CDTF">2017-02-14T02:11:00Z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