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AC" w:rsidRDefault="00A53FAC" w:rsidP="002E39DE">
      <w:bookmarkStart w:id="0" w:name="_GoBack"/>
      <w:bookmarkEnd w:id="0"/>
    </w:p>
    <w:p w:rsidR="002E39DE" w:rsidRDefault="002E39DE" w:rsidP="002E39DE">
      <w:pPr>
        <w:pStyle w:val="Default"/>
        <w:rPr>
          <w:sz w:val="22"/>
          <w:szCs w:val="22"/>
        </w:rPr>
      </w:pPr>
    </w:p>
    <w:p w:rsidR="008C3ECB" w:rsidRDefault="008C3ECB" w:rsidP="001C02F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DETERMINATION</w:t>
      </w:r>
    </w:p>
    <w:p w:rsidR="008C3ECB" w:rsidRDefault="008C3ECB" w:rsidP="001C02FE">
      <w:pPr>
        <w:pStyle w:val="Default"/>
        <w:jc w:val="center"/>
        <w:rPr>
          <w:b/>
          <w:sz w:val="32"/>
          <w:szCs w:val="32"/>
        </w:rPr>
      </w:pPr>
    </w:p>
    <w:p w:rsidR="00D46BA3" w:rsidRDefault="001C02FE" w:rsidP="001C02F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APPROVAL OF ELECTRICITY NETWORK PERFORMANCE TARGET STANDARDS </w:t>
      </w:r>
      <w:r w:rsidR="00C44E85">
        <w:rPr>
          <w:b/>
          <w:sz w:val="32"/>
          <w:szCs w:val="32"/>
        </w:rPr>
        <w:t xml:space="preserve">FOR THE </w:t>
      </w:r>
      <w:r w:rsidR="00D81969">
        <w:rPr>
          <w:b/>
          <w:sz w:val="32"/>
          <w:szCs w:val="32"/>
        </w:rPr>
        <w:t>REGULATORY CONTROL</w:t>
      </w:r>
    </w:p>
    <w:p w:rsidR="002E39DE" w:rsidRDefault="00C44E85" w:rsidP="001C02F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PERIOD </w:t>
      </w:r>
      <w:r w:rsidR="006C7A63">
        <w:rPr>
          <w:b/>
          <w:sz w:val="32"/>
          <w:szCs w:val="32"/>
        </w:rPr>
        <w:t>1 JULY 2014 TO</w:t>
      </w:r>
      <w:r>
        <w:rPr>
          <w:b/>
          <w:sz w:val="32"/>
          <w:szCs w:val="32"/>
        </w:rPr>
        <w:t xml:space="preserve"> </w:t>
      </w:r>
      <w:r w:rsidR="00BA5623">
        <w:rPr>
          <w:b/>
          <w:sz w:val="32"/>
          <w:szCs w:val="32"/>
        </w:rPr>
        <w:t xml:space="preserve">30 </w:t>
      </w:r>
      <w:r>
        <w:rPr>
          <w:b/>
          <w:sz w:val="32"/>
          <w:szCs w:val="32"/>
        </w:rPr>
        <w:t>JUNE 2019</w:t>
      </w:r>
    </w:p>
    <w:p w:rsidR="004E6656" w:rsidRDefault="004E6656" w:rsidP="002E39DE">
      <w:pPr>
        <w:pStyle w:val="Default"/>
        <w:rPr>
          <w:b/>
          <w:sz w:val="32"/>
          <w:szCs w:val="32"/>
        </w:rPr>
      </w:pPr>
    </w:p>
    <w:p w:rsidR="00332168" w:rsidRPr="00E5100D" w:rsidRDefault="00332168" w:rsidP="00332168">
      <w:pPr>
        <w:pStyle w:val="Default"/>
        <w:spacing w:after="180"/>
        <w:rPr>
          <w:b/>
        </w:rPr>
      </w:pPr>
      <w:r>
        <w:rPr>
          <w:b/>
        </w:rPr>
        <w:t>Regulatory requirements</w:t>
      </w:r>
    </w:p>
    <w:p w:rsidR="00332168" w:rsidRPr="0026775F" w:rsidRDefault="00332168" w:rsidP="00332168">
      <w:pPr>
        <w:pStyle w:val="UtilComNumbersIssues"/>
        <w:numPr>
          <w:ilvl w:val="0"/>
          <w:numId w:val="5"/>
        </w:numPr>
        <w:tabs>
          <w:tab w:val="clear" w:pos="914"/>
          <w:tab w:val="num" w:pos="567"/>
          <w:tab w:val="num" w:pos="630"/>
        </w:tabs>
        <w:ind w:left="567" w:hanging="567"/>
      </w:pPr>
      <w:r>
        <w:t>The</w:t>
      </w:r>
      <w:r>
        <w:rPr>
          <w:lang w:val="en-AU"/>
        </w:rPr>
        <w:t xml:space="preserve"> Northern Territory</w:t>
      </w:r>
      <w:r>
        <w:t xml:space="preserve"> Electricity Standards of Service Code</w:t>
      </w:r>
      <w:r>
        <w:rPr>
          <w:lang w:val="en-AU"/>
        </w:rPr>
        <w:t xml:space="preserve"> 2012</w:t>
      </w:r>
      <w:r>
        <w:t xml:space="preserve"> (</w:t>
      </w:r>
      <w:r>
        <w:rPr>
          <w:lang w:val="en-AU"/>
        </w:rPr>
        <w:t xml:space="preserve">the </w:t>
      </w:r>
      <w:r>
        <w:t xml:space="preserve">Code) requires that PWC Networks submit to the </w:t>
      </w:r>
      <w:r w:rsidR="0002489D">
        <w:rPr>
          <w:lang w:val="en-AU"/>
        </w:rPr>
        <w:t xml:space="preserve">Utilities </w:t>
      </w:r>
      <w:r>
        <w:t>Commission</w:t>
      </w:r>
      <w:r w:rsidR="0002489D">
        <w:rPr>
          <w:lang w:val="en-AU"/>
        </w:rPr>
        <w:t xml:space="preserve"> (the Commission)</w:t>
      </w:r>
      <w:r>
        <w:t xml:space="preserve"> for approval its proposed</w:t>
      </w:r>
      <w:r>
        <w:rPr>
          <w:lang w:val="en-AU"/>
        </w:rPr>
        <w:t xml:space="preserve"> </w:t>
      </w:r>
      <w:r w:rsidR="0002489D">
        <w:rPr>
          <w:lang w:val="en-AU"/>
        </w:rPr>
        <w:t>distribution</w:t>
      </w:r>
      <w:r w:rsidR="0002489D">
        <w:t xml:space="preserve"> </w:t>
      </w:r>
      <w:r w:rsidR="0002489D">
        <w:rPr>
          <w:lang w:val="en-AU"/>
        </w:rPr>
        <w:t xml:space="preserve">and </w:t>
      </w:r>
      <w:r>
        <w:rPr>
          <w:lang w:val="en-AU"/>
        </w:rPr>
        <w:t xml:space="preserve">transmission </w:t>
      </w:r>
      <w:r w:rsidR="0002489D">
        <w:rPr>
          <w:lang w:val="en-AU"/>
        </w:rPr>
        <w:t>n</w:t>
      </w:r>
      <w:r>
        <w:rPr>
          <w:lang w:val="en-AU"/>
        </w:rPr>
        <w:t>etwork</w:t>
      </w:r>
      <w:r w:rsidR="0002489D">
        <w:rPr>
          <w:lang w:val="en-AU"/>
        </w:rPr>
        <w:t xml:space="preserve"> performance</w:t>
      </w:r>
      <w:r>
        <w:rPr>
          <w:lang w:val="en-AU"/>
        </w:rPr>
        <w:t xml:space="preserve"> </w:t>
      </w:r>
      <w:r>
        <w:t>target standards</w:t>
      </w:r>
      <w:r w:rsidR="0002489D">
        <w:rPr>
          <w:lang w:val="en-AU"/>
        </w:rPr>
        <w:t xml:space="preserve"> (the targets)</w:t>
      </w:r>
      <w:r>
        <w:t xml:space="preserve"> at a date notified in writing by the Commission [cl.3.1.1].</w:t>
      </w:r>
    </w:p>
    <w:p w:rsidR="00332168" w:rsidRPr="00332168" w:rsidRDefault="00332168" w:rsidP="00332168">
      <w:pPr>
        <w:pStyle w:val="UtilComNumbersIssues"/>
        <w:numPr>
          <w:ilvl w:val="0"/>
          <w:numId w:val="5"/>
        </w:numPr>
        <w:tabs>
          <w:tab w:val="clear" w:pos="914"/>
          <w:tab w:val="num" w:pos="567"/>
          <w:tab w:val="num" w:pos="630"/>
        </w:tabs>
        <w:ind w:left="567" w:hanging="567"/>
      </w:pPr>
      <w:r>
        <w:t>The</w:t>
      </w:r>
      <w:r>
        <w:rPr>
          <w:lang w:val="en-AU"/>
        </w:rPr>
        <w:t xml:space="preserve"> </w:t>
      </w:r>
      <w:r>
        <w:t>target</w:t>
      </w:r>
      <w:r w:rsidR="0002489D">
        <w:rPr>
          <w:lang w:val="en-AU"/>
        </w:rPr>
        <w:t>s</w:t>
      </w:r>
      <w:r>
        <w:t xml:space="preserve"> must </w:t>
      </w:r>
      <w:r w:rsidR="00947A10">
        <w:rPr>
          <w:lang w:val="en-AU"/>
        </w:rPr>
        <w:t>be set for</w:t>
      </w:r>
      <w:r>
        <w:t xml:space="preserve"> the performance indicators</w:t>
      </w:r>
      <w:r>
        <w:rPr>
          <w:lang w:val="en-AU"/>
        </w:rPr>
        <w:t xml:space="preserve"> included in Table 1 below.</w:t>
      </w:r>
      <w:r>
        <w:rPr>
          <w:rStyle w:val="FootnoteReference"/>
        </w:rPr>
        <w:footnoteReference w:id="1"/>
      </w:r>
    </w:p>
    <w:p w:rsidR="00332168" w:rsidRPr="00332168" w:rsidRDefault="00332168" w:rsidP="00332168">
      <w:pPr>
        <w:pStyle w:val="UtilComNumbersIssues"/>
        <w:tabs>
          <w:tab w:val="num" w:pos="630"/>
        </w:tabs>
        <w:ind w:left="567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 xml:space="preserve">Table 1: </w:t>
      </w:r>
      <w:r w:rsidR="0002489D">
        <w:rPr>
          <w:rFonts w:cs="Arial"/>
          <w:sz w:val="18"/>
          <w:szCs w:val="18"/>
          <w:lang w:val="en-US" w:eastAsia="en-US"/>
        </w:rPr>
        <w:t>Network target standards and segmentation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3418"/>
        <w:tblGridChange w:id="1">
          <w:tblGrid>
            <w:gridCol w:w="4946"/>
            <w:gridCol w:w="3418"/>
          </w:tblGrid>
        </w:tblGridChange>
      </w:tblGrid>
      <w:tr w:rsidR="00332168" w:rsidRPr="00814500" w:rsidTr="00FD5100">
        <w:tc>
          <w:tcPr>
            <w:tcW w:w="4946" w:type="dxa"/>
          </w:tcPr>
          <w:p w:rsidR="00332168" w:rsidRPr="003C2B71" w:rsidRDefault="00332168" w:rsidP="00332168">
            <w:pPr>
              <w:pStyle w:val="UtilComNumbersIssues"/>
              <w:tabs>
                <w:tab w:val="left" w:pos="0"/>
              </w:tabs>
              <w:jc w:val="both"/>
              <w:rPr>
                <w:rFonts w:cs="Arial"/>
                <w:b/>
                <w:sz w:val="20"/>
                <w:szCs w:val="20"/>
                <w:lang w:val="en-AU" w:eastAsia="en-AU"/>
              </w:rPr>
            </w:pPr>
            <w:r w:rsidRPr="003C2B71">
              <w:rPr>
                <w:rFonts w:cs="Arial"/>
                <w:b/>
                <w:sz w:val="20"/>
                <w:szCs w:val="20"/>
                <w:lang w:val="en-AU" w:eastAsia="en-AU"/>
              </w:rPr>
              <w:t>Target Standard</w:t>
            </w:r>
            <w:r w:rsidR="00947A10">
              <w:rPr>
                <w:rFonts w:cs="Arial"/>
                <w:b/>
                <w:sz w:val="20"/>
                <w:szCs w:val="20"/>
                <w:lang w:val="en-AU" w:eastAsia="en-AU"/>
              </w:rPr>
              <w:t>s</w:t>
            </w:r>
          </w:p>
        </w:tc>
        <w:tc>
          <w:tcPr>
            <w:tcW w:w="3418" w:type="dxa"/>
          </w:tcPr>
          <w:p w:rsidR="00332168" w:rsidRPr="003C2B71" w:rsidRDefault="00332168" w:rsidP="00332168">
            <w:pPr>
              <w:pStyle w:val="UtilComNumbersIssues"/>
              <w:tabs>
                <w:tab w:val="num" w:pos="914"/>
              </w:tabs>
              <w:rPr>
                <w:rFonts w:cs="Arial"/>
                <w:b/>
                <w:sz w:val="20"/>
                <w:szCs w:val="20"/>
                <w:lang w:val="en-AU" w:eastAsia="en-AU"/>
              </w:rPr>
            </w:pPr>
            <w:r w:rsidRPr="003C2B71">
              <w:rPr>
                <w:rFonts w:cs="Arial"/>
                <w:b/>
                <w:sz w:val="20"/>
                <w:szCs w:val="20"/>
                <w:lang w:val="en-AU" w:eastAsia="en-AU"/>
              </w:rPr>
              <w:t>Segmentation</w:t>
            </w:r>
          </w:p>
        </w:tc>
      </w:tr>
      <w:tr w:rsidR="00332168" w:rsidRPr="00814500" w:rsidTr="00332168">
        <w:tc>
          <w:tcPr>
            <w:tcW w:w="8364" w:type="dxa"/>
            <w:gridSpan w:val="2"/>
            <w:vAlign w:val="center"/>
          </w:tcPr>
          <w:p w:rsidR="00332168" w:rsidRPr="003C2B71" w:rsidRDefault="00332168" w:rsidP="00332168">
            <w:pPr>
              <w:pStyle w:val="UtilComNumbersIssues"/>
              <w:tabs>
                <w:tab w:val="num" w:pos="914"/>
              </w:tabs>
              <w:rPr>
                <w:rFonts w:cs="Arial"/>
                <w:b/>
                <w:sz w:val="20"/>
                <w:szCs w:val="20"/>
                <w:lang w:val="en-AU" w:eastAsia="en-AU"/>
              </w:rPr>
            </w:pPr>
            <w:r w:rsidRPr="003C2B71">
              <w:rPr>
                <w:rFonts w:cs="Arial"/>
                <w:b/>
                <w:sz w:val="20"/>
                <w:szCs w:val="20"/>
                <w:lang w:val="en-AU" w:eastAsia="en-AU"/>
              </w:rPr>
              <w:t>Adjusted Distribution Network Performance Indic</w:t>
            </w:r>
            <w:r>
              <w:rPr>
                <w:rFonts w:cs="Arial"/>
                <w:b/>
                <w:sz w:val="20"/>
                <w:szCs w:val="20"/>
                <w:lang w:val="en-AU" w:eastAsia="en-AU"/>
              </w:rPr>
              <w:t>a</w:t>
            </w:r>
            <w:r w:rsidRPr="003C2B71">
              <w:rPr>
                <w:rFonts w:cs="Arial"/>
                <w:b/>
                <w:sz w:val="20"/>
                <w:szCs w:val="20"/>
                <w:lang w:val="en-AU" w:eastAsia="en-AU"/>
              </w:rPr>
              <w:t>tors</w:t>
            </w:r>
          </w:p>
        </w:tc>
      </w:tr>
      <w:tr w:rsidR="00332168" w:rsidRPr="00814500" w:rsidTr="00FD5100">
        <w:tc>
          <w:tcPr>
            <w:tcW w:w="4946" w:type="dxa"/>
          </w:tcPr>
          <w:p w:rsidR="00332168" w:rsidRPr="003C2B71" w:rsidRDefault="00332168" w:rsidP="00FD5100">
            <w:pPr>
              <w:pStyle w:val="UtilComNumbersIssues"/>
              <w:numPr>
                <w:ilvl w:val="0"/>
                <w:numId w:val="9"/>
              </w:numPr>
              <w:ind w:left="284" w:hanging="284"/>
              <w:rPr>
                <w:rFonts w:cs="Arial"/>
                <w:sz w:val="20"/>
                <w:szCs w:val="20"/>
                <w:lang w:val="en-AU" w:eastAsia="en-AU"/>
              </w:rPr>
            </w:pPr>
            <w:r w:rsidRPr="003C2B71">
              <w:rPr>
                <w:rFonts w:cs="Arial"/>
                <w:sz w:val="20"/>
                <w:szCs w:val="20"/>
                <w:lang w:val="en-AU" w:eastAsia="en-AU"/>
              </w:rPr>
              <w:t>System Average Interruption Duration Index (SAIDI)</w:t>
            </w:r>
          </w:p>
        </w:tc>
        <w:tc>
          <w:tcPr>
            <w:tcW w:w="3418" w:type="dxa"/>
          </w:tcPr>
          <w:p w:rsidR="00332168" w:rsidRPr="003C2B71" w:rsidRDefault="00332168" w:rsidP="00332168">
            <w:pPr>
              <w:pStyle w:val="UtilComNumbersIssues"/>
              <w:tabs>
                <w:tab w:val="num" w:pos="914"/>
              </w:tabs>
              <w:rPr>
                <w:rFonts w:cs="Arial"/>
                <w:sz w:val="20"/>
                <w:szCs w:val="20"/>
                <w:lang w:val="en-AU" w:eastAsia="en-AU"/>
              </w:rPr>
            </w:pPr>
            <w:r w:rsidRPr="003C2B71">
              <w:rPr>
                <w:rFonts w:cs="Arial"/>
                <w:sz w:val="20"/>
                <w:szCs w:val="20"/>
                <w:lang w:val="en-AU" w:eastAsia="en-AU"/>
              </w:rPr>
              <w:t>By Distribution Feeder Type (CBD, Urban, Short Rural, Long Rural)</w:t>
            </w:r>
          </w:p>
        </w:tc>
      </w:tr>
      <w:tr w:rsidR="00332168" w:rsidRPr="00814500" w:rsidTr="00FD5100">
        <w:tc>
          <w:tcPr>
            <w:tcW w:w="4946" w:type="dxa"/>
          </w:tcPr>
          <w:p w:rsidR="00332168" w:rsidRPr="003C2B71" w:rsidRDefault="00332168" w:rsidP="00FD5100">
            <w:pPr>
              <w:pStyle w:val="UtilComNumbersIssues"/>
              <w:numPr>
                <w:ilvl w:val="0"/>
                <w:numId w:val="9"/>
              </w:numPr>
              <w:ind w:left="284" w:hanging="284"/>
              <w:rPr>
                <w:rFonts w:cs="Arial"/>
                <w:sz w:val="20"/>
                <w:szCs w:val="20"/>
                <w:lang w:val="en-AU" w:eastAsia="en-AU"/>
              </w:rPr>
            </w:pPr>
            <w:r w:rsidRPr="003C2B71">
              <w:rPr>
                <w:rFonts w:cs="Arial"/>
                <w:sz w:val="20"/>
                <w:szCs w:val="20"/>
                <w:lang w:val="en-AU" w:eastAsia="en-AU"/>
              </w:rPr>
              <w:t>System Average Interruption Frequency Index (SAIFI)</w:t>
            </w:r>
          </w:p>
        </w:tc>
        <w:tc>
          <w:tcPr>
            <w:tcW w:w="3418" w:type="dxa"/>
          </w:tcPr>
          <w:p w:rsidR="00332168" w:rsidRPr="003C2B71" w:rsidRDefault="00332168" w:rsidP="00332168">
            <w:pPr>
              <w:pStyle w:val="UtilComNumbersIssues"/>
              <w:tabs>
                <w:tab w:val="num" w:pos="914"/>
              </w:tabs>
              <w:rPr>
                <w:rFonts w:cs="Arial"/>
                <w:sz w:val="20"/>
                <w:szCs w:val="20"/>
                <w:lang w:val="en-AU" w:eastAsia="en-AU"/>
              </w:rPr>
            </w:pPr>
            <w:r w:rsidRPr="003C2B71">
              <w:rPr>
                <w:rFonts w:cs="Arial"/>
                <w:sz w:val="20"/>
                <w:szCs w:val="20"/>
                <w:lang w:val="en-AU" w:eastAsia="en-AU"/>
              </w:rPr>
              <w:t>By Distribution Feeder Type (CBD, Urban, Short Rural, Long Rural)</w:t>
            </w:r>
          </w:p>
        </w:tc>
      </w:tr>
      <w:tr w:rsidR="00332168" w:rsidRPr="00814500" w:rsidTr="00332168">
        <w:tc>
          <w:tcPr>
            <w:tcW w:w="8364" w:type="dxa"/>
            <w:gridSpan w:val="2"/>
          </w:tcPr>
          <w:p w:rsidR="00332168" w:rsidRPr="003C2B71" w:rsidRDefault="00332168" w:rsidP="00FD5100">
            <w:pPr>
              <w:pStyle w:val="UtilComNumbersIssues"/>
              <w:tabs>
                <w:tab w:val="num" w:pos="914"/>
              </w:tabs>
              <w:ind w:left="284" w:hanging="284"/>
              <w:rPr>
                <w:rFonts w:cs="Arial"/>
                <w:b/>
                <w:sz w:val="20"/>
                <w:szCs w:val="20"/>
                <w:lang w:val="en-AU" w:eastAsia="en-AU"/>
              </w:rPr>
            </w:pPr>
            <w:r w:rsidRPr="003C2B71">
              <w:rPr>
                <w:rFonts w:cs="Arial"/>
                <w:b/>
                <w:sz w:val="20"/>
                <w:szCs w:val="20"/>
                <w:lang w:val="en-AU" w:eastAsia="en-AU"/>
              </w:rPr>
              <w:t>Adjusted Transmission Network Performance Indicators</w:t>
            </w:r>
          </w:p>
        </w:tc>
      </w:tr>
      <w:tr w:rsidR="00332168" w:rsidRPr="00814500" w:rsidTr="00FD5100">
        <w:tc>
          <w:tcPr>
            <w:tcW w:w="4946" w:type="dxa"/>
          </w:tcPr>
          <w:p w:rsidR="00332168" w:rsidRPr="00947A10" w:rsidRDefault="00332168" w:rsidP="00FD5100">
            <w:pPr>
              <w:pStyle w:val="UtilComNumbersIssues"/>
              <w:numPr>
                <w:ilvl w:val="0"/>
                <w:numId w:val="10"/>
              </w:numPr>
              <w:ind w:left="284" w:hanging="284"/>
              <w:rPr>
                <w:rFonts w:cs="Arial"/>
                <w:sz w:val="20"/>
                <w:szCs w:val="20"/>
                <w:lang w:val="fr-FR" w:eastAsia="en-AU"/>
              </w:rPr>
            </w:pPr>
            <w:proofErr w:type="spellStart"/>
            <w:r w:rsidRPr="00947A10">
              <w:rPr>
                <w:rFonts w:cs="Arial"/>
                <w:sz w:val="20"/>
                <w:szCs w:val="20"/>
                <w:lang w:val="fr-FR" w:eastAsia="en-AU"/>
              </w:rPr>
              <w:t>Average</w:t>
            </w:r>
            <w:proofErr w:type="spellEnd"/>
            <w:r w:rsidRPr="00947A10">
              <w:rPr>
                <w:rFonts w:cs="Arial"/>
                <w:sz w:val="20"/>
                <w:szCs w:val="20"/>
                <w:lang w:val="fr-FR" w:eastAsia="en-AU"/>
              </w:rPr>
              <w:t xml:space="preserve"> Circuit </w:t>
            </w:r>
            <w:proofErr w:type="spellStart"/>
            <w:r w:rsidRPr="00947A10">
              <w:rPr>
                <w:rFonts w:cs="Arial"/>
                <w:sz w:val="20"/>
                <w:szCs w:val="20"/>
                <w:lang w:val="fr-FR" w:eastAsia="en-AU"/>
              </w:rPr>
              <w:t>Outage</w:t>
            </w:r>
            <w:proofErr w:type="spellEnd"/>
            <w:r w:rsidRPr="00947A10">
              <w:rPr>
                <w:rFonts w:cs="Arial"/>
                <w:sz w:val="20"/>
                <w:szCs w:val="20"/>
                <w:lang w:val="fr-FR" w:eastAsia="en-AU"/>
              </w:rPr>
              <w:t xml:space="preserve"> Duration (ACOD)</w:t>
            </w:r>
          </w:p>
        </w:tc>
        <w:tc>
          <w:tcPr>
            <w:tcW w:w="3418" w:type="dxa"/>
          </w:tcPr>
          <w:p w:rsidR="00332168" w:rsidRPr="003C2B71" w:rsidRDefault="00332168" w:rsidP="00332168">
            <w:pPr>
              <w:pStyle w:val="UtilComNumbersIssues"/>
              <w:tabs>
                <w:tab w:val="num" w:pos="914"/>
              </w:tabs>
              <w:rPr>
                <w:rFonts w:cs="Arial"/>
                <w:sz w:val="20"/>
                <w:szCs w:val="20"/>
                <w:lang w:val="en-AU" w:eastAsia="en-AU"/>
              </w:rPr>
            </w:pPr>
            <w:r w:rsidRPr="003C2B71">
              <w:rPr>
                <w:rFonts w:cs="Arial"/>
                <w:sz w:val="20"/>
                <w:szCs w:val="20"/>
                <w:lang w:val="en-AU" w:eastAsia="en-AU"/>
              </w:rPr>
              <w:t>By Transmission Network</w:t>
            </w:r>
          </w:p>
        </w:tc>
      </w:tr>
      <w:tr w:rsidR="00332168" w:rsidRPr="00814500" w:rsidTr="00FD5100">
        <w:tc>
          <w:tcPr>
            <w:tcW w:w="4946" w:type="dxa"/>
          </w:tcPr>
          <w:p w:rsidR="00332168" w:rsidRPr="003C2B71" w:rsidRDefault="00332168" w:rsidP="00FD5100">
            <w:pPr>
              <w:pStyle w:val="UtilComNumbersIssues"/>
              <w:numPr>
                <w:ilvl w:val="0"/>
                <w:numId w:val="10"/>
              </w:numPr>
              <w:ind w:left="284" w:hanging="284"/>
              <w:rPr>
                <w:rFonts w:cs="Arial"/>
                <w:sz w:val="20"/>
                <w:szCs w:val="20"/>
                <w:lang w:val="en-AU" w:eastAsia="en-AU"/>
              </w:rPr>
            </w:pPr>
            <w:r w:rsidRPr="003C2B71">
              <w:rPr>
                <w:rFonts w:cs="Arial"/>
                <w:sz w:val="20"/>
                <w:szCs w:val="20"/>
                <w:lang w:val="en-AU" w:eastAsia="en-AU"/>
              </w:rPr>
              <w:t>Frequency of Circuit Outage (FCO)</w:t>
            </w:r>
          </w:p>
        </w:tc>
        <w:tc>
          <w:tcPr>
            <w:tcW w:w="3418" w:type="dxa"/>
          </w:tcPr>
          <w:p w:rsidR="00332168" w:rsidRPr="003C2B71" w:rsidRDefault="00332168" w:rsidP="00332168">
            <w:pPr>
              <w:pStyle w:val="UtilComNumbersIssues"/>
              <w:tabs>
                <w:tab w:val="num" w:pos="914"/>
              </w:tabs>
              <w:rPr>
                <w:rFonts w:cs="Arial"/>
                <w:sz w:val="20"/>
                <w:szCs w:val="20"/>
                <w:lang w:val="en-AU" w:eastAsia="en-AU"/>
              </w:rPr>
            </w:pPr>
            <w:r w:rsidRPr="003C2B71">
              <w:rPr>
                <w:rFonts w:cs="Arial"/>
                <w:sz w:val="20"/>
                <w:szCs w:val="20"/>
                <w:lang w:val="en-AU" w:eastAsia="en-AU"/>
              </w:rPr>
              <w:t>By Transmission Network</w:t>
            </w:r>
          </w:p>
        </w:tc>
      </w:tr>
      <w:tr w:rsidR="00332168" w:rsidTr="00FD5100">
        <w:tc>
          <w:tcPr>
            <w:tcW w:w="4946" w:type="dxa"/>
          </w:tcPr>
          <w:p w:rsidR="00332168" w:rsidRPr="00947A10" w:rsidRDefault="00332168" w:rsidP="0002489D">
            <w:pPr>
              <w:pStyle w:val="UtilComNumbersIssues"/>
              <w:numPr>
                <w:ilvl w:val="0"/>
                <w:numId w:val="10"/>
              </w:numPr>
              <w:ind w:left="284" w:hanging="284"/>
              <w:rPr>
                <w:rFonts w:cs="Arial"/>
                <w:sz w:val="20"/>
                <w:szCs w:val="20"/>
                <w:lang w:val="fr-FR" w:eastAsia="en-AU"/>
              </w:rPr>
            </w:pPr>
            <w:proofErr w:type="spellStart"/>
            <w:r w:rsidRPr="00947A10">
              <w:rPr>
                <w:rFonts w:cs="Arial"/>
                <w:sz w:val="20"/>
                <w:szCs w:val="20"/>
                <w:lang w:val="fr-FR" w:eastAsia="en-AU"/>
              </w:rPr>
              <w:t>Average</w:t>
            </w:r>
            <w:proofErr w:type="spellEnd"/>
            <w:r w:rsidRPr="00947A10">
              <w:rPr>
                <w:rFonts w:cs="Arial"/>
                <w:sz w:val="20"/>
                <w:szCs w:val="20"/>
                <w:lang w:val="fr-FR" w:eastAsia="en-AU"/>
              </w:rPr>
              <w:t xml:space="preserve"> Transformer </w:t>
            </w:r>
            <w:proofErr w:type="spellStart"/>
            <w:r w:rsidRPr="00947A10">
              <w:rPr>
                <w:rFonts w:cs="Arial"/>
                <w:sz w:val="20"/>
                <w:szCs w:val="20"/>
                <w:lang w:val="fr-FR" w:eastAsia="en-AU"/>
              </w:rPr>
              <w:t>Outage</w:t>
            </w:r>
            <w:proofErr w:type="spellEnd"/>
            <w:r w:rsidRPr="00947A10">
              <w:rPr>
                <w:rFonts w:cs="Arial"/>
                <w:sz w:val="20"/>
                <w:szCs w:val="20"/>
                <w:lang w:val="fr-FR" w:eastAsia="en-AU"/>
              </w:rPr>
              <w:t xml:space="preserve"> Duration (ATOD)</w:t>
            </w:r>
          </w:p>
        </w:tc>
        <w:tc>
          <w:tcPr>
            <w:tcW w:w="3418" w:type="dxa"/>
          </w:tcPr>
          <w:p w:rsidR="00332168" w:rsidRPr="003C2B71" w:rsidRDefault="00332168" w:rsidP="00332168">
            <w:pPr>
              <w:pStyle w:val="UtilComNumbersIssues"/>
              <w:tabs>
                <w:tab w:val="num" w:pos="914"/>
              </w:tabs>
              <w:rPr>
                <w:rFonts w:cs="Arial"/>
                <w:sz w:val="20"/>
                <w:szCs w:val="20"/>
                <w:lang w:val="en-AU" w:eastAsia="en-AU"/>
              </w:rPr>
            </w:pPr>
            <w:r w:rsidRPr="003C2B71">
              <w:rPr>
                <w:rFonts w:cs="Arial"/>
                <w:sz w:val="20"/>
                <w:szCs w:val="20"/>
                <w:lang w:val="en-AU" w:eastAsia="en-AU"/>
              </w:rPr>
              <w:t>By Transmission Network</w:t>
            </w:r>
          </w:p>
        </w:tc>
      </w:tr>
      <w:tr w:rsidR="00332168" w:rsidRPr="00814500" w:rsidTr="00FD5100">
        <w:tc>
          <w:tcPr>
            <w:tcW w:w="4946" w:type="dxa"/>
          </w:tcPr>
          <w:p w:rsidR="00332168" w:rsidRPr="003C2B71" w:rsidRDefault="00332168" w:rsidP="0002489D">
            <w:pPr>
              <w:pStyle w:val="UtilComNumbersIssues"/>
              <w:numPr>
                <w:ilvl w:val="0"/>
                <w:numId w:val="10"/>
              </w:numPr>
              <w:ind w:left="284" w:hanging="284"/>
              <w:rPr>
                <w:rFonts w:cs="Arial"/>
                <w:sz w:val="20"/>
                <w:szCs w:val="20"/>
                <w:lang w:val="en-AU" w:eastAsia="en-AU"/>
              </w:rPr>
            </w:pPr>
            <w:r w:rsidRPr="003C2B71">
              <w:rPr>
                <w:rFonts w:cs="Arial"/>
                <w:sz w:val="20"/>
                <w:szCs w:val="20"/>
                <w:lang w:val="en-AU" w:eastAsia="en-AU"/>
              </w:rPr>
              <w:t>Frequency of Transformer Outages (FTO)</w:t>
            </w:r>
          </w:p>
        </w:tc>
        <w:tc>
          <w:tcPr>
            <w:tcW w:w="3418" w:type="dxa"/>
          </w:tcPr>
          <w:p w:rsidR="00332168" w:rsidRPr="003C2B71" w:rsidRDefault="00332168" w:rsidP="00FD5100">
            <w:pPr>
              <w:pStyle w:val="UtilComNumbersIssues"/>
              <w:ind w:left="34"/>
              <w:rPr>
                <w:rFonts w:cs="Arial"/>
                <w:sz w:val="20"/>
                <w:szCs w:val="20"/>
                <w:lang w:val="en-AU" w:eastAsia="en-AU"/>
              </w:rPr>
            </w:pPr>
            <w:r w:rsidRPr="003C2B71">
              <w:rPr>
                <w:rFonts w:cs="Arial"/>
                <w:sz w:val="20"/>
                <w:szCs w:val="20"/>
                <w:lang w:val="en-AU" w:eastAsia="en-AU"/>
              </w:rPr>
              <w:t>By Transmission Network</w:t>
            </w:r>
          </w:p>
        </w:tc>
      </w:tr>
    </w:tbl>
    <w:p w:rsidR="00332168" w:rsidRDefault="00332168" w:rsidP="00332168">
      <w:pPr>
        <w:pStyle w:val="UtilComNumbersIssues"/>
        <w:tabs>
          <w:tab w:val="num" w:pos="914"/>
        </w:tabs>
        <w:spacing w:after="0"/>
        <w:ind w:left="567"/>
      </w:pPr>
    </w:p>
    <w:p w:rsidR="00332168" w:rsidRDefault="00332168" w:rsidP="00332168">
      <w:pPr>
        <w:pStyle w:val="UtilComNumbersIssues"/>
        <w:numPr>
          <w:ilvl w:val="0"/>
          <w:numId w:val="5"/>
        </w:numPr>
        <w:tabs>
          <w:tab w:val="clear" w:pos="914"/>
          <w:tab w:val="num" w:pos="567"/>
          <w:tab w:val="num" w:pos="630"/>
        </w:tabs>
        <w:ind w:left="567" w:hanging="567"/>
      </w:pPr>
      <w:r>
        <w:t xml:space="preserve">The </w:t>
      </w:r>
      <w:r>
        <w:rPr>
          <w:lang w:val="en-AU"/>
        </w:rPr>
        <w:t xml:space="preserve">Code requires that the </w:t>
      </w:r>
      <w:r>
        <w:t>target</w:t>
      </w:r>
      <w:r w:rsidR="0002489D">
        <w:rPr>
          <w:lang w:val="en-AU"/>
        </w:rPr>
        <w:t>s</w:t>
      </w:r>
      <w:r>
        <w:t xml:space="preserve"> </w:t>
      </w:r>
      <w:r>
        <w:rPr>
          <w:lang w:val="en-AU"/>
        </w:rPr>
        <w:t>be</w:t>
      </w:r>
      <w:r>
        <w:t xml:space="preserve"> calculated by:</w:t>
      </w:r>
      <w:r>
        <w:rPr>
          <w:rStyle w:val="FootnoteReference"/>
        </w:rPr>
        <w:footnoteReference w:id="2"/>
      </w:r>
    </w:p>
    <w:p w:rsidR="00332168" w:rsidRDefault="00332168" w:rsidP="00332168">
      <w:pPr>
        <w:pStyle w:val="UtilComNumbersIssues"/>
        <w:numPr>
          <w:ilvl w:val="0"/>
          <w:numId w:val="6"/>
        </w:numPr>
        <w:tabs>
          <w:tab w:val="num" w:pos="914"/>
        </w:tabs>
      </w:pPr>
      <w:r>
        <w:t xml:space="preserve">segmenting the targets in accordance with the feeder categories specified in the Feeder Category Guidelines issued by the Commission on 1 December 2012; </w:t>
      </w:r>
    </w:p>
    <w:p w:rsidR="00332168" w:rsidRDefault="00332168" w:rsidP="00332168">
      <w:pPr>
        <w:pStyle w:val="UtilComNumbersIssues"/>
        <w:numPr>
          <w:ilvl w:val="0"/>
          <w:numId w:val="6"/>
        </w:numPr>
        <w:tabs>
          <w:tab w:val="num" w:pos="914"/>
        </w:tabs>
      </w:pPr>
      <w:r>
        <w:t xml:space="preserve">averaging the data from the preceding five financial years; </w:t>
      </w:r>
    </w:p>
    <w:p w:rsidR="00332168" w:rsidRDefault="00332168" w:rsidP="00332168">
      <w:pPr>
        <w:pStyle w:val="UtilComNumbersIssues"/>
        <w:numPr>
          <w:ilvl w:val="0"/>
          <w:numId w:val="6"/>
        </w:numPr>
        <w:tabs>
          <w:tab w:val="num" w:pos="914"/>
        </w:tabs>
      </w:pPr>
      <w:r>
        <w:t xml:space="preserve">applying adjustments to the </w:t>
      </w:r>
      <w:r>
        <w:rPr>
          <w:lang w:val="en-AU"/>
        </w:rPr>
        <w:t>interruptions</w:t>
      </w:r>
      <w:r>
        <w:rPr>
          <w:rStyle w:val="FootnoteReference"/>
          <w:lang w:val="en-AU"/>
        </w:rPr>
        <w:footnoteReference w:id="3"/>
      </w:r>
      <w:r>
        <w:t xml:space="preserve"> by excluding those events that are considered outside the control of the network provider, such as:</w:t>
      </w:r>
    </w:p>
    <w:p w:rsidR="00332168" w:rsidRDefault="00332168" w:rsidP="00332168">
      <w:pPr>
        <w:pStyle w:val="UtilComNumbersIssues"/>
        <w:numPr>
          <w:ilvl w:val="1"/>
          <w:numId w:val="6"/>
        </w:numPr>
        <w:tabs>
          <w:tab w:val="left" w:pos="1418"/>
        </w:tabs>
        <w:ind w:left="1418" w:hanging="425"/>
      </w:pPr>
      <w:r>
        <w:t>load shedding due to a shortfall in generation;</w:t>
      </w:r>
    </w:p>
    <w:p w:rsidR="00332168" w:rsidRDefault="00332168" w:rsidP="00332168">
      <w:pPr>
        <w:pStyle w:val="UtilComNumbersIssues"/>
        <w:numPr>
          <w:ilvl w:val="1"/>
          <w:numId w:val="6"/>
        </w:numPr>
        <w:tabs>
          <w:tab w:val="left" w:pos="1418"/>
        </w:tabs>
        <w:ind w:left="1418" w:hanging="425"/>
      </w:pPr>
      <w:r>
        <w:lastRenderedPageBreak/>
        <w:t>planned network interruptions which have been notified to customers at least two days prior;</w:t>
      </w:r>
    </w:p>
    <w:p w:rsidR="00332168" w:rsidRDefault="00332168" w:rsidP="00332168">
      <w:pPr>
        <w:pStyle w:val="UtilComNumbersIssues"/>
        <w:numPr>
          <w:ilvl w:val="1"/>
          <w:numId w:val="6"/>
        </w:numPr>
        <w:tabs>
          <w:tab w:val="left" w:pos="851"/>
          <w:tab w:val="left" w:pos="1418"/>
        </w:tabs>
        <w:ind w:left="1418" w:hanging="425"/>
      </w:pPr>
      <w:r>
        <w:t>direction from the System Controller, a police officer or another authorised person exercising powers in relation to public safety;</w:t>
      </w:r>
    </w:p>
    <w:p w:rsidR="00332168" w:rsidRDefault="00332168" w:rsidP="00332168">
      <w:pPr>
        <w:pStyle w:val="UtilComNumbersIssues"/>
        <w:numPr>
          <w:ilvl w:val="1"/>
          <w:numId w:val="6"/>
        </w:numPr>
        <w:tabs>
          <w:tab w:val="left" w:pos="851"/>
          <w:tab w:val="left" w:pos="1418"/>
        </w:tabs>
        <w:ind w:left="1418" w:hanging="425"/>
      </w:pPr>
      <w:r>
        <w:t>a traffic accident;</w:t>
      </w:r>
    </w:p>
    <w:p w:rsidR="00332168" w:rsidRDefault="00332168" w:rsidP="00332168">
      <w:pPr>
        <w:pStyle w:val="UtilComNumbersIssues"/>
        <w:numPr>
          <w:ilvl w:val="1"/>
          <w:numId w:val="6"/>
        </w:numPr>
        <w:tabs>
          <w:tab w:val="left" w:pos="851"/>
          <w:tab w:val="left" w:pos="1418"/>
        </w:tabs>
        <w:ind w:left="1418" w:hanging="425"/>
      </w:pPr>
      <w:r>
        <w:t>an act of vandalism;</w:t>
      </w:r>
    </w:p>
    <w:p w:rsidR="00332168" w:rsidRDefault="00332168" w:rsidP="00332168">
      <w:pPr>
        <w:pStyle w:val="UtilComNumbersIssues"/>
        <w:numPr>
          <w:ilvl w:val="1"/>
          <w:numId w:val="6"/>
        </w:numPr>
        <w:tabs>
          <w:tab w:val="left" w:pos="851"/>
          <w:tab w:val="left" w:pos="1418"/>
        </w:tabs>
        <w:ind w:left="1418" w:hanging="425"/>
      </w:pPr>
      <w:r>
        <w:t>a network interruption caused by a customer’s electrical installation; or</w:t>
      </w:r>
    </w:p>
    <w:p w:rsidR="00332168" w:rsidRPr="00092E34" w:rsidRDefault="00332168" w:rsidP="00332168">
      <w:pPr>
        <w:pStyle w:val="UtilComNumbersIssues"/>
        <w:numPr>
          <w:ilvl w:val="1"/>
          <w:numId w:val="6"/>
        </w:numPr>
        <w:tabs>
          <w:tab w:val="left" w:pos="851"/>
          <w:tab w:val="left" w:pos="1418"/>
        </w:tabs>
        <w:spacing w:after="60"/>
        <w:ind w:left="1417" w:hanging="425"/>
      </w:pPr>
      <w:r>
        <w:t>a natural event that is identified as statistical outlier using the 2.5 beta method developed by the US Institute of Electrical and Electronics Engineers (IEEE).</w:t>
      </w:r>
      <w:r w:rsidRPr="0026775F">
        <w:rPr>
          <w:vertAlign w:val="superscript"/>
        </w:rPr>
        <w:footnoteReference w:id="4"/>
      </w:r>
      <w:r w:rsidRPr="0026775F">
        <w:rPr>
          <w:vertAlign w:val="superscript"/>
        </w:rPr>
        <w:t xml:space="preserve">  </w:t>
      </w:r>
    </w:p>
    <w:p w:rsidR="00332168" w:rsidRDefault="00332168" w:rsidP="00332168">
      <w:pPr>
        <w:pStyle w:val="UtilComNumbersIssues"/>
        <w:numPr>
          <w:ilvl w:val="0"/>
          <w:numId w:val="5"/>
        </w:numPr>
        <w:tabs>
          <w:tab w:val="clear" w:pos="914"/>
          <w:tab w:val="num" w:pos="567"/>
          <w:tab w:val="num" w:pos="630"/>
        </w:tabs>
        <w:ind w:left="567" w:hanging="567"/>
      </w:pPr>
      <w:r>
        <w:t>In deciding whether to approve the proposed targets, the Commission must have regard to:</w:t>
      </w:r>
      <w:r>
        <w:rPr>
          <w:rStyle w:val="FootnoteReference"/>
        </w:rPr>
        <w:footnoteReference w:id="5"/>
      </w:r>
      <w:r>
        <w:t xml:space="preserve"> </w:t>
      </w:r>
    </w:p>
    <w:p w:rsidR="00332168" w:rsidRDefault="00332168" w:rsidP="00332168">
      <w:pPr>
        <w:pStyle w:val="UtilComNumbersIssues"/>
        <w:numPr>
          <w:ilvl w:val="0"/>
          <w:numId w:val="6"/>
        </w:numPr>
        <w:tabs>
          <w:tab w:val="num" w:pos="914"/>
        </w:tabs>
      </w:pPr>
      <w:r>
        <w:t xml:space="preserve">the objectives of the ESS Code (that is, to promote improvement in standards of service by electricity entities among other things); </w:t>
      </w:r>
    </w:p>
    <w:p w:rsidR="00332168" w:rsidRDefault="00332168" w:rsidP="00332168">
      <w:pPr>
        <w:pStyle w:val="UtilComNumbersIssues"/>
        <w:numPr>
          <w:ilvl w:val="0"/>
          <w:numId w:val="6"/>
        </w:numPr>
        <w:tabs>
          <w:tab w:val="num" w:pos="914"/>
        </w:tabs>
      </w:pPr>
      <w:r>
        <w:t xml:space="preserve">the matters listed in section 6 (2) of the </w:t>
      </w:r>
      <w:r w:rsidRPr="005231BE">
        <w:rPr>
          <w:i/>
        </w:rPr>
        <w:t>Utilities Commission Act</w:t>
      </w:r>
      <w:r>
        <w:rPr>
          <w:i/>
          <w:lang w:val="en-AU"/>
        </w:rPr>
        <w:t>;</w:t>
      </w:r>
      <w:r w:rsidRPr="009063F6">
        <w:rPr>
          <w:rStyle w:val="FootnoteReference"/>
        </w:rPr>
        <w:footnoteReference w:id="6"/>
      </w:r>
      <w:r>
        <w:t xml:space="preserve"> and</w:t>
      </w:r>
    </w:p>
    <w:p w:rsidR="00332168" w:rsidRDefault="00332168" w:rsidP="00332168">
      <w:pPr>
        <w:pStyle w:val="UtilComNumbersIssues"/>
        <w:numPr>
          <w:ilvl w:val="0"/>
          <w:numId w:val="6"/>
        </w:numPr>
        <w:tabs>
          <w:tab w:val="num" w:pos="914"/>
        </w:tabs>
      </w:pPr>
      <w:r>
        <w:t xml:space="preserve">good electricity industry practice. </w:t>
      </w:r>
    </w:p>
    <w:p w:rsidR="00834DAF" w:rsidRPr="005C0F70" w:rsidRDefault="00332168" w:rsidP="00E5100D">
      <w:pPr>
        <w:pStyle w:val="UtilComNumbersIssues"/>
        <w:numPr>
          <w:ilvl w:val="0"/>
          <w:numId w:val="5"/>
        </w:numPr>
        <w:tabs>
          <w:tab w:val="clear" w:pos="914"/>
          <w:tab w:val="num" w:pos="567"/>
          <w:tab w:val="num" w:pos="630"/>
        </w:tabs>
        <w:spacing w:after="180"/>
        <w:ind w:left="567" w:hanging="567"/>
        <w:rPr>
          <w:b/>
        </w:rPr>
      </w:pPr>
      <w:r>
        <w:rPr>
          <w:lang w:val="en-AU"/>
        </w:rPr>
        <w:t>The Code provides that, should the Commission decide not to approve the proposed targets, it may set a target for each performance indicator that requires a target standard in any way the Commission sees fit.</w:t>
      </w:r>
      <w:r>
        <w:rPr>
          <w:rStyle w:val="FootnoteReference"/>
        </w:rPr>
        <w:footnoteReference w:id="7"/>
      </w:r>
    </w:p>
    <w:p w:rsidR="005C0F70" w:rsidRPr="00332168" w:rsidRDefault="005C0F70" w:rsidP="00E5100D">
      <w:pPr>
        <w:pStyle w:val="UtilComNumbersIssues"/>
        <w:numPr>
          <w:ilvl w:val="0"/>
          <w:numId w:val="5"/>
        </w:numPr>
        <w:tabs>
          <w:tab w:val="clear" w:pos="914"/>
          <w:tab w:val="num" w:pos="567"/>
          <w:tab w:val="num" w:pos="630"/>
        </w:tabs>
        <w:spacing w:after="180"/>
        <w:ind w:left="567" w:hanging="567"/>
        <w:rPr>
          <w:b/>
        </w:rPr>
      </w:pPr>
      <w:r>
        <w:rPr>
          <w:lang w:val="en-AU"/>
        </w:rPr>
        <w:t xml:space="preserve">The </w:t>
      </w:r>
      <w:r w:rsidR="00576DF4">
        <w:rPr>
          <w:lang w:val="en-AU"/>
        </w:rPr>
        <w:t xml:space="preserve">targets </w:t>
      </w:r>
      <w:r w:rsidR="00920DCE">
        <w:rPr>
          <w:lang w:val="en-AU"/>
        </w:rPr>
        <w:t>set</w:t>
      </w:r>
      <w:r w:rsidR="00576DF4">
        <w:rPr>
          <w:lang w:val="en-AU"/>
        </w:rPr>
        <w:t xml:space="preserve"> and approved</w:t>
      </w:r>
      <w:r w:rsidR="0002489D">
        <w:rPr>
          <w:lang w:val="en-AU"/>
        </w:rPr>
        <w:t xml:space="preserve"> by the Commission</w:t>
      </w:r>
      <w:r w:rsidR="00576DF4">
        <w:rPr>
          <w:lang w:val="en-AU"/>
        </w:rPr>
        <w:t xml:space="preserve"> in accordance with </w:t>
      </w:r>
      <w:r w:rsidR="002A6932">
        <w:rPr>
          <w:lang w:val="en-AU"/>
        </w:rPr>
        <w:br/>
      </w:r>
      <w:r w:rsidR="00576DF4">
        <w:rPr>
          <w:lang w:val="en-AU"/>
        </w:rPr>
        <w:t>clause 3.1 of the Code will apply for the duration of the regulatory control period.</w:t>
      </w:r>
    </w:p>
    <w:p w:rsidR="00834DAF" w:rsidRPr="001C02FE" w:rsidRDefault="00834DAF" w:rsidP="00834DAF">
      <w:pPr>
        <w:pStyle w:val="Default"/>
        <w:spacing w:after="180"/>
        <w:rPr>
          <w:b/>
        </w:rPr>
      </w:pPr>
      <w:r>
        <w:rPr>
          <w:b/>
        </w:rPr>
        <w:t>Approval of network</w:t>
      </w:r>
      <w:r w:rsidRPr="001C02FE">
        <w:rPr>
          <w:b/>
        </w:rPr>
        <w:t xml:space="preserve"> target standards</w:t>
      </w:r>
      <w:r>
        <w:rPr>
          <w:b/>
        </w:rPr>
        <w:t xml:space="preserve"> for the </w:t>
      </w:r>
      <w:r w:rsidR="00D81969">
        <w:rPr>
          <w:b/>
        </w:rPr>
        <w:t xml:space="preserve">regulatory control </w:t>
      </w:r>
      <w:r>
        <w:rPr>
          <w:b/>
        </w:rPr>
        <w:t>period ending 30 June 2019</w:t>
      </w:r>
    </w:p>
    <w:p w:rsidR="00834DAF" w:rsidRPr="00E5100D" w:rsidRDefault="00834DAF" w:rsidP="00834DAF">
      <w:pPr>
        <w:pStyle w:val="UtilComNumbersIssues"/>
        <w:numPr>
          <w:ilvl w:val="0"/>
          <w:numId w:val="5"/>
        </w:numPr>
        <w:tabs>
          <w:tab w:val="clear" w:pos="914"/>
          <w:tab w:val="num" w:pos="567"/>
          <w:tab w:val="num" w:pos="630"/>
        </w:tabs>
        <w:ind w:left="567" w:hanging="567"/>
        <w:rPr>
          <w:rFonts w:eastAsia="Calibri" w:cs="Arial"/>
          <w:color w:val="000000"/>
          <w:lang w:val="en-AU" w:eastAsia="en-US"/>
        </w:rPr>
      </w:pPr>
      <w:r w:rsidRPr="001C02FE">
        <w:rPr>
          <w:rFonts w:eastAsia="Calibri" w:cs="Arial"/>
          <w:color w:val="000000"/>
          <w:lang w:val="en-AU" w:eastAsia="en-US"/>
        </w:rPr>
        <w:t>In accordance with clause </w:t>
      </w:r>
      <w:r>
        <w:rPr>
          <w:rFonts w:eastAsia="Calibri" w:cs="Arial"/>
          <w:color w:val="000000"/>
          <w:lang w:val="en-AU" w:eastAsia="en-US"/>
        </w:rPr>
        <w:t>3.1</w:t>
      </w:r>
      <w:r w:rsidRPr="001C02FE">
        <w:rPr>
          <w:rFonts w:eastAsia="Calibri" w:cs="Arial"/>
          <w:color w:val="000000"/>
          <w:lang w:val="en-AU" w:eastAsia="en-US"/>
        </w:rPr>
        <w:t xml:space="preserve"> of the Code, the </w:t>
      </w:r>
      <w:r>
        <w:rPr>
          <w:rFonts w:eastAsia="Calibri" w:cs="Arial"/>
          <w:color w:val="000000"/>
          <w:lang w:val="en-AU" w:eastAsia="en-US"/>
        </w:rPr>
        <w:t xml:space="preserve">Commission has considered </w:t>
      </w:r>
      <w:r w:rsidRPr="001C02FE">
        <w:rPr>
          <w:rFonts w:eastAsia="Calibri" w:cs="Arial"/>
          <w:color w:val="000000"/>
          <w:lang w:val="en-AU" w:eastAsia="en-US"/>
        </w:rPr>
        <w:t xml:space="preserve">the </w:t>
      </w:r>
      <w:r w:rsidR="0037015D">
        <w:rPr>
          <w:rFonts w:eastAsia="Calibri" w:cs="Arial"/>
          <w:color w:val="000000"/>
          <w:lang w:val="en-AU" w:eastAsia="en-US"/>
        </w:rPr>
        <w:t xml:space="preserve">distribution </w:t>
      </w:r>
      <w:r>
        <w:rPr>
          <w:rFonts w:eastAsia="Calibri" w:cs="Arial"/>
          <w:color w:val="000000"/>
          <w:lang w:val="en-AU" w:eastAsia="en-US"/>
        </w:rPr>
        <w:t>target</w:t>
      </w:r>
      <w:r w:rsidR="0037015D">
        <w:rPr>
          <w:rFonts w:eastAsia="Calibri" w:cs="Arial"/>
          <w:color w:val="000000"/>
          <w:lang w:val="en-AU" w:eastAsia="en-US"/>
        </w:rPr>
        <w:t>s</w:t>
      </w:r>
      <w:r>
        <w:rPr>
          <w:rFonts w:eastAsia="Calibri" w:cs="Arial"/>
          <w:color w:val="000000"/>
          <w:lang w:val="en-AU" w:eastAsia="en-US"/>
        </w:rPr>
        <w:t xml:space="preserve"> </w:t>
      </w:r>
      <w:r w:rsidRPr="001C02FE">
        <w:rPr>
          <w:rFonts w:eastAsia="Calibri" w:cs="Arial"/>
          <w:color w:val="000000"/>
          <w:lang w:val="en-AU" w:eastAsia="en-US"/>
        </w:rPr>
        <w:t xml:space="preserve">developed by the Power and Water Corporation </w:t>
      </w:r>
      <w:r>
        <w:rPr>
          <w:rFonts w:eastAsia="Calibri" w:cs="Arial"/>
          <w:color w:val="000000"/>
          <w:lang w:val="en-AU" w:eastAsia="en-US"/>
        </w:rPr>
        <w:t xml:space="preserve">Networks </w:t>
      </w:r>
      <w:r w:rsidRPr="001C02FE">
        <w:rPr>
          <w:rFonts w:eastAsia="Calibri" w:cs="Arial"/>
          <w:color w:val="000000"/>
          <w:lang w:val="en-AU" w:eastAsia="en-US"/>
        </w:rPr>
        <w:t>(PWC</w:t>
      </w:r>
      <w:r>
        <w:rPr>
          <w:rFonts w:eastAsia="Calibri" w:cs="Arial"/>
          <w:color w:val="000000"/>
          <w:lang w:val="en-AU" w:eastAsia="en-US"/>
        </w:rPr>
        <w:t xml:space="preserve"> </w:t>
      </w:r>
      <w:r w:rsidRPr="00B01380">
        <w:rPr>
          <w:rFonts w:eastAsia="Calibri" w:cs="Arial"/>
          <w:color w:val="000000"/>
          <w:lang w:val="en-AU" w:eastAsia="en-US"/>
        </w:rPr>
        <w:t xml:space="preserve">Networks) and submitted to the Commission on 1 March 2013. </w:t>
      </w:r>
    </w:p>
    <w:p w:rsidR="00834DAF" w:rsidRPr="00C9716A" w:rsidRDefault="00834DAF" w:rsidP="00834DAF">
      <w:pPr>
        <w:pStyle w:val="UtilComNumbersIssues"/>
        <w:numPr>
          <w:ilvl w:val="0"/>
          <w:numId w:val="5"/>
        </w:numPr>
        <w:tabs>
          <w:tab w:val="clear" w:pos="914"/>
          <w:tab w:val="num" w:pos="567"/>
          <w:tab w:val="num" w:pos="630"/>
        </w:tabs>
        <w:ind w:left="567" w:hanging="567"/>
        <w:rPr>
          <w:rFonts w:eastAsia="Calibri" w:cs="Arial"/>
          <w:color w:val="000000"/>
          <w:lang w:val="en-AU" w:eastAsia="en-US"/>
        </w:rPr>
      </w:pPr>
      <w:r w:rsidRPr="00C9716A">
        <w:rPr>
          <w:rFonts w:eastAsia="Calibri" w:cs="Arial"/>
          <w:color w:val="000000"/>
          <w:lang w:val="en-AU" w:eastAsia="en-US"/>
        </w:rPr>
        <w:t xml:space="preserve">The Commission </w:t>
      </w:r>
      <w:r w:rsidR="001E305D">
        <w:rPr>
          <w:rFonts w:eastAsia="Calibri" w:cs="Arial"/>
          <w:color w:val="000000"/>
          <w:lang w:val="en-AU" w:eastAsia="en-US"/>
        </w:rPr>
        <w:t xml:space="preserve">does </w:t>
      </w:r>
      <w:r w:rsidRPr="00C9716A">
        <w:rPr>
          <w:rFonts w:eastAsia="Calibri" w:cs="Arial"/>
          <w:color w:val="000000"/>
          <w:lang w:val="en-AU" w:eastAsia="en-US"/>
        </w:rPr>
        <w:t xml:space="preserve">not </w:t>
      </w:r>
      <w:r w:rsidR="001E305D">
        <w:rPr>
          <w:rFonts w:eastAsia="Calibri" w:cs="Arial"/>
          <w:color w:val="000000"/>
          <w:lang w:val="en-AU" w:eastAsia="en-US"/>
        </w:rPr>
        <w:t>approve</w:t>
      </w:r>
      <w:r w:rsidRPr="00C9716A">
        <w:rPr>
          <w:rFonts w:eastAsia="Calibri" w:cs="Arial"/>
          <w:color w:val="000000"/>
          <w:lang w:val="en-AU" w:eastAsia="en-US"/>
        </w:rPr>
        <w:t xml:space="preserve"> the proposed distribution targets submitted by PWC Networks </w:t>
      </w:r>
      <w:r w:rsidR="002A6932">
        <w:rPr>
          <w:rFonts w:eastAsia="Calibri" w:cs="Arial"/>
          <w:color w:val="000000"/>
          <w:lang w:val="en-AU" w:eastAsia="en-US"/>
        </w:rPr>
        <w:t xml:space="preserve">as they do not </w:t>
      </w:r>
      <w:r w:rsidRPr="00C9716A">
        <w:rPr>
          <w:rFonts w:eastAsia="Calibri" w:cs="Arial"/>
          <w:color w:val="000000"/>
          <w:lang w:val="en-AU" w:eastAsia="en-US"/>
        </w:rPr>
        <w:t>meet the objectives of the Code which, inter alia, aim to “promote improvement in standards of service by electricity entities in the electricity supply industry”. In</w:t>
      </w:r>
      <w:r w:rsidRPr="00A010F8">
        <w:rPr>
          <w:rFonts w:eastAsia="Calibri" w:cs="Arial"/>
          <w:color w:val="000000"/>
          <w:lang w:val="en-AU" w:eastAsia="en-US"/>
        </w:rPr>
        <w:t xml:space="preserve"> making its decision, the Commission had </w:t>
      </w:r>
      <w:r w:rsidR="002A6932">
        <w:rPr>
          <w:rFonts w:eastAsia="Calibri" w:cs="Arial"/>
          <w:color w:val="000000"/>
          <w:lang w:val="en-AU" w:eastAsia="en-US"/>
        </w:rPr>
        <w:t xml:space="preserve">also </w:t>
      </w:r>
      <w:r w:rsidRPr="00A010F8">
        <w:rPr>
          <w:rFonts w:eastAsia="Calibri" w:cs="Arial"/>
          <w:color w:val="000000"/>
          <w:lang w:val="en-AU" w:eastAsia="en-US"/>
        </w:rPr>
        <w:t>regard to PWC Networks’ historical performance, customers’ willingness to pay and the performance of comparable distributors in other Australian jurisdictions.</w:t>
      </w:r>
    </w:p>
    <w:p w:rsidR="00B14592" w:rsidRDefault="00834DAF" w:rsidP="00834DAF">
      <w:pPr>
        <w:pStyle w:val="UtilComNumbersIssues"/>
        <w:numPr>
          <w:ilvl w:val="0"/>
          <w:numId w:val="5"/>
        </w:numPr>
        <w:tabs>
          <w:tab w:val="clear" w:pos="914"/>
          <w:tab w:val="num" w:pos="567"/>
          <w:tab w:val="num" w:pos="630"/>
        </w:tabs>
        <w:ind w:left="567" w:hanging="567"/>
        <w:rPr>
          <w:rFonts w:eastAsia="Calibri" w:cs="Arial"/>
          <w:color w:val="000000"/>
          <w:lang w:val="en-AU" w:eastAsia="en-US"/>
        </w:rPr>
      </w:pPr>
      <w:r w:rsidRPr="00CE2CFE">
        <w:rPr>
          <w:rFonts w:eastAsia="Calibri" w:cs="Arial"/>
          <w:color w:val="000000"/>
          <w:lang w:val="en-AU" w:eastAsia="en-US"/>
        </w:rPr>
        <w:t xml:space="preserve">Pursuant to clause 3.1.8 of the Code, the Commission has </w:t>
      </w:r>
      <w:r w:rsidR="00920DCE">
        <w:rPr>
          <w:rFonts w:eastAsia="Calibri" w:cs="Arial"/>
          <w:color w:val="000000"/>
          <w:lang w:val="en-AU" w:eastAsia="en-US"/>
        </w:rPr>
        <w:t xml:space="preserve">set </w:t>
      </w:r>
      <w:r w:rsidRPr="00CE2CFE">
        <w:rPr>
          <w:rFonts w:eastAsia="Calibri" w:cs="Arial"/>
          <w:color w:val="000000"/>
          <w:lang w:val="en-AU" w:eastAsia="en-US"/>
        </w:rPr>
        <w:t>distribution targets using</w:t>
      </w:r>
      <w:r w:rsidR="00B14592">
        <w:rPr>
          <w:rFonts w:eastAsia="Calibri" w:cs="Arial"/>
          <w:color w:val="000000"/>
          <w:lang w:val="en-AU" w:eastAsia="en-US"/>
        </w:rPr>
        <w:t xml:space="preserve"> an improvement factor of:</w:t>
      </w:r>
    </w:p>
    <w:p w:rsidR="00B14592" w:rsidRDefault="00B14592" w:rsidP="00B14592">
      <w:pPr>
        <w:pStyle w:val="UtilComNumbersIssues"/>
        <w:numPr>
          <w:ilvl w:val="0"/>
          <w:numId w:val="6"/>
        </w:numPr>
        <w:tabs>
          <w:tab w:val="num" w:pos="914"/>
        </w:tabs>
        <w:rPr>
          <w:rFonts w:eastAsia="Calibri" w:cs="Arial"/>
          <w:color w:val="000000"/>
          <w:lang w:val="en-AU" w:eastAsia="en-US"/>
        </w:rPr>
      </w:pPr>
      <w:r>
        <w:rPr>
          <w:rFonts w:eastAsia="Calibri" w:cs="Arial"/>
          <w:color w:val="000000"/>
          <w:lang w:val="en-AU" w:eastAsia="en-US"/>
        </w:rPr>
        <w:t>5 per cent applicable to CBD, rural short and urban feeders; and</w:t>
      </w:r>
    </w:p>
    <w:p w:rsidR="00B14592" w:rsidRDefault="00B14592" w:rsidP="00B14592">
      <w:pPr>
        <w:pStyle w:val="UtilComNumbersIssues"/>
        <w:numPr>
          <w:ilvl w:val="0"/>
          <w:numId w:val="6"/>
        </w:numPr>
        <w:tabs>
          <w:tab w:val="num" w:pos="914"/>
        </w:tabs>
        <w:rPr>
          <w:rFonts w:eastAsia="Calibri" w:cs="Arial"/>
          <w:color w:val="000000"/>
          <w:lang w:val="en-AU" w:eastAsia="en-US"/>
        </w:rPr>
      </w:pPr>
      <w:r>
        <w:rPr>
          <w:rFonts w:eastAsia="Calibri" w:cs="Arial"/>
          <w:color w:val="000000"/>
          <w:lang w:val="en-AU" w:eastAsia="en-US"/>
        </w:rPr>
        <w:t>10 per cent applicable to rural long feeders due to their exceptionally poor</w:t>
      </w:r>
      <w:r w:rsidR="00B84A02">
        <w:rPr>
          <w:rFonts w:eastAsia="Calibri" w:cs="Arial"/>
          <w:color w:val="000000"/>
          <w:lang w:val="en-AU" w:eastAsia="en-US"/>
        </w:rPr>
        <w:t xml:space="preserve"> historical</w:t>
      </w:r>
      <w:r>
        <w:rPr>
          <w:rFonts w:eastAsia="Calibri" w:cs="Arial"/>
          <w:color w:val="000000"/>
          <w:lang w:val="en-AU" w:eastAsia="en-US"/>
        </w:rPr>
        <w:t xml:space="preserve"> performance. </w:t>
      </w:r>
    </w:p>
    <w:p w:rsidR="00834DAF" w:rsidRDefault="00834DAF" w:rsidP="00834DAF">
      <w:pPr>
        <w:pStyle w:val="UtilComNumbersIssues"/>
        <w:numPr>
          <w:ilvl w:val="0"/>
          <w:numId w:val="5"/>
        </w:numPr>
        <w:tabs>
          <w:tab w:val="clear" w:pos="914"/>
          <w:tab w:val="num" w:pos="567"/>
          <w:tab w:val="num" w:pos="630"/>
        </w:tabs>
        <w:ind w:left="567" w:hanging="567"/>
        <w:rPr>
          <w:rFonts w:eastAsia="Calibri" w:cs="Arial"/>
          <w:color w:val="000000"/>
          <w:lang w:val="en-AU" w:eastAsia="en-US"/>
        </w:rPr>
      </w:pPr>
      <w:r w:rsidRPr="00CE2CFE">
        <w:rPr>
          <w:rFonts w:eastAsia="Calibri" w:cs="Arial"/>
          <w:color w:val="000000"/>
          <w:lang w:val="en-AU" w:eastAsia="en-US"/>
        </w:rPr>
        <w:lastRenderedPageBreak/>
        <w:t>The</w:t>
      </w:r>
      <w:r w:rsidR="001E305D">
        <w:rPr>
          <w:rFonts w:eastAsia="Calibri" w:cs="Arial"/>
          <w:color w:val="000000"/>
          <w:lang w:val="en-AU" w:eastAsia="en-US"/>
        </w:rPr>
        <w:t xml:space="preserve"> Commission’s</w:t>
      </w:r>
      <w:r w:rsidR="005263D9">
        <w:rPr>
          <w:rFonts w:eastAsia="Calibri" w:cs="Arial"/>
          <w:color w:val="000000"/>
          <w:lang w:val="en-AU" w:eastAsia="en-US"/>
        </w:rPr>
        <w:t xml:space="preserve"> determination approves the</w:t>
      </w:r>
      <w:r w:rsidRPr="00CE2CFE">
        <w:rPr>
          <w:rFonts w:eastAsia="Calibri" w:cs="Arial"/>
          <w:color w:val="000000"/>
          <w:lang w:val="en-AU" w:eastAsia="en-US"/>
        </w:rPr>
        <w:t xml:space="preserve"> distribution targets developed by the Commission </w:t>
      </w:r>
      <w:r w:rsidR="005263D9">
        <w:rPr>
          <w:rFonts w:eastAsia="Calibri" w:cs="Arial"/>
          <w:color w:val="000000"/>
          <w:lang w:val="en-AU" w:eastAsia="en-US"/>
        </w:rPr>
        <w:t xml:space="preserve">contained in Table </w:t>
      </w:r>
      <w:r w:rsidR="00067C7F">
        <w:rPr>
          <w:rFonts w:eastAsia="Calibri" w:cs="Arial"/>
          <w:color w:val="000000"/>
          <w:lang w:val="en-AU" w:eastAsia="en-US"/>
        </w:rPr>
        <w:t>2</w:t>
      </w:r>
      <w:r w:rsidR="005263D9">
        <w:rPr>
          <w:rFonts w:eastAsia="Calibri" w:cs="Arial"/>
          <w:color w:val="000000"/>
          <w:lang w:val="en-AU" w:eastAsia="en-US"/>
        </w:rPr>
        <w:t xml:space="preserve"> below. </w:t>
      </w:r>
    </w:p>
    <w:p w:rsidR="00834DAF" w:rsidRPr="00CE2CFE" w:rsidRDefault="00834DAF" w:rsidP="00834DAF">
      <w:pPr>
        <w:pStyle w:val="UtilComNumbersIssues"/>
        <w:tabs>
          <w:tab w:val="num" w:pos="630"/>
        </w:tabs>
        <w:ind w:left="567"/>
        <w:rPr>
          <w:rFonts w:cs="Arial"/>
          <w:sz w:val="18"/>
          <w:szCs w:val="18"/>
          <w:lang w:val="en-US" w:eastAsia="en-US"/>
        </w:rPr>
      </w:pPr>
      <w:r w:rsidRPr="00CE2CFE">
        <w:rPr>
          <w:rFonts w:cs="Arial"/>
          <w:sz w:val="18"/>
          <w:szCs w:val="18"/>
          <w:lang w:val="en-US" w:eastAsia="en-US"/>
        </w:rPr>
        <w:t xml:space="preserve">Table </w:t>
      </w:r>
      <w:r w:rsidR="00067C7F">
        <w:rPr>
          <w:rFonts w:cs="Arial"/>
          <w:sz w:val="18"/>
          <w:szCs w:val="18"/>
          <w:lang w:val="en-US" w:eastAsia="en-US"/>
        </w:rPr>
        <w:t>2</w:t>
      </w:r>
      <w:r w:rsidRPr="00CE2CFE">
        <w:rPr>
          <w:rFonts w:cs="Arial"/>
          <w:sz w:val="18"/>
          <w:szCs w:val="18"/>
          <w:lang w:val="en-US" w:eastAsia="en-US"/>
        </w:rPr>
        <w:t xml:space="preserve">: </w:t>
      </w:r>
      <w:r w:rsidR="001E305D">
        <w:rPr>
          <w:rFonts w:cs="Arial"/>
          <w:sz w:val="18"/>
          <w:szCs w:val="18"/>
          <w:lang w:val="en-US" w:eastAsia="en-US"/>
        </w:rPr>
        <w:t>D</w:t>
      </w:r>
      <w:r>
        <w:rPr>
          <w:rFonts w:cs="Arial"/>
          <w:sz w:val="18"/>
          <w:szCs w:val="18"/>
          <w:lang w:val="en-US" w:eastAsia="en-US"/>
        </w:rPr>
        <w:t>istribution targets</w:t>
      </w:r>
      <w:r w:rsidR="00920DCE">
        <w:rPr>
          <w:rFonts w:cs="Arial"/>
          <w:sz w:val="18"/>
          <w:szCs w:val="18"/>
          <w:lang w:val="en-US" w:eastAsia="en-US"/>
        </w:rPr>
        <w:t xml:space="preserve"> set by the Commission</w:t>
      </w:r>
    </w:p>
    <w:tbl>
      <w:tblPr>
        <w:tblW w:w="7114" w:type="dxa"/>
        <w:tblInd w:w="649" w:type="dxa"/>
        <w:tblLook w:val="04A0" w:firstRow="1" w:lastRow="0" w:firstColumn="1" w:lastColumn="0" w:noHBand="0" w:noVBand="1"/>
      </w:tblPr>
      <w:tblGrid>
        <w:gridCol w:w="1858"/>
        <w:gridCol w:w="2563"/>
        <w:gridCol w:w="2693"/>
      </w:tblGrid>
      <w:tr w:rsidR="00834DAF" w:rsidRPr="00CE2CFE" w:rsidTr="00665A3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AF" w:rsidRPr="00CE2CFE" w:rsidRDefault="00834DAF" w:rsidP="00665A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AF" w:rsidRPr="00CE2CFE" w:rsidRDefault="00834DAF" w:rsidP="00665A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Distribution Targets</w:t>
            </w:r>
          </w:p>
        </w:tc>
      </w:tr>
      <w:tr w:rsidR="00834DAF" w:rsidRPr="00CE2CFE" w:rsidTr="00665A3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AF" w:rsidRPr="00CE2CFE" w:rsidRDefault="00834DAF" w:rsidP="00665A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Feeder category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AF" w:rsidRPr="00CE2CFE" w:rsidRDefault="00834DAF" w:rsidP="00665A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System Average Interruption Duration Index (SAIDI)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AF" w:rsidRPr="00CE2CFE" w:rsidRDefault="00834DAF" w:rsidP="00665A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System Average Interruption Frequency Index (SAIFI)</w:t>
            </w:r>
          </w:p>
        </w:tc>
      </w:tr>
      <w:tr w:rsidR="00834DAF" w:rsidRPr="00CE2CFE" w:rsidTr="00665A3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AF" w:rsidRPr="00CE2CFE" w:rsidRDefault="00834DAF" w:rsidP="00665A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Rural Long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AF" w:rsidRPr="00CE2CFE" w:rsidRDefault="00834DAF" w:rsidP="00B1459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2,1</w:t>
            </w:r>
            <w:r w:rsidR="00B14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64.9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AF" w:rsidRPr="00CE2CFE" w:rsidRDefault="00834DAF" w:rsidP="006C7A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B14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6C7A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34DAF" w:rsidRPr="00CE2CFE" w:rsidTr="00665A3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AF" w:rsidRPr="00CE2CFE" w:rsidRDefault="00834DAF" w:rsidP="00665A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Rural short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AF" w:rsidRPr="00CE2CFE" w:rsidRDefault="00834DAF" w:rsidP="00B1459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</w:t>
            </w:r>
            <w:r w:rsidR="00B14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AF" w:rsidRPr="00CE2CFE" w:rsidRDefault="00834DAF" w:rsidP="00B1459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  <w:r w:rsidR="00B14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34DAF" w:rsidRPr="00CE2CFE" w:rsidTr="00665A3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AF" w:rsidRPr="00CE2CFE" w:rsidRDefault="00834DAF" w:rsidP="00665A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AF" w:rsidRPr="00CE2CFE" w:rsidRDefault="00834DAF" w:rsidP="00947A1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B14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</w:t>
            </w: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947A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AF" w:rsidRPr="00CE2CFE" w:rsidRDefault="00834DAF" w:rsidP="00B1459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  <w:r w:rsidR="00B14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34DAF" w:rsidRPr="00CE2CFE" w:rsidTr="00665A3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AF" w:rsidRPr="00CE2CFE" w:rsidRDefault="00834DAF" w:rsidP="00665A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CBD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AF" w:rsidRPr="00CE2CFE" w:rsidRDefault="00834DAF" w:rsidP="00B1459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B14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DAF" w:rsidRPr="00CE2CFE" w:rsidRDefault="00834DAF" w:rsidP="00665A3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0.4</w:t>
            </w:r>
          </w:p>
        </w:tc>
      </w:tr>
    </w:tbl>
    <w:p w:rsidR="00834DAF" w:rsidRDefault="00834DAF" w:rsidP="00834DAF">
      <w:pPr>
        <w:pStyle w:val="Default"/>
        <w:rPr>
          <w:b/>
        </w:rPr>
      </w:pPr>
    </w:p>
    <w:p w:rsidR="00B14592" w:rsidRDefault="00B14592" w:rsidP="00834DAF">
      <w:pPr>
        <w:pStyle w:val="UtilComNumbersIssues"/>
        <w:numPr>
          <w:ilvl w:val="0"/>
          <w:numId w:val="5"/>
        </w:numPr>
        <w:tabs>
          <w:tab w:val="clear" w:pos="914"/>
          <w:tab w:val="num" w:pos="567"/>
          <w:tab w:val="num" w:pos="630"/>
        </w:tabs>
        <w:ind w:left="567" w:hanging="567"/>
        <w:rPr>
          <w:lang w:val="en-AU"/>
        </w:rPr>
      </w:pPr>
      <w:r>
        <w:rPr>
          <w:lang w:val="en-AU"/>
        </w:rPr>
        <w:t>The Commission is of the view that the approved targets:</w:t>
      </w:r>
    </w:p>
    <w:p w:rsidR="00B14592" w:rsidRDefault="00B14592" w:rsidP="00B14592">
      <w:pPr>
        <w:pStyle w:val="UtilComNumbersIssues"/>
        <w:numPr>
          <w:ilvl w:val="0"/>
          <w:numId w:val="6"/>
        </w:numPr>
        <w:tabs>
          <w:tab w:val="num" w:pos="914"/>
        </w:tabs>
        <w:rPr>
          <w:lang w:val="en-AU"/>
        </w:rPr>
      </w:pPr>
      <w:r w:rsidRPr="00B14592">
        <w:rPr>
          <w:rFonts w:eastAsia="Calibri" w:cs="Arial"/>
          <w:color w:val="000000"/>
          <w:lang w:val="en-AU" w:eastAsia="en-US"/>
        </w:rPr>
        <w:t>promote</w:t>
      </w:r>
      <w:r>
        <w:rPr>
          <w:lang w:val="en-AU"/>
        </w:rPr>
        <w:t xml:space="preserve"> improvement in standards of service by the network provider;</w:t>
      </w:r>
    </w:p>
    <w:p w:rsidR="00B14592" w:rsidRDefault="00B14592" w:rsidP="00B14592">
      <w:pPr>
        <w:pStyle w:val="UtilComNumbersIssues"/>
        <w:numPr>
          <w:ilvl w:val="0"/>
          <w:numId w:val="6"/>
        </w:numPr>
        <w:tabs>
          <w:tab w:val="num" w:pos="914"/>
        </w:tabs>
        <w:rPr>
          <w:lang w:val="en-AU"/>
        </w:rPr>
      </w:pPr>
      <w:r>
        <w:rPr>
          <w:lang w:val="en-AU"/>
        </w:rPr>
        <w:t>are achievable; and</w:t>
      </w:r>
    </w:p>
    <w:p w:rsidR="00B14592" w:rsidRPr="00B14592" w:rsidRDefault="00B14592" w:rsidP="00B14592">
      <w:pPr>
        <w:pStyle w:val="UtilComNumbersIssues"/>
        <w:numPr>
          <w:ilvl w:val="0"/>
          <w:numId w:val="6"/>
        </w:numPr>
        <w:tabs>
          <w:tab w:val="num" w:pos="914"/>
        </w:tabs>
        <w:rPr>
          <w:lang w:val="en-AU"/>
        </w:rPr>
      </w:pPr>
      <w:proofErr w:type="gramStart"/>
      <w:r>
        <w:rPr>
          <w:lang w:val="en-AU"/>
        </w:rPr>
        <w:t>are</w:t>
      </w:r>
      <w:proofErr w:type="gramEnd"/>
      <w:r>
        <w:rPr>
          <w:lang w:val="en-AU"/>
        </w:rPr>
        <w:t xml:space="preserve"> broadly comparable with peers in other jurisdictions. </w:t>
      </w:r>
    </w:p>
    <w:p w:rsidR="005263D9" w:rsidRDefault="005263D9" w:rsidP="00834DAF">
      <w:pPr>
        <w:pStyle w:val="UtilComNumbersIssues"/>
        <w:numPr>
          <w:ilvl w:val="0"/>
          <w:numId w:val="5"/>
        </w:numPr>
        <w:tabs>
          <w:tab w:val="clear" w:pos="914"/>
          <w:tab w:val="num" w:pos="567"/>
          <w:tab w:val="num" w:pos="630"/>
        </w:tabs>
        <w:ind w:left="567" w:hanging="567"/>
        <w:rPr>
          <w:lang w:val="en-AU"/>
        </w:rPr>
      </w:pPr>
      <w:r>
        <w:rPr>
          <w:rFonts w:eastAsia="Calibri" w:cs="Arial"/>
          <w:color w:val="000000"/>
          <w:lang w:val="en-AU" w:eastAsia="en-US"/>
        </w:rPr>
        <w:t xml:space="preserve">The approved distribution targets in Table </w:t>
      </w:r>
      <w:r w:rsidR="00F10993">
        <w:rPr>
          <w:rFonts w:eastAsia="Calibri" w:cs="Arial"/>
          <w:color w:val="000000"/>
          <w:lang w:val="en-AU" w:eastAsia="en-US"/>
        </w:rPr>
        <w:t>2</w:t>
      </w:r>
      <w:r>
        <w:rPr>
          <w:rFonts w:eastAsia="Calibri" w:cs="Arial"/>
          <w:color w:val="000000"/>
          <w:lang w:val="en-AU" w:eastAsia="en-US"/>
        </w:rPr>
        <w:t xml:space="preserve"> will apply </w:t>
      </w:r>
      <w:r w:rsidR="00B42D57">
        <w:rPr>
          <w:rFonts w:eastAsia="Calibri" w:cs="Arial"/>
          <w:color w:val="000000"/>
          <w:lang w:val="en-AU" w:eastAsia="en-US"/>
        </w:rPr>
        <w:t xml:space="preserve">for the </w:t>
      </w:r>
      <w:r w:rsidR="00D81969">
        <w:rPr>
          <w:rFonts w:eastAsia="Calibri" w:cs="Arial"/>
          <w:color w:val="000000"/>
          <w:lang w:val="en-AU" w:eastAsia="en-US"/>
        </w:rPr>
        <w:t xml:space="preserve">1 July 2014 </w:t>
      </w:r>
      <w:r w:rsidR="006C7A63">
        <w:rPr>
          <w:rFonts w:eastAsia="Calibri" w:cs="Arial"/>
          <w:color w:val="000000"/>
          <w:lang w:val="en-AU" w:eastAsia="en-US"/>
        </w:rPr>
        <w:t xml:space="preserve">to </w:t>
      </w:r>
      <w:r>
        <w:rPr>
          <w:rFonts w:eastAsia="Calibri" w:cs="Arial"/>
          <w:color w:val="000000"/>
          <w:lang w:val="en-AU" w:eastAsia="en-US"/>
        </w:rPr>
        <w:t>30 June 2019</w:t>
      </w:r>
      <w:r w:rsidR="00D81969" w:rsidRPr="00D81969">
        <w:rPr>
          <w:rFonts w:eastAsia="Calibri" w:cs="Arial"/>
          <w:color w:val="000000"/>
          <w:lang w:val="en-AU" w:eastAsia="en-US"/>
        </w:rPr>
        <w:t xml:space="preserve"> </w:t>
      </w:r>
      <w:r w:rsidR="00D81969">
        <w:rPr>
          <w:rFonts w:eastAsia="Calibri" w:cs="Arial"/>
          <w:color w:val="000000"/>
          <w:lang w:val="en-AU" w:eastAsia="en-US"/>
        </w:rPr>
        <w:t>regulatory control period</w:t>
      </w:r>
      <w:r>
        <w:rPr>
          <w:rFonts w:eastAsia="Calibri" w:cs="Arial"/>
          <w:color w:val="000000"/>
          <w:lang w:val="en-AU" w:eastAsia="en-US"/>
        </w:rPr>
        <w:t>.</w:t>
      </w:r>
    </w:p>
    <w:p w:rsidR="008C3ECB" w:rsidRPr="00067C7F" w:rsidRDefault="0041535A" w:rsidP="008C3ECB">
      <w:pPr>
        <w:pStyle w:val="UtilComNumbersIssues"/>
        <w:numPr>
          <w:ilvl w:val="0"/>
          <w:numId w:val="5"/>
        </w:numPr>
        <w:tabs>
          <w:tab w:val="clear" w:pos="914"/>
          <w:tab w:val="num" w:pos="567"/>
          <w:tab w:val="num" w:pos="630"/>
        </w:tabs>
        <w:ind w:left="567" w:hanging="567"/>
        <w:rPr>
          <w:lang w:val="en-AU"/>
        </w:rPr>
      </w:pPr>
      <w:r w:rsidRPr="00067C7F">
        <w:rPr>
          <w:lang w:val="en-AU"/>
        </w:rPr>
        <w:t xml:space="preserve">The Commission </w:t>
      </w:r>
      <w:r w:rsidR="005263D9" w:rsidRPr="00067C7F">
        <w:rPr>
          <w:lang w:val="en-AU"/>
        </w:rPr>
        <w:t>approv</w:t>
      </w:r>
      <w:r w:rsidRPr="00067C7F">
        <w:rPr>
          <w:lang w:val="en-AU"/>
        </w:rPr>
        <w:t xml:space="preserve">es </w:t>
      </w:r>
      <w:r w:rsidR="00834DAF" w:rsidRPr="00067C7F">
        <w:rPr>
          <w:lang w:val="en-AU"/>
        </w:rPr>
        <w:t>the transmission target</w:t>
      </w:r>
      <w:r w:rsidR="00920DCE">
        <w:rPr>
          <w:lang w:val="en-AU"/>
        </w:rPr>
        <w:t>s</w:t>
      </w:r>
      <w:r w:rsidR="00834DAF" w:rsidRPr="00067C7F">
        <w:rPr>
          <w:lang w:val="en-AU"/>
        </w:rPr>
        <w:t xml:space="preserve"> developed by PWC Networks</w:t>
      </w:r>
      <w:r w:rsidR="005263D9" w:rsidRPr="00067C7F">
        <w:rPr>
          <w:lang w:val="en-AU"/>
        </w:rPr>
        <w:t>.</w:t>
      </w:r>
      <w:r w:rsidR="00834DAF" w:rsidRPr="00067C7F">
        <w:rPr>
          <w:lang w:val="en-AU"/>
        </w:rPr>
        <w:t xml:space="preserve"> </w:t>
      </w:r>
      <w:r w:rsidR="00834DAF" w:rsidRPr="00067C7F">
        <w:rPr>
          <w:rFonts w:eastAsia="Calibri" w:cs="Arial"/>
          <w:color w:val="000000"/>
          <w:lang w:val="en-AU" w:eastAsia="en-US"/>
        </w:rPr>
        <w:t xml:space="preserve">The </w:t>
      </w:r>
      <w:r w:rsidR="005263D9" w:rsidRPr="00067C7F">
        <w:rPr>
          <w:rFonts w:eastAsia="Calibri" w:cs="Arial"/>
          <w:color w:val="000000"/>
          <w:lang w:val="en-AU" w:eastAsia="en-US"/>
        </w:rPr>
        <w:t xml:space="preserve">approved </w:t>
      </w:r>
      <w:r w:rsidR="00834DAF" w:rsidRPr="00067C7F">
        <w:rPr>
          <w:rFonts w:eastAsia="Calibri" w:cs="Arial"/>
          <w:color w:val="000000"/>
          <w:lang w:val="en-AU" w:eastAsia="en-US"/>
        </w:rPr>
        <w:t xml:space="preserve">transmission targets are contained in Table </w:t>
      </w:r>
      <w:r w:rsidR="00067C7F" w:rsidRPr="00067C7F">
        <w:rPr>
          <w:rFonts w:eastAsia="Calibri" w:cs="Arial"/>
          <w:color w:val="000000"/>
          <w:lang w:val="en-AU" w:eastAsia="en-US"/>
        </w:rPr>
        <w:t>3</w:t>
      </w:r>
      <w:r w:rsidR="00834DAF" w:rsidRPr="00067C7F">
        <w:rPr>
          <w:rFonts w:eastAsia="Calibri" w:cs="Arial"/>
          <w:color w:val="000000"/>
          <w:lang w:val="en-AU" w:eastAsia="en-US"/>
        </w:rPr>
        <w:t>.</w:t>
      </w:r>
    </w:p>
    <w:p w:rsidR="00834DAF" w:rsidRPr="00C809F8" w:rsidRDefault="00834DAF" w:rsidP="00834DAF">
      <w:pPr>
        <w:pStyle w:val="UtilComNumbersIssues"/>
        <w:tabs>
          <w:tab w:val="num" w:pos="630"/>
        </w:tabs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 xml:space="preserve">           </w:t>
      </w:r>
      <w:r w:rsidRPr="00C809F8">
        <w:rPr>
          <w:rFonts w:cs="Arial"/>
          <w:sz w:val="18"/>
          <w:szCs w:val="18"/>
          <w:lang w:val="en-US" w:eastAsia="en-US"/>
        </w:rPr>
        <w:t xml:space="preserve">Table </w:t>
      </w:r>
      <w:r w:rsidR="00067C7F">
        <w:rPr>
          <w:rFonts w:cs="Arial"/>
          <w:sz w:val="18"/>
          <w:szCs w:val="18"/>
          <w:lang w:val="en-US" w:eastAsia="en-US"/>
        </w:rPr>
        <w:t>3</w:t>
      </w:r>
      <w:r w:rsidRPr="00C809F8">
        <w:rPr>
          <w:rFonts w:cs="Arial"/>
          <w:sz w:val="18"/>
          <w:szCs w:val="18"/>
          <w:lang w:val="en-US" w:eastAsia="en-US"/>
        </w:rPr>
        <w:t xml:space="preserve">: Transmission </w:t>
      </w:r>
      <w:r w:rsidR="00920DCE">
        <w:rPr>
          <w:rFonts w:cs="Arial"/>
          <w:sz w:val="18"/>
          <w:szCs w:val="18"/>
          <w:lang w:val="en-US" w:eastAsia="en-US"/>
        </w:rPr>
        <w:t>c</w:t>
      </w:r>
      <w:r w:rsidRPr="00C809F8">
        <w:rPr>
          <w:rFonts w:cs="Arial"/>
          <w:sz w:val="18"/>
          <w:szCs w:val="18"/>
          <w:lang w:val="en-US" w:eastAsia="en-US"/>
        </w:rPr>
        <w:t xml:space="preserve">ircuit and </w:t>
      </w:r>
      <w:r w:rsidR="00920DCE">
        <w:rPr>
          <w:rFonts w:cs="Arial"/>
          <w:sz w:val="18"/>
          <w:szCs w:val="18"/>
          <w:lang w:val="en-US" w:eastAsia="en-US"/>
        </w:rPr>
        <w:t>t</w:t>
      </w:r>
      <w:r w:rsidRPr="00C809F8">
        <w:rPr>
          <w:rFonts w:cs="Arial"/>
          <w:sz w:val="18"/>
          <w:szCs w:val="18"/>
          <w:lang w:val="en-US" w:eastAsia="en-US"/>
        </w:rPr>
        <w:t xml:space="preserve">ransformer </w:t>
      </w:r>
      <w:r w:rsidR="00920DCE">
        <w:rPr>
          <w:rFonts w:cs="Arial"/>
          <w:sz w:val="18"/>
          <w:szCs w:val="18"/>
          <w:lang w:val="en-US" w:eastAsia="en-US"/>
        </w:rPr>
        <w:t>t</w:t>
      </w:r>
      <w:r w:rsidRPr="00C809F8">
        <w:rPr>
          <w:rFonts w:cs="Arial"/>
          <w:sz w:val="18"/>
          <w:szCs w:val="18"/>
          <w:lang w:val="en-US" w:eastAsia="en-US"/>
        </w:rPr>
        <w:t>argets</w:t>
      </w:r>
    </w:p>
    <w:tbl>
      <w:tblPr>
        <w:tblpPr w:leftFromText="180" w:rightFromText="180" w:vertAnchor="text" w:horzAnchor="page" w:tblpX="2473" w:tblpY="36"/>
        <w:tblW w:w="5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012"/>
      </w:tblGrid>
      <w:tr w:rsidR="00834DAF" w:rsidRPr="007D0D89" w:rsidTr="008C3ECB">
        <w:tc>
          <w:tcPr>
            <w:tcW w:w="4814" w:type="dxa"/>
          </w:tcPr>
          <w:p w:rsidR="00834DAF" w:rsidRPr="00C809F8" w:rsidRDefault="00834DAF" w:rsidP="00665A3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09F8">
              <w:rPr>
                <w:rFonts w:ascii="Arial" w:hAnsi="Arial" w:cs="Arial"/>
                <w:b/>
                <w:color w:val="000000"/>
                <w:sz w:val="22"/>
                <w:szCs w:val="22"/>
              </w:rPr>
              <w:t>Transmission performance indicators</w:t>
            </w:r>
          </w:p>
        </w:tc>
        <w:tc>
          <w:tcPr>
            <w:tcW w:w="1012" w:type="dxa"/>
          </w:tcPr>
          <w:p w:rsidR="00834DAF" w:rsidRPr="00C809F8" w:rsidRDefault="00834DAF" w:rsidP="00665A3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09F8">
              <w:rPr>
                <w:rFonts w:ascii="Arial" w:hAnsi="Arial" w:cs="Arial"/>
                <w:b/>
                <w:color w:val="000000"/>
                <w:sz w:val="22"/>
                <w:szCs w:val="22"/>
              </w:rPr>
              <w:t>Target</w:t>
            </w:r>
          </w:p>
        </w:tc>
      </w:tr>
      <w:tr w:rsidR="00834DAF" w:rsidRPr="007D0D89" w:rsidTr="008C3ECB">
        <w:tc>
          <w:tcPr>
            <w:tcW w:w="4814" w:type="dxa"/>
          </w:tcPr>
          <w:p w:rsidR="00834DAF" w:rsidRPr="00947A10" w:rsidRDefault="00834DAF" w:rsidP="00665A3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947A10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Average</w:t>
            </w:r>
            <w:proofErr w:type="spellEnd"/>
            <w:r w:rsidRPr="00947A10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circuit </w:t>
            </w:r>
            <w:proofErr w:type="spellStart"/>
            <w:r w:rsidRPr="00947A10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outage</w:t>
            </w:r>
            <w:proofErr w:type="spellEnd"/>
            <w:r w:rsidRPr="00947A10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duration (ACOD)</w:t>
            </w:r>
          </w:p>
        </w:tc>
        <w:tc>
          <w:tcPr>
            <w:tcW w:w="1012" w:type="dxa"/>
          </w:tcPr>
          <w:p w:rsidR="00834DAF" w:rsidRPr="00C809F8" w:rsidRDefault="00834DAF" w:rsidP="00665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9F8">
              <w:rPr>
                <w:rFonts w:ascii="Arial" w:hAnsi="Arial" w:cs="Arial"/>
                <w:color w:val="000000"/>
                <w:sz w:val="22"/>
                <w:szCs w:val="22"/>
              </w:rPr>
              <w:t>358.8</w:t>
            </w:r>
          </w:p>
        </w:tc>
      </w:tr>
      <w:tr w:rsidR="00834DAF" w:rsidRPr="007D0D89" w:rsidTr="008C3ECB">
        <w:tc>
          <w:tcPr>
            <w:tcW w:w="4814" w:type="dxa"/>
          </w:tcPr>
          <w:p w:rsidR="00834DAF" w:rsidRPr="00C809F8" w:rsidRDefault="00834DAF" w:rsidP="00665A3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0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Frequency of circuit outage (FCO)</w:t>
            </w:r>
          </w:p>
        </w:tc>
        <w:tc>
          <w:tcPr>
            <w:tcW w:w="1012" w:type="dxa"/>
          </w:tcPr>
          <w:p w:rsidR="00834DAF" w:rsidRPr="00C809F8" w:rsidRDefault="00834DAF" w:rsidP="00665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9F8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  <w:r w:rsidR="00B14592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</w:p>
        </w:tc>
      </w:tr>
      <w:tr w:rsidR="00834DAF" w:rsidRPr="007D0D89" w:rsidTr="008C3ECB">
        <w:tc>
          <w:tcPr>
            <w:tcW w:w="4814" w:type="dxa"/>
          </w:tcPr>
          <w:p w:rsidR="00834DAF" w:rsidRPr="00947A10" w:rsidRDefault="00834DAF" w:rsidP="00665A3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947A10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Average</w:t>
            </w:r>
            <w:proofErr w:type="spellEnd"/>
            <w:r w:rsidRPr="00947A10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transformer </w:t>
            </w:r>
            <w:proofErr w:type="spellStart"/>
            <w:r w:rsidRPr="00947A10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outage</w:t>
            </w:r>
            <w:proofErr w:type="spellEnd"/>
            <w:r w:rsidRPr="00947A10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 xml:space="preserve"> duration (ATOD) </w:t>
            </w:r>
          </w:p>
        </w:tc>
        <w:tc>
          <w:tcPr>
            <w:tcW w:w="1012" w:type="dxa"/>
          </w:tcPr>
          <w:p w:rsidR="00834DAF" w:rsidRPr="00C809F8" w:rsidRDefault="00834DAF" w:rsidP="006C7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9F8">
              <w:rPr>
                <w:rFonts w:ascii="Arial" w:hAnsi="Arial" w:cs="Arial"/>
                <w:color w:val="000000"/>
                <w:sz w:val="22"/>
                <w:szCs w:val="22"/>
              </w:rPr>
              <w:t>123.</w:t>
            </w:r>
            <w:r w:rsidR="00B1459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34DAF" w:rsidRPr="007D0D89" w:rsidTr="008C3ECB">
        <w:tc>
          <w:tcPr>
            <w:tcW w:w="4814" w:type="dxa"/>
          </w:tcPr>
          <w:p w:rsidR="00834DAF" w:rsidRPr="00C809F8" w:rsidRDefault="00834DAF" w:rsidP="00665A3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0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Frequency of transformer outages (FTO)</w:t>
            </w:r>
          </w:p>
        </w:tc>
        <w:tc>
          <w:tcPr>
            <w:tcW w:w="1012" w:type="dxa"/>
          </w:tcPr>
          <w:p w:rsidR="00834DAF" w:rsidRPr="00C809F8" w:rsidRDefault="00834DAF" w:rsidP="00665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9F8">
              <w:rPr>
                <w:rFonts w:ascii="Arial" w:hAnsi="Arial" w:cs="Arial"/>
                <w:color w:val="000000"/>
                <w:sz w:val="22"/>
                <w:szCs w:val="22"/>
              </w:rPr>
              <w:t>0.8</w:t>
            </w:r>
          </w:p>
        </w:tc>
      </w:tr>
    </w:tbl>
    <w:p w:rsidR="00834DAF" w:rsidRPr="00CA5C0D" w:rsidRDefault="00834DAF" w:rsidP="00834DAF">
      <w:pPr>
        <w:pStyle w:val="UtilComNumbersIssues"/>
        <w:tabs>
          <w:tab w:val="left" w:pos="851"/>
          <w:tab w:val="left" w:pos="1418"/>
        </w:tabs>
        <w:ind w:left="914"/>
        <w:jc w:val="both"/>
        <w:rPr>
          <w:rFonts w:eastAsia="Calibri" w:cs="Arial"/>
          <w:color w:val="000000"/>
          <w:highlight w:val="yellow"/>
          <w:lang w:val="en-AU" w:eastAsia="en-US"/>
        </w:rPr>
      </w:pPr>
    </w:p>
    <w:p w:rsidR="008C3ECB" w:rsidRPr="008C3ECB" w:rsidRDefault="008C3ECB" w:rsidP="008C3ECB">
      <w:pPr>
        <w:pStyle w:val="UtilComNumbersIssues"/>
        <w:tabs>
          <w:tab w:val="num" w:pos="914"/>
        </w:tabs>
        <w:ind w:left="567"/>
        <w:rPr>
          <w:b/>
          <w:lang w:val="en-AU"/>
        </w:rPr>
      </w:pPr>
    </w:p>
    <w:p w:rsidR="008C3ECB" w:rsidRPr="008C3ECB" w:rsidRDefault="008C3ECB" w:rsidP="008C3ECB">
      <w:pPr>
        <w:pStyle w:val="UtilComNumbersIssues"/>
        <w:tabs>
          <w:tab w:val="num" w:pos="914"/>
        </w:tabs>
        <w:ind w:left="567"/>
        <w:rPr>
          <w:b/>
          <w:lang w:val="en-AU"/>
        </w:rPr>
      </w:pPr>
    </w:p>
    <w:p w:rsidR="008C3ECB" w:rsidRPr="008C3ECB" w:rsidRDefault="008C3ECB" w:rsidP="008C3ECB">
      <w:pPr>
        <w:pStyle w:val="UtilComNumbersIssues"/>
        <w:tabs>
          <w:tab w:val="num" w:pos="914"/>
        </w:tabs>
        <w:ind w:left="567"/>
        <w:rPr>
          <w:b/>
          <w:lang w:val="en-AU"/>
        </w:rPr>
      </w:pPr>
    </w:p>
    <w:p w:rsidR="006C7A63" w:rsidRPr="006C7A63" w:rsidRDefault="005263D9" w:rsidP="006C7A63">
      <w:pPr>
        <w:pStyle w:val="UtilComNumbersIssues"/>
        <w:numPr>
          <w:ilvl w:val="0"/>
          <w:numId w:val="5"/>
        </w:numPr>
        <w:tabs>
          <w:tab w:val="clear" w:pos="914"/>
          <w:tab w:val="num" w:pos="567"/>
          <w:tab w:val="num" w:pos="630"/>
        </w:tabs>
        <w:ind w:left="567" w:hanging="567"/>
        <w:rPr>
          <w:lang w:val="en-AU"/>
        </w:rPr>
      </w:pPr>
      <w:r w:rsidRPr="006C7A63">
        <w:rPr>
          <w:lang w:val="en-AU"/>
        </w:rPr>
        <w:t xml:space="preserve">The approved transmission targets in Table </w:t>
      </w:r>
      <w:r w:rsidR="006C7A63" w:rsidRPr="006C7A63">
        <w:rPr>
          <w:lang w:val="en-AU"/>
        </w:rPr>
        <w:t xml:space="preserve">3 </w:t>
      </w:r>
      <w:r w:rsidRPr="006C7A63">
        <w:rPr>
          <w:lang w:val="en-AU"/>
        </w:rPr>
        <w:t xml:space="preserve">will apply to the Darwin-Katherine and Alice Springs networks </w:t>
      </w:r>
      <w:r w:rsidR="00B42D57" w:rsidRPr="006C7A63">
        <w:rPr>
          <w:lang w:val="en-AU"/>
        </w:rPr>
        <w:t xml:space="preserve">for </w:t>
      </w:r>
      <w:r w:rsidR="006C7A63" w:rsidRPr="006C7A63">
        <w:rPr>
          <w:rFonts w:eastAsia="Calibri" w:cs="Arial"/>
          <w:color w:val="000000"/>
          <w:lang w:val="en-AU" w:eastAsia="en-US"/>
        </w:rPr>
        <w:t>1 July 2014 to 30 June 2019 regulatory control period.</w:t>
      </w:r>
    </w:p>
    <w:p w:rsidR="00834DAF" w:rsidRDefault="00834DAF" w:rsidP="00834DAF">
      <w:pPr>
        <w:pStyle w:val="UtilComNumbersIssues"/>
        <w:numPr>
          <w:ilvl w:val="0"/>
          <w:numId w:val="5"/>
        </w:numPr>
        <w:tabs>
          <w:tab w:val="clear" w:pos="914"/>
          <w:tab w:val="num" w:pos="567"/>
          <w:tab w:val="num" w:pos="630"/>
        </w:tabs>
        <w:ind w:left="567" w:hanging="567"/>
        <w:rPr>
          <w:b/>
          <w:lang w:val="en-AU"/>
        </w:rPr>
      </w:pPr>
      <w:r w:rsidRPr="006C7A63">
        <w:rPr>
          <w:lang w:val="en-AU"/>
        </w:rPr>
        <w:t xml:space="preserve">The Commission’s </w:t>
      </w:r>
      <w:r w:rsidR="002719E0" w:rsidRPr="006C7A63">
        <w:rPr>
          <w:lang w:val="en-AU"/>
        </w:rPr>
        <w:t xml:space="preserve">approval </w:t>
      </w:r>
      <w:r w:rsidR="0041535A" w:rsidRPr="006C7A63">
        <w:rPr>
          <w:lang w:val="en-AU"/>
        </w:rPr>
        <w:t>decision</w:t>
      </w:r>
      <w:r w:rsidRPr="006C7A63">
        <w:rPr>
          <w:lang w:val="en-AU"/>
        </w:rPr>
        <w:t xml:space="preserve"> </w:t>
      </w:r>
      <w:r w:rsidR="0041535A" w:rsidRPr="006C7A63">
        <w:rPr>
          <w:lang w:val="en-AU"/>
        </w:rPr>
        <w:t>about</w:t>
      </w:r>
      <w:r w:rsidRPr="006C7A63">
        <w:rPr>
          <w:lang w:val="en-AU"/>
        </w:rPr>
        <w:t xml:space="preserve"> the distribution and transmission targets is subject to their review in three year’s time when more data is available and the accuracy of the targets can </w:t>
      </w:r>
      <w:r w:rsidRPr="002B0C36">
        <w:t>b</w:t>
      </w:r>
      <w:r w:rsidRPr="006C7A63">
        <w:rPr>
          <w:lang w:val="en-AU"/>
        </w:rPr>
        <w:t>e c</w:t>
      </w:r>
      <w:r w:rsidRPr="002B0C36">
        <w:t>onfirmed.</w:t>
      </w:r>
    </w:p>
    <w:p w:rsidR="00834DAF" w:rsidRPr="00834DAF" w:rsidRDefault="00834DAF" w:rsidP="00834DAF">
      <w:pPr>
        <w:pStyle w:val="UtilComNumbersIssues"/>
        <w:numPr>
          <w:ilvl w:val="0"/>
          <w:numId w:val="5"/>
        </w:numPr>
        <w:tabs>
          <w:tab w:val="clear" w:pos="914"/>
          <w:tab w:val="num" w:pos="567"/>
          <w:tab w:val="num" w:pos="630"/>
        </w:tabs>
        <w:ind w:left="567" w:hanging="567"/>
      </w:pPr>
      <w:r w:rsidRPr="00834DAF">
        <w:t xml:space="preserve">Further details </w:t>
      </w:r>
      <w:r>
        <w:rPr>
          <w:lang w:val="en-AU"/>
        </w:rPr>
        <w:t xml:space="preserve">on PWC Networks’ proposed targets and the methodology used </w:t>
      </w:r>
      <w:r w:rsidR="00067C7F">
        <w:rPr>
          <w:lang w:val="en-AU"/>
        </w:rPr>
        <w:t>t</w:t>
      </w:r>
      <w:r>
        <w:rPr>
          <w:lang w:val="en-AU"/>
        </w:rPr>
        <w:t>o develop the</w:t>
      </w:r>
      <w:r w:rsidR="002719E0">
        <w:rPr>
          <w:lang w:val="en-AU"/>
        </w:rPr>
        <w:t>m</w:t>
      </w:r>
      <w:r>
        <w:rPr>
          <w:lang w:val="en-AU"/>
        </w:rPr>
        <w:t xml:space="preserve"> </w:t>
      </w:r>
      <w:r w:rsidRPr="00834DAF">
        <w:t>are provided at Appen</w:t>
      </w:r>
      <w:r w:rsidRPr="006C7A63">
        <w:rPr>
          <w:lang w:val="en-AU"/>
        </w:rPr>
        <w:t>d</w:t>
      </w:r>
      <w:r w:rsidRPr="00834DAF">
        <w:t>ix A</w:t>
      </w:r>
    </w:p>
    <w:p w:rsidR="00834DAF" w:rsidRDefault="00834DAF" w:rsidP="00E5100D">
      <w:pPr>
        <w:pStyle w:val="Default"/>
        <w:spacing w:after="180"/>
        <w:rPr>
          <w:b/>
        </w:rPr>
      </w:pPr>
    </w:p>
    <w:p w:rsidR="00834DAF" w:rsidRDefault="00834DAF" w:rsidP="00E5100D">
      <w:pPr>
        <w:pStyle w:val="Default"/>
        <w:spacing w:after="180"/>
        <w:rPr>
          <w:b/>
        </w:rPr>
      </w:pPr>
    </w:p>
    <w:p w:rsidR="00834DAF" w:rsidRPr="00834DAF" w:rsidRDefault="00834DAF" w:rsidP="00E5100D">
      <w:pPr>
        <w:pStyle w:val="Default"/>
        <w:spacing w:after="180"/>
        <w:rPr>
          <w:b/>
          <w:sz w:val="32"/>
          <w:szCs w:val="32"/>
        </w:rPr>
      </w:pPr>
      <w:r>
        <w:rPr>
          <w:b/>
        </w:rPr>
        <w:br w:type="page"/>
      </w:r>
      <w:r w:rsidRPr="00834DAF">
        <w:rPr>
          <w:b/>
          <w:sz w:val="32"/>
          <w:szCs w:val="32"/>
        </w:rPr>
        <w:lastRenderedPageBreak/>
        <w:t>APPENDIX A</w:t>
      </w:r>
    </w:p>
    <w:p w:rsidR="00834DAF" w:rsidRDefault="00834DAF" w:rsidP="00E5100D">
      <w:pPr>
        <w:pStyle w:val="Default"/>
        <w:spacing w:after="180"/>
        <w:rPr>
          <w:b/>
        </w:rPr>
      </w:pPr>
    </w:p>
    <w:p w:rsidR="00356423" w:rsidRPr="00356423" w:rsidRDefault="00356423" w:rsidP="0026775F">
      <w:pPr>
        <w:pStyle w:val="Default"/>
        <w:spacing w:after="180"/>
      </w:pPr>
      <w:r w:rsidRPr="00E5100D">
        <w:rPr>
          <w:b/>
        </w:rPr>
        <w:t>Network Targets</w:t>
      </w:r>
    </w:p>
    <w:p w:rsidR="00A62F9F" w:rsidRPr="00A62F9F" w:rsidRDefault="00A62F9F" w:rsidP="00F46A14">
      <w:pPr>
        <w:pStyle w:val="UtilComNumbersIssues"/>
        <w:numPr>
          <w:ilvl w:val="0"/>
          <w:numId w:val="11"/>
        </w:numPr>
        <w:tabs>
          <w:tab w:val="clear" w:pos="914"/>
          <w:tab w:val="num" w:pos="426"/>
        </w:tabs>
        <w:ind w:left="426" w:hanging="426"/>
      </w:pPr>
      <w:r>
        <w:t>On 15 February 2013, the Commission notified PWC Networks in writing that it had no later than 1 March 2013 to submit its proposed distribution and transmission target</w:t>
      </w:r>
      <w:r w:rsidR="002719E0" w:rsidRPr="005F0F95">
        <w:t>s</w:t>
      </w:r>
      <w:r>
        <w:t xml:space="preserve"> to the Commission. </w:t>
      </w:r>
    </w:p>
    <w:p w:rsidR="00A62F9F" w:rsidRPr="004D423A" w:rsidRDefault="00A62F9F" w:rsidP="00F46A14">
      <w:pPr>
        <w:spacing w:after="180"/>
        <w:ind w:left="426" w:hanging="426"/>
        <w:rPr>
          <w:rFonts w:ascii="Arial" w:hAnsi="Arial" w:cs="Arial"/>
          <w:b/>
          <w:i/>
          <w:sz w:val="22"/>
          <w:szCs w:val="22"/>
        </w:rPr>
      </w:pPr>
      <w:r w:rsidRPr="004D423A">
        <w:rPr>
          <w:rFonts w:ascii="Arial" w:hAnsi="Arial" w:cs="Arial"/>
          <w:b/>
          <w:i/>
          <w:sz w:val="22"/>
          <w:szCs w:val="22"/>
          <w:lang w:val="en-AU"/>
        </w:rPr>
        <w:t>Proposed Distribution targets</w:t>
      </w:r>
    </w:p>
    <w:p w:rsidR="00A62F9F" w:rsidRDefault="00A62F9F" w:rsidP="00F46A14">
      <w:pPr>
        <w:pStyle w:val="UtilComNumbersIssues"/>
        <w:numPr>
          <w:ilvl w:val="0"/>
          <w:numId w:val="11"/>
        </w:numPr>
        <w:tabs>
          <w:tab w:val="clear" w:pos="914"/>
          <w:tab w:val="num" w:pos="426"/>
        </w:tabs>
        <w:ind w:left="426" w:hanging="426"/>
      </w:pPr>
      <w:r>
        <w:t xml:space="preserve">The </w:t>
      </w:r>
      <w:r w:rsidR="00C809F8">
        <w:rPr>
          <w:lang w:val="en-AU"/>
        </w:rPr>
        <w:t>distribution</w:t>
      </w:r>
      <w:r>
        <w:t xml:space="preserve"> network performance indicators include: </w:t>
      </w:r>
    </w:p>
    <w:p w:rsidR="00A62F9F" w:rsidRPr="00C809F8" w:rsidRDefault="00C809F8" w:rsidP="00F46A14">
      <w:pPr>
        <w:pStyle w:val="UtilComNumbersIssues"/>
        <w:numPr>
          <w:ilvl w:val="0"/>
          <w:numId w:val="6"/>
        </w:numPr>
        <w:ind w:hanging="501"/>
      </w:pPr>
      <w:r w:rsidRPr="00C809F8">
        <w:t>System Average Interruption Duration Index (SAIDI)</w:t>
      </w:r>
      <w:r>
        <w:rPr>
          <w:lang w:val="en-AU"/>
        </w:rPr>
        <w:t>; and</w:t>
      </w:r>
    </w:p>
    <w:p w:rsidR="00C809F8" w:rsidRPr="00C809F8" w:rsidRDefault="00C809F8" w:rsidP="00F46A14">
      <w:pPr>
        <w:pStyle w:val="UtilComNumbersIssues"/>
        <w:numPr>
          <w:ilvl w:val="0"/>
          <w:numId w:val="6"/>
        </w:numPr>
        <w:ind w:hanging="501"/>
      </w:pPr>
      <w:r>
        <w:rPr>
          <w:lang w:val="en-AU"/>
        </w:rPr>
        <w:t>System Average Interruption Frequency Index (SAIFI).</w:t>
      </w:r>
    </w:p>
    <w:p w:rsidR="00E5100D" w:rsidRDefault="00E5100D" w:rsidP="00F46A14">
      <w:pPr>
        <w:pStyle w:val="UtilComNumbersIssues"/>
        <w:numPr>
          <w:ilvl w:val="0"/>
          <w:numId w:val="11"/>
        </w:numPr>
        <w:tabs>
          <w:tab w:val="clear" w:pos="914"/>
          <w:tab w:val="num" w:pos="426"/>
        </w:tabs>
        <w:ind w:left="426" w:hanging="426"/>
        <w:rPr>
          <w:rFonts w:eastAsia="Calibri" w:cs="Arial"/>
          <w:color w:val="000000"/>
          <w:lang w:val="en-AU" w:eastAsia="en-US"/>
        </w:rPr>
      </w:pPr>
      <w:r w:rsidRPr="00E5100D">
        <w:t>The</w:t>
      </w:r>
      <w:r w:rsidRPr="00CE2CFE">
        <w:rPr>
          <w:rFonts w:eastAsia="Calibri" w:cs="Arial"/>
          <w:color w:val="000000"/>
          <w:lang w:val="en-AU" w:eastAsia="en-US"/>
        </w:rPr>
        <w:t xml:space="preserve"> </w:t>
      </w:r>
      <w:r w:rsidRPr="00F46A14">
        <w:t>distribution</w:t>
      </w:r>
      <w:r w:rsidRPr="00CE2CFE">
        <w:rPr>
          <w:rFonts w:eastAsia="Calibri" w:cs="Arial"/>
          <w:color w:val="000000"/>
          <w:lang w:val="en-AU" w:eastAsia="en-US"/>
        </w:rPr>
        <w:t xml:space="preserve"> targets </w:t>
      </w:r>
      <w:r w:rsidR="006C7A63">
        <w:rPr>
          <w:rFonts w:eastAsia="Calibri" w:cs="Arial"/>
          <w:color w:val="000000"/>
          <w:lang w:val="en-AU" w:eastAsia="en-US"/>
        </w:rPr>
        <w:t xml:space="preserve">proposed by PWC are contained in </w:t>
      </w:r>
      <w:r w:rsidRPr="00CE2CFE">
        <w:rPr>
          <w:rFonts w:eastAsia="Calibri" w:cs="Arial"/>
          <w:color w:val="000000"/>
          <w:lang w:val="en-AU" w:eastAsia="en-US"/>
        </w:rPr>
        <w:t>Table</w:t>
      </w:r>
      <w:r>
        <w:rPr>
          <w:rFonts w:eastAsia="Calibri" w:cs="Arial"/>
          <w:color w:val="000000"/>
          <w:lang w:val="en-AU" w:eastAsia="en-US"/>
        </w:rPr>
        <w:t>s</w:t>
      </w:r>
      <w:r w:rsidRPr="00CE2CFE">
        <w:rPr>
          <w:rFonts w:eastAsia="Calibri" w:cs="Arial"/>
          <w:color w:val="000000"/>
          <w:lang w:val="en-AU" w:eastAsia="en-US"/>
        </w:rPr>
        <w:t xml:space="preserve"> </w:t>
      </w:r>
      <w:r w:rsidR="00834DAF">
        <w:rPr>
          <w:rFonts w:eastAsia="Calibri" w:cs="Arial"/>
          <w:color w:val="000000"/>
          <w:lang w:val="en-AU" w:eastAsia="en-US"/>
        </w:rPr>
        <w:t>A</w:t>
      </w:r>
      <w:r>
        <w:rPr>
          <w:rFonts w:eastAsia="Calibri" w:cs="Arial"/>
          <w:color w:val="000000"/>
          <w:lang w:val="en-AU" w:eastAsia="en-US"/>
        </w:rPr>
        <w:t xml:space="preserve">1 and </w:t>
      </w:r>
      <w:r w:rsidR="00834DAF">
        <w:rPr>
          <w:rFonts w:eastAsia="Calibri" w:cs="Arial"/>
          <w:color w:val="000000"/>
          <w:lang w:val="en-AU" w:eastAsia="en-US"/>
        </w:rPr>
        <w:t>A</w:t>
      </w:r>
      <w:r>
        <w:rPr>
          <w:rFonts w:eastAsia="Calibri" w:cs="Arial"/>
          <w:color w:val="000000"/>
          <w:lang w:val="en-AU" w:eastAsia="en-US"/>
        </w:rPr>
        <w:t>2</w:t>
      </w:r>
      <w:r w:rsidRPr="00CE2CFE">
        <w:rPr>
          <w:rFonts w:eastAsia="Calibri" w:cs="Arial"/>
          <w:color w:val="000000"/>
          <w:lang w:val="en-AU" w:eastAsia="en-US"/>
        </w:rPr>
        <w:t>.</w:t>
      </w:r>
    </w:p>
    <w:p w:rsidR="00E5100D" w:rsidRPr="00E5100D" w:rsidRDefault="00E5100D" w:rsidP="00E5100D">
      <w:pPr>
        <w:pStyle w:val="UtilComNumbersIssues"/>
        <w:tabs>
          <w:tab w:val="num" w:pos="630"/>
        </w:tabs>
        <w:rPr>
          <w:rFonts w:cs="Arial"/>
          <w:sz w:val="18"/>
          <w:szCs w:val="18"/>
          <w:lang w:val="en-US" w:eastAsia="en-US"/>
        </w:rPr>
      </w:pPr>
      <w:r w:rsidRPr="00E5100D">
        <w:rPr>
          <w:rFonts w:cs="Arial"/>
          <w:sz w:val="18"/>
          <w:szCs w:val="18"/>
          <w:lang w:val="en-US" w:eastAsia="en-US"/>
        </w:rPr>
        <w:t xml:space="preserve">Table </w:t>
      </w:r>
      <w:r w:rsidR="00834DAF">
        <w:rPr>
          <w:rFonts w:cs="Arial"/>
          <w:sz w:val="18"/>
          <w:szCs w:val="18"/>
          <w:lang w:val="en-US" w:eastAsia="en-US"/>
        </w:rPr>
        <w:t>A</w:t>
      </w:r>
      <w:r w:rsidRPr="00E5100D">
        <w:rPr>
          <w:rFonts w:cs="Arial"/>
          <w:sz w:val="18"/>
          <w:szCs w:val="18"/>
          <w:lang w:val="en-US" w:eastAsia="en-US"/>
        </w:rPr>
        <w:t>1: SAIDI figures using the exclusion approach set out in the ESS Code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858"/>
        <w:gridCol w:w="1134"/>
        <w:gridCol w:w="992"/>
        <w:gridCol w:w="993"/>
        <w:gridCol w:w="992"/>
        <w:gridCol w:w="992"/>
        <w:gridCol w:w="1559"/>
      </w:tblGrid>
      <w:tr w:rsidR="00E5100D" w:rsidRPr="00AA1321" w:rsidTr="00E5100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Feeder category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2007-08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2008-09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2009-10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2010-11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2011-12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Average (Target)</w:t>
            </w:r>
          </w:p>
        </w:tc>
      </w:tr>
      <w:tr w:rsidR="00E5100D" w:rsidRPr="00AA1321" w:rsidTr="00E5100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Rural Long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1,035.7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1,737.3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 1,984.8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4,386.0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2,883.8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2,405.5 </w:t>
            </w:r>
          </w:p>
        </w:tc>
      </w:tr>
      <w:tr w:rsidR="00E5100D" w:rsidRPr="00AA1321" w:rsidTr="00E5100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Rural short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392.5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474.6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357.6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837.2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549.9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522.4</w:t>
            </w:r>
          </w:p>
        </w:tc>
      </w:tr>
      <w:tr w:rsidR="00E5100D" w:rsidRPr="00AA1321" w:rsidTr="00E5100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118.7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204.4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106.6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191.9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94.5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143.2</w:t>
            </w:r>
          </w:p>
        </w:tc>
      </w:tr>
      <w:tr w:rsidR="00E5100D" w:rsidRPr="00AA1321" w:rsidTr="00E5100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CBD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10.7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59.6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13.1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19.7</w:t>
            </w:r>
          </w:p>
        </w:tc>
      </w:tr>
    </w:tbl>
    <w:p w:rsidR="00E5100D" w:rsidRDefault="00E5100D" w:rsidP="00E5100D">
      <w:pPr>
        <w:pStyle w:val="UtilComNumbersIssues"/>
        <w:spacing w:after="0"/>
        <w:ind w:left="914"/>
      </w:pPr>
    </w:p>
    <w:p w:rsidR="00E5100D" w:rsidRPr="00E5100D" w:rsidRDefault="00E5100D" w:rsidP="00E5100D">
      <w:pPr>
        <w:pStyle w:val="UtilComNumbersIssues"/>
        <w:tabs>
          <w:tab w:val="num" w:pos="630"/>
        </w:tabs>
        <w:rPr>
          <w:rFonts w:cs="Arial"/>
          <w:sz w:val="18"/>
          <w:szCs w:val="18"/>
          <w:lang w:val="en-US" w:eastAsia="en-US"/>
        </w:rPr>
      </w:pPr>
      <w:r w:rsidRPr="00E5100D">
        <w:rPr>
          <w:rFonts w:cs="Arial"/>
          <w:sz w:val="18"/>
          <w:szCs w:val="18"/>
          <w:lang w:val="en-US" w:eastAsia="en-US"/>
        </w:rPr>
        <w:t xml:space="preserve">Table </w:t>
      </w:r>
      <w:r w:rsidR="00834DAF">
        <w:rPr>
          <w:rFonts w:cs="Arial"/>
          <w:sz w:val="18"/>
          <w:szCs w:val="18"/>
          <w:lang w:val="en-US" w:eastAsia="en-US"/>
        </w:rPr>
        <w:t>A</w:t>
      </w:r>
      <w:r w:rsidRPr="00E5100D">
        <w:rPr>
          <w:rFonts w:cs="Arial"/>
          <w:sz w:val="18"/>
          <w:szCs w:val="18"/>
          <w:lang w:val="en-US" w:eastAsia="en-US"/>
        </w:rPr>
        <w:t>2: SAIFI figures using the exclusion approach set out in the ESS Code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858"/>
        <w:gridCol w:w="1134"/>
        <w:gridCol w:w="992"/>
        <w:gridCol w:w="993"/>
        <w:gridCol w:w="992"/>
        <w:gridCol w:w="992"/>
        <w:gridCol w:w="1559"/>
      </w:tblGrid>
      <w:tr w:rsidR="00E5100D" w:rsidRPr="00AA1321" w:rsidTr="00B1459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Feeder category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2007-08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2008-09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2009-10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2010-11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2011-12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Average (Target)</w:t>
            </w:r>
          </w:p>
        </w:tc>
      </w:tr>
      <w:tr w:rsidR="00E5100D" w:rsidRPr="00AA1321" w:rsidTr="00B1459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Rural Long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19.1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18.1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43.2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71.7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42.9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39.0 </w:t>
            </w:r>
          </w:p>
        </w:tc>
      </w:tr>
      <w:tr w:rsidR="00E5100D" w:rsidRPr="00AA1321" w:rsidTr="00B1459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Rural short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6.2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8.4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6.5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11.1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10.5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8.5 </w:t>
            </w:r>
          </w:p>
        </w:tc>
      </w:tr>
      <w:tr w:rsidR="00E5100D" w:rsidRPr="00AA1321" w:rsidTr="00B1459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2.6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2.9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2.2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3.1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2.5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2.7 </w:t>
            </w:r>
          </w:p>
        </w:tc>
      </w:tr>
      <w:tr w:rsidR="00E5100D" w:rsidRPr="00AA1321" w:rsidTr="00B1459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CBD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0.0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0.3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0.5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0.6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 xml:space="preserve">0.5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D" w:rsidRPr="00B14592" w:rsidRDefault="00E5100D" w:rsidP="00E5100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0.4 </w:t>
            </w:r>
          </w:p>
        </w:tc>
      </w:tr>
    </w:tbl>
    <w:p w:rsidR="00356423" w:rsidRDefault="00356423" w:rsidP="00F46A14">
      <w:pPr>
        <w:pStyle w:val="UtilComNumbersIssues"/>
        <w:tabs>
          <w:tab w:val="num" w:pos="914"/>
        </w:tabs>
        <w:spacing w:after="0"/>
        <w:ind w:left="426" w:hanging="426"/>
        <w:rPr>
          <w:lang w:val="en-AU"/>
        </w:rPr>
      </w:pPr>
    </w:p>
    <w:p w:rsidR="006C7A63" w:rsidRPr="005F0F95" w:rsidRDefault="006C7A63" w:rsidP="00F46A14">
      <w:pPr>
        <w:pStyle w:val="UtilComNumbersIssues"/>
        <w:numPr>
          <w:ilvl w:val="0"/>
          <w:numId w:val="11"/>
        </w:numPr>
        <w:tabs>
          <w:tab w:val="clear" w:pos="914"/>
          <w:tab w:val="num" w:pos="426"/>
        </w:tabs>
        <w:ind w:left="426" w:hanging="426"/>
      </w:pPr>
      <w:r w:rsidRPr="005F0F95">
        <w:t>The targets proposed by PWC</w:t>
      </w:r>
      <w:r w:rsidR="00947A10">
        <w:rPr>
          <w:lang w:val="en-AU"/>
        </w:rPr>
        <w:t xml:space="preserve"> Networks</w:t>
      </w:r>
      <w:r w:rsidRPr="005F0F95">
        <w:t xml:space="preserve"> were not approved by the Commission </w:t>
      </w:r>
      <w:r w:rsidR="005F0F95" w:rsidRPr="005F0F95">
        <w:t xml:space="preserve">on the basis that they were not consistent with the </w:t>
      </w:r>
      <w:r w:rsidR="000C78BF" w:rsidRPr="005F0F95">
        <w:t>objectives</w:t>
      </w:r>
      <w:r w:rsidR="005F0F95" w:rsidRPr="005F0F95">
        <w:t xml:space="preserve"> of the Standards of Service Code, which is to promote improvement in standards of service. </w:t>
      </w:r>
    </w:p>
    <w:p w:rsidR="005F0F95" w:rsidRPr="00231F57" w:rsidRDefault="005F0F95" w:rsidP="00F46A14">
      <w:pPr>
        <w:pStyle w:val="UtilComNumbersIssues"/>
        <w:numPr>
          <w:ilvl w:val="0"/>
          <w:numId w:val="11"/>
        </w:numPr>
        <w:tabs>
          <w:tab w:val="clear" w:pos="914"/>
          <w:tab w:val="num" w:pos="426"/>
        </w:tabs>
        <w:ind w:left="426" w:hanging="426"/>
      </w:pPr>
      <w:r w:rsidRPr="005F0F95">
        <w:t xml:space="preserve">Recognising the Commission’s concerns with regards to the proposed targets, PWC </w:t>
      </w:r>
      <w:r w:rsidR="00947A10">
        <w:rPr>
          <w:lang w:val="en-AU"/>
        </w:rPr>
        <w:t xml:space="preserve">Networks </w:t>
      </w:r>
      <w:r w:rsidRPr="005F0F95">
        <w:t xml:space="preserve">proposed an average, as per the methodology determined under </w:t>
      </w:r>
      <w:r>
        <w:t>Standards of Service Code</w:t>
      </w:r>
      <w:r w:rsidRPr="005F0F95">
        <w:t xml:space="preserve">, with </w:t>
      </w:r>
      <w:r>
        <w:t>a 5 per cent improvement factor applied</w:t>
      </w:r>
      <w:r w:rsidRPr="005F0F95">
        <w:t>.</w:t>
      </w:r>
      <w:r>
        <w:t xml:space="preserve">  </w:t>
      </w:r>
    </w:p>
    <w:p w:rsidR="005F0F95" w:rsidRPr="004D423A" w:rsidRDefault="005F0F95" w:rsidP="00F46A14">
      <w:pPr>
        <w:pStyle w:val="UtilComNumbersIssues"/>
        <w:numPr>
          <w:ilvl w:val="0"/>
          <w:numId w:val="11"/>
        </w:numPr>
        <w:tabs>
          <w:tab w:val="clear" w:pos="914"/>
          <w:tab w:val="num" w:pos="426"/>
        </w:tabs>
        <w:ind w:left="426" w:hanging="426"/>
      </w:pPr>
      <w:r w:rsidRPr="00F46A14">
        <w:t>The Commission considered that there was merit in the alternative approach proposed by PWC</w:t>
      </w:r>
      <w:r w:rsidR="00947A10">
        <w:rPr>
          <w:lang w:val="en-AU"/>
        </w:rPr>
        <w:t xml:space="preserve"> Networks</w:t>
      </w:r>
      <w:r w:rsidR="00BA5623">
        <w:rPr>
          <w:lang w:val="en-AU"/>
        </w:rPr>
        <w:t xml:space="preserve">. However, decided that </w:t>
      </w:r>
      <w:r w:rsidRPr="00F46A14">
        <w:t xml:space="preserve">a higher improvement factor would be required for </w:t>
      </w:r>
      <w:r>
        <w:t>the Long Rural feeder category due to the exceptionally poor</w:t>
      </w:r>
      <w:r w:rsidRPr="00F46A14">
        <w:t xml:space="preserve"> historical</w:t>
      </w:r>
      <w:r>
        <w:t xml:space="preserve"> performance. The Commission also previously stated in the 2011-12 Power System Review that Long Rural performance was unacceptable. </w:t>
      </w:r>
    </w:p>
    <w:p w:rsidR="004D423A" w:rsidRDefault="004D423A" w:rsidP="004D423A">
      <w:pPr>
        <w:spacing w:before="120"/>
        <w:rPr>
          <w:rFonts w:ascii="Arial" w:hAnsi="Arial" w:cs="Arial"/>
          <w:b/>
          <w:i/>
          <w:sz w:val="22"/>
          <w:szCs w:val="22"/>
          <w:lang w:val="en-AU"/>
        </w:rPr>
      </w:pPr>
    </w:p>
    <w:p w:rsidR="004D423A" w:rsidRDefault="004D423A" w:rsidP="004D423A">
      <w:pPr>
        <w:spacing w:before="120"/>
        <w:rPr>
          <w:rFonts w:ascii="Arial" w:hAnsi="Arial" w:cs="Arial"/>
          <w:b/>
          <w:i/>
          <w:sz w:val="22"/>
          <w:szCs w:val="22"/>
          <w:lang w:val="en-AU"/>
        </w:rPr>
      </w:pPr>
    </w:p>
    <w:p w:rsidR="004D423A" w:rsidRDefault="004D423A" w:rsidP="004D423A">
      <w:pPr>
        <w:spacing w:before="120"/>
        <w:rPr>
          <w:rFonts w:ascii="Arial" w:hAnsi="Arial" w:cs="Arial"/>
          <w:b/>
          <w:i/>
          <w:sz w:val="22"/>
          <w:szCs w:val="22"/>
          <w:lang w:val="en-AU"/>
        </w:rPr>
      </w:pPr>
    </w:p>
    <w:p w:rsidR="004D423A" w:rsidRPr="004D423A" w:rsidRDefault="004D423A" w:rsidP="004D423A">
      <w:pPr>
        <w:spacing w:before="120" w:after="24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en-AU"/>
        </w:rPr>
        <w:lastRenderedPageBreak/>
        <w:t xml:space="preserve">Approved </w:t>
      </w:r>
      <w:r w:rsidRPr="004D423A">
        <w:rPr>
          <w:rFonts w:ascii="Arial" w:hAnsi="Arial" w:cs="Arial"/>
          <w:b/>
          <w:i/>
          <w:sz w:val="22"/>
          <w:szCs w:val="22"/>
          <w:lang w:val="en-AU"/>
        </w:rPr>
        <w:t>Distribution targets</w:t>
      </w:r>
    </w:p>
    <w:p w:rsidR="005F0F95" w:rsidRPr="00F46A14" w:rsidRDefault="005F0F95" w:rsidP="00F46A14">
      <w:pPr>
        <w:pStyle w:val="UtilComNumbersIssues"/>
        <w:numPr>
          <w:ilvl w:val="0"/>
          <w:numId w:val="11"/>
        </w:numPr>
        <w:tabs>
          <w:tab w:val="clear" w:pos="914"/>
          <w:tab w:val="num" w:pos="426"/>
        </w:tabs>
        <w:ind w:left="426" w:hanging="426"/>
      </w:pPr>
      <w:r w:rsidRPr="00E5100D">
        <w:t>The</w:t>
      </w:r>
      <w:r w:rsidRPr="00F46A14">
        <w:t xml:space="preserve"> Commission approved the distribution targets as contained in Table A3.</w:t>
      </w:r>
    </w:p>
    <w:p w:rsidR="005F0F95" w:rsidRDefault="004D423A" w:rsidP="005F0F95">
      <w:pPr>
        <w:pStyle w:val="UtilComTabletext"/>
      </w:pPr>
      <w:r>
        <w:t>Ta</w:t>
      </w:r>
      <w:r w:rsidR="005F0F95" w:rsidRPr="00F97D39">
        <w:t xml:space="preserve">ble </w:t>
      </w:r>
      <w:r w:rsidR="005F0F95">
        <w:t>A3</w:t>
      </w:r>
      <w:r w:rsidR="005F0F95" w:rsidRPr="00F97D39">
        <w:t xml:space="preserve">: SAIDI figures using </w:t>
      </w:r>
      <w:r w:rsidR="005F0F95">
        <w:t>improvement factors</w:t>
      </w:r>
    </w:p>
    <w:tbl>
      <w:tblPr>
        <w:tblW w:w="7114" w:type="dxa"/>
        <w:tblLook w:val="04A0" w:firstRow="1" w:lastRow="0" w:firstColumn="1" w:lastColumn="0" w:noHBand="0" w:noVBand="1"/>
      </w:tblPr>
      <w:tblGrid>
        <w:gridCol w:w="1858"/>
        <w:gridCol w:w="2563"/>
        <w:gridCol w:w="2693"/>
      </w:tblGrid>
      <w:tr w:rsidR="000C78BF" w:rsidRPr="00CE2CFE" w:rsidTr="00F46A1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BF" w:rsidRPr="00CE2CFE" w:rsidRDefault="000C78BF" w:rsidP="000C78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BF" w:rsidRPr="00CE2CFE" w:rsidRDefault="000C78BF" w:rsidP="000C78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Distribution Targets</w:t>
            </w:r>
          </w:p>
        </w:tc>
      </w:tr>
      <w:tr w:rsidR="000C78BF" w:rsidRPr="00CE2CFE" w:rsidTr="00F46A1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BF" w:rsidRPr="00CE2CFE" w:rsidRDefault="000C78BF" w:rsidP="000C78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Feeder category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BF" w:rsidRPr="00CE2CFE" w:rsidRDefault="000C78BF" w:rsidP="000C78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System Average Interruption Duration Index (SAIDI)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8BF" w:rsidRPr="00CE2CFE" w:rsidRDefault="000C78BF" w:rsidP="000C78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System Average Interruption Frequency Index (SAIFI)</w:t>
            </w:r>
          </w:p>
        </w:tc>
      </w:tr>
      <w:tr w:rsidR="000C78BF" w:rsidRPr="00CE2CFE" w:rsidTr="00F46A1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BF" w:rsidRPr="00CE2CFE" w:rsidRDefault="000C78BF" w:rsidP="000C78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Rural Long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BF" w:rsidRPr="00CE2CFE" w:rsidRDefault="000C78BF" w:rsidP="000C78B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64.9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8BF" w:rsidRPr="00CE2CFE" w:rsidRDefault="000C78BF" w:rsidP="000C78B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C78BF" w:rsidRPr="00CE2CFE" w:rsidTr="00F46A1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BF" w:rsidRPr="00CE2CFE" w:rsidRDefault="000C78BF" w:rsidP="000C78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Rural short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BF" w:rsidRPr="00CE2CFE" w:rsidRDefault="000C78BF" w:rsidP="000C78B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8BF" w:rsidRPr="00CE2CFE" w:rsidRDefault="000C78BF" w:rsidP="000C78B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C78BF" w:rsidRPr="00CE2CFE" w:rsidTr="00F46A1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BF" w:rsidRPr="00CE2CFE" w:rsidRDefault="000C78BF" w:rsidP="000C78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BF" w:rsidRPr="00CE2CFE" w:rsidRDefault="000C78BF" w:rsidP="000C78B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</w:t>
            </w: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8BF" w:rsidRPr="00CE2CFE" w:rsidRDefault="000C78BF" w:rsidP="000C78B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C78BF" w:rsidRPr="00CE2CFE" w:rsidTr="00F46A1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BF" w:rsidRPr="00CE2CFE" w:rsidRDefault="000C78BF" w:rsidP="000C78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CBD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BF" w:rsidRPr="00CE2CFE" w:rsidRDefault="000C78BF" w:rsidP="000C78B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8BF" w:rsidRPr="00CE2CFE" w:rsidRDefault="000C78BF" w:rsidP="000C78B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2C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0.4</w:t>
            </w:r>
          </w:p>
        </w:tc>
      </w:tr>
    </w:tbl>
    <w:p w:rsidR="00BA5623" w:rsidRDefault="00BA5623" w:rsidP="00BA5623">
      <w:pPr>
        <w:spacing w:before="120"/>
        <w:rPr>
          <w:rFonts w:ascii="Arial" w:hAnsi="Arial" w:cs="Arial"/>
          <w:b/>
          <w:i/>
          <w:sz w:val="22"/>
          <w:szCs w:val="22"/>
          <w:lang w:val="en-AU"/>
        </w:rPr>
      </w:pPr>
    </w:p>
    <w:p w:rsidR="00C809F8" w:rsidRPr="004D423A" w:rsidRDefault="00C809F8" w:rsidP="004D423A">
      <w:pPr>
        <w:spacing w:before="120" w:after="240"/>
        <w:rPr>
          <w:rFonts w:ascii="Arial" w:hAnsi="Arial" w:cs="Arial"/>
          <w:b/>
          <w:i/>
          <w:sz w:val="22"/>
          <w:szCs w:val="22"/>
          <w:lang w:val="en-AU"/>
        </w:rPr>
      </w:pPr>
      <w:r w:rsidRPr="004D423A">
        <w:rPr>
          <w:rFonts w:ascii="Arial" w:hAnsi="Arial" w:cs="Arial"/>
          <w:b/>
          <w:i/>
          <w:sz w:val="22"/>
          <w:szCs w:val="22"/>
          <w:lang w:val="en-AU"/>
        </w:rPr>
        <w:t xml:space="preserve">Proposed </w:t>
      </w:r>
      <w:r w:rsidR="004D423A">
        <w:rPr>
          <w:rFonts w:ascii="Arial" w:hAnsi="Arial" w:cs="Arial"/>
          <w:b/>
          <w:i/>
          <w:sz w:val="22"/>
          <w:szCs w:val="22"/>
          <w:lang w:val="en-AU"/>
        </w:rPr>
        <w:t xml:space="preserve">and Approved </w:t>
      </w:r>
      <w:r w:rsidRPr="004D423A">
        <w:rPr>
          <w:rFonts w:ascii="Arial" w:hAnsi="Arial" w:cs="Arial"/>
          <w:b/>
          <w:i/>
          <w:sz w:val="22"/>
          <w:szCs w:val="22"/>
          <w:lang w:val="en-AU"/>
        </w:rPr>
        <w:t>Transmission targets</w:t>
      </w:r>
    </w:p>
    <w:p w:rsidR="00A62F9F" w:rsidRDefault="00A62F9F" w:rsidP="00F46A14">
      <w:pPr>
        <w:pStyle w:val="UtilComNumbersIssues"/>
        <w:numPr>
          <w:ilvl w:val="0"/>
          <w:numId w:val="11"/>
        </w:numPr>
        <w:tabs>
          <w:tab w:val="num" w:pos="426"/>
        </w:tabs>
        <w:ind w:left="426" w:hanging="426"/>
      </w:pPr>
      <w:r>
        <w:t xml:space="preserve">The transmission network performance indicators include: </w:t>
      </w:r>
    </w:p>
    <w:p w:rsidR="00A62F9F" w:rsidRDefault="00A62F9F" w:rsidP="00F46A14">
      <w:pPr>
        <w:pStyle w:val="UtilComNumbersIssues"/>
        <w:numPr>
          <w:ilvl w:val="0"/>
          <w:numId w:val="6"/>
        </w:numPr>
        <w:ind w:hanging="501"/>
      </w:pPr>
      <w:r>
        <w:t xml:space="preserve">Adjusted Average Circuit Outage Duration (ACOD); </w:t>
      </w:r>
    </w:p>
    <w:p w:rsidR="00A62F9F" w:rsidRDefault="00A62F9F" w:rsidP="00F46A14">
      <w:pPr>
        <w:pStyle w:val="UtilComNumbersIssues"/>
        <w:numPr>
          <w:ilvl w:val="0"/>
          <w:numId w:val="6"/>
        </w:numPr>
        <w:ind w:hanging="501"/>
      </w:pPr>
      <w:r>
        <w:t xml:space="preserve">Adjusted Frequency of Circuit Outage (FCO); </w:t>
      </w:r>
    </w:p>
    <w:p w:rsidR="00A62F9F" w:rsidRDefault="00A62F9F" w:rsidP="00F46A14">
      <w:pPr>
        <w:pStyle w:val="UtilComNumbersIssues"/>
        <w:numPr>
          <w:ilvl w:val="0"/>
          <w:numId w:val="6"/>
        </w:numPr>
        <w:ind w:hanging="501"/>
      </w:pPr>
      <w:r>
        <w:t xml:space="preserve">Adjusted Average Transformer Outage Duration (ATOD); and </w:t>
      </w:r>
    </w:p>
    <w:p w:rsidR="00A62F9F" w:rsidRPr="004D423A" w:rsidRDefault="00A62F9F" w:rsidP="00F46A14">
      <w:pPr>
        <w:pStyle w:val="UtilComNumbersIssues"/>
        <w:numPr>
          <w:ilvl w:val="0"/>
          <w:numId w:val="6"/>
        </w:numPr>
        <w:ind w:hanging="501"/>
      </w:pPr>
      <w:r>
        <w:t>Adjusted Frequency of Transformer Outages (FTO).</w:t>
      </w:r>
    </w:p>
    <w:p w:rsidR="00B01380" w:rsidRPr="00B14592" w:rsidRDefault="00E5100D" w:rsidP="00F46A14">
      <w:pPr>
        <w:pStyle w:val="UtilComNumbersIssues"/>
        <w:numPr>
          <w:ilvl w:val="0"/>
          <w:numId w:val="11"/>
        </w:numPr>
        <w:tabs>
          <w:tab w:val="num" w:pos="426"/>
        </w:tabs>
        <w:ind w:left="426" w:hanging="426"/>
      </w:pPr>
      <w:r>
        <w:rPr>
          <w:lang w:val="en-AU"/>
        </w:rPr>
        <w:t>Transmission targets proposed by PWC Networks</w:t>
      </w:r>
      <w:r w:rsidR="000C78BF">
        <w:rPr>
          <w:lang w:val="en-AU"/>
        </w:rPr>
        <w:t xml:space="preserve"> and approved by the Commission</w:t>
      </w:r>
      <w:r>
        <w:rPr>
          <w:lang w:val="en-AU"/>
        </w:rPr>
        <w:t xml:space="preserve"> are contained in Table </w:t>
      </w:r>
      <w:r w:rsidR="00834DAF">
        <w:rPr>
          <w:lang w:val="en-AU"/>
        </w:rPr>
        <w:t>A</w:t>
      </w:r>
      <w:r w:rsidR="00947A10">
        <w:rPr>
          <w:lang w:val="en-AU"/>
        </w:rPr>
        <w:t>4</w:t>
      </w:r>
      <w:r>
        <w:rPr>
          <w:lang w:val="en-AU"/>
        </w:rPr>
        <w:t xml:space="preserve"> below.</w:t>
      </w:r>
    </w:p>
    <w:p w:rsidR="00C809F8" w:rsidRPr="00C809F8" w:rsidRDefault="00C809F8" w:rsidP="00C809F8">
      <w:pPr>
        <w:pStyle w:val="UtilComNumbersIssues"/>
        <w:tabs>
          <w:tab w:val="num" w:pos="630"/>
        </w:tabs>
        <w:rPr>
          <w:rFonts w:cs="Arial"/>
          <w:sz w:val="18"/>
          <w:szCs w:val="18"/>
          <w:lang w:val="en-US" w:eastAsia="en-US"/>
        </w:rPr>
      </w:pPr>
      <w:r w:rsidRPr="00C809F8">
        <w:rPr>
          <w:rFonts w:cs="Arial"/>
          <w:sz w:val="18"/>
          <w:szCs w:val="18"/>
          <w:lang w:val="en-US" w:eastAsia="en-US"/>
        </w:rPr>
        <w:t xml:space="preserve">Table </w:t>
      </w:r>
      <w:r w:rsidR="000C78BF">
        <w:rPr>
          <w:rFonts w:cs="Arial"/>
          <w:sz w:val="18"/>
          <w:szCs w:val="18"/>
          <w:lang w:val="en-US" w:eastAsia="en-US"/>
        </w:rPr>
        <w:t>A4</w:t>
      </w:r>
      <w:r w:rsidRPr="00C809F8">
        <w:rPr>
          <w:rFonts w:cs="Arial"/>
          <w:sz w:val="18"/>
          <w:szCs w:val="18"/>
          <w:lang w:val="en-US" w:eastAsia="en-US"/>
        </w:rPr>
        <w:t>: Transmission Circuit and Transformer Targets</w:t>
      </w:r>
    </w:p>
    <w:tbl>
      <w:tblPr>
        <w:tblpPr w:leftFromText="180" w:rightFromText="180" w:vertAnchor="text" w:horzAnchor="margin" w:tblpY="1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57"/>
        <w:gridCol w:w="1158"/>
        <w:gridCol w:w="1158"/>
        <w:gridCol w:w="1157"/>
        <w:gridCol w:w="1158"/>
        <w:gridCol w:w="1158"/>
      </w:tblGrid>
      <w:tr w:rsidR="00C809F8" w:rsidRPr="007D0D89" w:rsidTr="00F46A14">
        <w:tc>
          <w:tcPr>
            <w:tcW w:w="2376" w:type="dxa"/>
          </w:tcPr>
          <w:p w:rsidR="00C809F8" w:rsidRPr="00B14592" w:rsidRDefault="00C809F8" w:rsidP="00C809F8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color w:val="000000"/>
                <w:szCs w:val="22"/>
              </w:rPr>
              <w:t>Performance indicators</w:t>
            </w:r>
          </w:p>
        </w:tc>
        <w:tc>
          <w:tcPr>
            <w:tcW w:w="1157" w:type="dxa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b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color w:val="000000"/>
                <w:szCs w:val="22"/>
              </w:rPr>
              <w:t>2007-08</w:t>
            </w:r>
          </w:p>
        </w:tc>
        <w:tc>
          <w:tcPr>
            <w:tcW w:w="1158" w:type="dxa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b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color w:val="000000"/>
                <w:szCs w:val="22"/>
              </w:rPr>
              <w:t>2008-09</w:t>
            </w:r>
          </w:p>
        </w:tc>
        <w:tc>
          <w:tcPr>
            <w:tcW w:w="1158" w:type="dxa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b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color w:val="000000"/>
                <w:szCs w:val="22"/>
              </w:rPr>
              <w:t>2009-10</w:t>
            </w:r>
          </w:p>
        </w:tc>
        <w:tc>
          <w:tcPr>
            <w:tcW w:w="1157" w:type="dxa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b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color w:val="000000"/>
                <w:szCs w:val="22"/>
              </w:rPr>
              <w:t>2010-11</w:t>
            </w:r>
          </w:p>
        </w:tc>
        <w:tc>
          <w:tcPr>
            <w:tcW w:w="1158" w:type="dxa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b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color w:val="000000"/>
                <w:szCs w:val="22"/>
              </w:rPr>
              <w:t>2011-12</w:t>
            </w:r>
          </w:p>
        </w:tc>
        <w:tc>
          <w:tcPr>
            <w:tcW w:w="1158" w:type="dxa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b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color w:val="000000"/>
                <w:szCs w:val="22"/>
              </w:rPr>
              <w:t>Average (Target)</w:t>
            </w:r>
          </w:p>
        </w:tc>
      </w:tr>
      <w:tr w:rsidR="00C809F8" w:rsidRPr="007D0D89" w:rsidTr="00F46A14">
        <w:tc>
          <w:tcPr>
            <w:tcW w:w="2376" w:type="dxa"/>
          </w:tcPr>
          <w:p w:rsidR="00C809F8" w:rsidRPr="00947A10" w:rsidRDefault="00C809F8" w:rsidP="00C809F8">
            <w:pPr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</w:pPr>
            <w:proofErr w:type="spellStart"/>
            <w:r w:rsidRPr="00947A10"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  <w:t>Average</w:t>
            </w:r>
            <w:proofErr w:type="spellEnd"/>
            <w:r w:rsidRPr="00947A10"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  <w:t xml:space="preserve"> circuit </w:t>
            </w:r>
            <w:proofErr w:type="spellStart"/>
            <w:r w:rsidRPr="00947A10"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  <w:t>outage</w:t>
            </w:r>
            <w:proofErr w:type="spellEnd"/>
            <w:r w:rsidRPr="00947A10"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  <w:t xml:space="preserve"> duration (ACOD)</w:t>
            </w:r>
          </w:p>
        </w:tc>
        <w:tc>
          <w:tcPr>
            <w:tcW w:w="1157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492.6</w:t>
            </w:r>
          </w:p>
        </w:tc>
        <w:tc>
          <w:tcPr>
            <w:tcW w:w="1158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133.3</w:t>
            </w:r>
          </w:p>
        </w:tc>
        <w:tc>
          <w:tcPr>
            <w:tcW w:w="1158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140.3</w:t>
            </w:r>
          </w:p>
        </w:tc>
        <w:tc>
          <w:tcPr>
            <w:tcW w:w="1157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486</w:t>
            </w:r>
          </w:p>
        </w:tc>
        <w:tc>
          <w:tcPr>
            <w:tcW w:w="1158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528.7</w:t>
            </w:r>
          </w:p>
        </w:tc>
        <w:tc>
          <w:tcPr>
            <w:tcW w:w="1158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358.8</w:t>
            </w:r>
          </w:p>
        </w:tc>
      </w:tr>
      <w:tr w:rsidR="00C809F8" w:rsidRPr="007D0D89" w:rsidTr="00F46A14">
        <w:tc>
          <w:tcPr>
            <w:tcW w:w="2376" w:type="dxa"/>
          </w:tcPr>
          <w:p w:rsidR="00C809F8" w:rsidRPr="00B14592" w:rsidRDefault="00C809F8" w:rsidP="00C8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Frequency of circuit outage (FCO)</w:t>
            </w:r>
          </w:p>
        </w:tc>
        <w:tc>
          <w:tcPr>
            <w:tcW w:w="1157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1158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44</w:t>
            </w:r>
          </w:p>
        </w:tc>
        <w:tc>
          <w:tcPr>
            <w:tcW w:w="1158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55</w:t>
            </w:r>
          </w:p>
        </w:tc>
        <w:tc>
          <w:tcPr>
            <w:tcW w:w="1157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41</w:t>
            </w:r>
          </w:p>
        </w:tc>
        <w:tc>
          <w:tcPr>
            <w:tcW w:w="1158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74</w:t>
            </w:r>
          </w:p>
        </w:tc>
        <w:tc>
          <w:tcPr>
            <w:tcW w:w="1158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49</w:t>
            </w:r>
          </w:p>
        </w:tc>
      </w:tr>
      <w:tr w:rsidR="00C809F8" w:rsidRPr="007D0D89" w:rsidTr="00F46A14">
        <w:tc>
          <w:tcPr>
            <w:tcW w:w="2376" w:type="dxa"/>
          </w:tcPr>
          <w:p w:rsidR="00C809F8" w:rsidRPr="00947A10" w:rsidRDefault="00C809F8" w:rsidP="00C809F8">
            <w:pPr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</w:pPr>
            <w:proofErr w:type="spellStart"/>
            <w:r w:rsidRPr="00947A10"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  <w:t>Average</w:t>
            </w:r>
            <w:proofErr w:type="spellEnd"/>
            <w:r w:rsidRPr="00947A10"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  <w:t xml:space="preserve"> transformer </w:t>
            </w:r>
            <w:proofErr w:type="spellStart"/>
            <w:r w:rsidRPr="00947A10"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  <w:t>outage</w:t>
            </w:r>
            <w:proofErr w:type="spellEnd"/>
            <w:r w:rsidRPr="00947A10"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  <w:t xml:space="preserve"> duration (ATOD) </w:t>
            </w:r>
          </w:p>
        </w:tc>
        <w:tc>
          <w:tcPr>
            <w:tcW w:w="1157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43</w:t>
            </w:r>
          </w:p>
        </w:tc>
        <w:tc>
          <w:tcPr>
            <w:tcW w:w="1158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  <w:tc>
          <w:tcPr>
            <w:tcW w:w="1158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159</w:t>
            </w:r>
          </w:p>
        </w:tc>
        <w:tc>
          <w:tcPr>
            <w:tcW w:w="1157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  <w:tc>
          <w:tcPr>
            <w:tcW w:w="1158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291</w:t>
            </w:r>
          </w:p>
        </w:tc>
        <w:tc>
          <w:tcPr>
            <w:tcW w:w="1158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123.25</w:t>
            </w:r>
          </w:p>
        </w:tc>
      </w:tr>
      <w:tr w:rsidR="00C809F8" w:rsidRPr="007D0D89" w:rsidTr="00F46A14">
        <w:tc>
          <w:tcPr>
            <w:tcW w:w="2376" w:type="dxa"/>
          </w:tcPr>
          <w:p w:rsidR="00C809F8" w:rsidRPr="00B14592" w:rsidRDefault="00C809F8" w:rsidP="00C8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14592">
              <w:rPr>
                <w:rFonts w:ascii="Arial" w:hAnsi="Arial" w:cs="Arial"/>
                <w:b/>
                <w:bCs/>
                <w:color w:val="000000"/>
                <w:szCs w:val="22"/>
              </w:rPr>
              <w:t>Frequency of transformer outages (FTO)</w:t>
            </w:r>
          </w:p>
        </w:tc>
        <w:tc>
          <w:tcPr>
            <w:tcW w:w="1157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158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  <w:tc>
          <w:tcPr>
            <w:tcW w:w="1158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57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  <w:tc>
          <w:tcPr>
            <w:tcW w:w="1158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58" w:type="dxa"/>
            <w:vAlign w:val="bottom"/>
          </w:tcPr>
          <w:p w:rsidR="00C809F8" w:rsidRPr="00B14592" w:rsidRDefault="00C809F8" w:rsidP="00F46A1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14592">
              <w:rPr>
                <w:rFonts w:ascii="Arial" w:hAnsi="Arial" w:cs="Arial"/>
                <w:color w:val="000000"/>
                <w:szCs w:val="22"/>
              </w:rPr>
              <w:t>0.8</w:t>
            </w:r>
          </w:p>
        </w:tc>
      </w:tr>
    </w:tbl>
    <w:p w:rsidR="00C809F8" w:rsidRPr="00C809F8" w:rsidRDefault="00C809F8" w:rsidP="00C809F8">
      <w:pPr>
        <w:pStyle w:val="UtilComNumbersIssues"/>
        <w:tabs>
          <w:tab w:val="num" w:pos="914"/>
        </w:tabs>
        <w:spacing w:after="0"/>
        <w:ind w:left="567"/>
        <w:rPr>
          <w:lang w:val="fr-FR"/>
        </w:rPr>
      </w:pPr>
    </w:p>
    <w:p w:rsidR="00C809F8" w:rsidRPr="00C809F8" w:rsidRDefault="00C809F8" w:rsidP="00F46A14">
      <w:pPr>
        <w:pStyle w:val="UtilComNumbersIssues"/>
        <w:numPr>
          <w:ilvl w:val="0"/>
          <w:numId w:val="11"/>
        </w:numPr>
        <w:tabs>
          <w:tab w:val="num" w:pos="426"/>
        </w:tabs>
        <w:spacing w:after="240"/>
        <w:ind w:left="426" w:hanging="568"/>
        <w:rPr>
          <w:lang w:val="en-AU"/>
        </w:rPr>
      </w:pPr>
      <w:r w:rsidRPr="00C809F8">
        <w:rPr>
          <w:lang w:val="en-AU"/>
        </w:rPr>
        <w:t>PWC Networks has advised the Commission that it does not have historical data for the Alice Springs transmission system due to its recent installation.</w:t>
      </w:r>
    </w:p>
    <w:p w:rsidR="00212481" w:rsidRPr="00212481" w:rsidRDefault="00212481" w:rsidP="00C809F8">
      <w:pPr>
        <w:pStyle w:val="UtilComNumbersIssues"/>
        <w:tabs>
          <w:tab w:val="num" w:pos="914"/>
        </w:tabs>
        <w:ind w:left="567"/>
        <w:rPr>
          <w:b/>
          <w:lang w:val="en-AU"/>
        </w:rPr>
      </w:pPr>
    </w:p>
    <w:sectPr w:rsidR="00212481" w:rsidRPr="00212481" w:rsidSect="00A04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871" w:header="851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C9" w:rsidRDefault="00BB06C9">
      <w:r>
        <w:separator/>
      </w:r>
    </w:p>
  </w:endnote>
  <w:endnote w:type="continuationSeparator" w:id="0">
    <w:p w:rsidR="00BB06C9" w:rsidRDefault="00BB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00" w:rsidRDefault="00FD5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BF" w:rsidRPr="00D97FAE" w:rsidRDefault="000C78BF" w:rsidP="00D97FAE">
    <w:pPr>
      <w:pStyle w:val="Footer"/>
      <w:tabs>
        <w:tab w:val="clear" w:pos="4153"/>
        <w:tab w:val="clear" w:pos="8306"/>
        <w:tab w:val="right" w:pos="918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00" w:rsidRDefault="00FD5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C9" w:rsidRDefault="00BB06C9">
      <w:r>
        <w:separator/>
      </w:r>
    </w:p>
  </w:footnote>
  <w:footnote w:type="continuationSeparator" w:id="0">
    <w:p w:rsidR="00BB06C9" w:rsidRDefault="00BB06C9">
      <w:r>
        <w:continuationSeparator/>
      </w:r>
    </w:p>
  </w:footnote>
  <w:footnote w:id="1">
    <w:p w:rsidR="000C78BF" w:rsidRPr="00092E34" w:rsidRDefault="000C78BF" w:rsidP="00332168">
      <w:pPr>
        <w:pStyle w:val="FootnoteText"/>
        <w:tabs>
          <w:tab w:val="left" w:pos="284"/>
        </w:tabs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ab/>
      </w:r>
      <w:r>
        <w:t>Clause 3.1.2(a) and Schedule 2, Electricity Standards of Service Code</w:t>
      </w:r>
      <w:r>
        <w:rPr>
          <w:lang w:val="en-AU"/>
        </w:rPr>
        <w:t>.</w:t>
      </w:r>
    </w:p>
  </w:footnote>
  <w:footnote w:id="2">
    <w:p w:rsidR="000C78BF" w:rsidRDefault="000C78BF" w:rsidP="00332168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ab/>
      </w:r>
      <w:r w:rsidRPr="00ED7C64">
        <w:rPr>
          <w:sz w:val="18"/>
          <w:szCs w:val="18"/>
        </w:rPr>
        <w:t>Clause 3.1.2 and 3.1.3, Electricity Standards of Service Code.</w:t>
      </w:r>
    </w:p>
  </w:footnote>
  <w:footnote w:id="3">
    <w:p w:rsidR="000C78BF" w:rsidRPr="007005A5" w:rsidRDefault="000C78BF" w:rsidP="00332168">
      <w:pPr>
        <w:pStyle w:val="FootnoteText"/>
        <w:tabs>
          <w:tab w:val="left" w:pos="284"/>
        </w:tabs>
        <w:rPr>
          <w:lang w:val="en-AU"/>
        </w:rPr>
      </w:pPr>
      <w:r>
        <w:rPr>
          <w:rStyle w:val="FootnoteReference"/>
        </w:rPr>
        <w:footnoteRef/>
      </w:r>
      <w:r>
        <w:rPr>
          <w:lang w:val="en-AU"/>
        </w:rPr>
        <w:tab/>
      </w:r>
      <w:proofErr w:type="gramStart"/>
      <w:r>
        <w:rPr>
          <w:lang w:val="en-AU"/>
        </w:rPr>
        <w:t xml:space="preserve">A network </w:t>
      </w:r>
      <w:r w:rsidR="00947A10">
        <w:rPr>
          <w:lang w:val="en-AU"/>
        </w:rPr>
        <w:t>interruption</w:t>
      </w:r>
      <w:r>
        <w:rPr>
          <w:lang w:val="en-AU"/>
        </w:rPr>
        <w:t xml:space="preserve"> excluding those less than one minute in duration.</w:t>
      </w:r>
      <w:proofErr w:type="gramEnd"/>
    </w:p>
  </w:footnote>
  <w:footnote w:id="4">
    <w:p w:rsidR="000C78BF" w:rsidRPr="00947A10" w:rsidRDefault="000C78BF" w:rsidP="00332168">
      <w:pPr>
        <w:pStyle w:val="FootnoteText"/>
        <w:ind w:left="284" w:hanging="284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ab/>
      </w:r>
      <w:r w:rsidRPr="00947A10">
        <w:rPr>
          <w:sz w:val="18"/>
          <w:szCs w:val="18"/>
        </w:rPr>
        <w:t>IEEE Standard 1366-2012, Guide for Electric Power Distribution Reliability Indices, 14 May 2012.</w:t>
      </w:r>
    </w:p>
  </w:footnote>
  <w:footnote w:id="5">
    <w:p w:rsidR="000C78BF" w:rsidRDefault="000C78BF" w:rsidP="002A6932">
      <w:pPr>
        <w:pStyle w:val="FootnoteText"/>
        <w:tabs>
          <w:tab w:val="left" w:pos="284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ab/>
      </w:r>
      <w:r>
        <w:rPr>
          <w:lang w:val="en-AU"/>
        </w:rPr>
        <w:tab/>
      </w:r>
      <w:r w:rsidRPr="00974C57">
        <w:rPr>
          <w:sz w:val="18"/>
          <w:szCs w:val="18"/>
        </w:rPr>
        <w:t>Clause 3.1.5, Standards of Service Code.</w:t>
      </w:r>
    </w:p>
  </w:footnote>
  <w:footnote w:id="6">
    <w:p w:rsidR="000C78BF" w:rsidRDefault="000C78BF" w:rsidP="002A6932">
      <w:pPr>
        <w:pStyle w:val="FootnoteText"/>
        <w:tabs>
          <w:tab w:val="left" w:pos="142"/>
        </w:tabs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ab/>
      </w:r>
      <w:r>
        <w:rPr>
          <w:lang w:val="en-AU"/>
        </w:rPr>
        <w:tab/>
      </w:r>
      <w:r w:rsidRPr="00974C57">
        <w:rPr>
          <w:sz w:val="18"/>
          <w:szCs w:val="18"/>
        </w:rPr>
        <w:t xml:space="preserve">The matter relevant to setting target standards is “to protect the interests of consumers with respect to reliability </w:t>
      </w:r>
      <w:r>
        <w:rPr>
          <w:sz w:val="18"/>
          <w:szCs w:val="18"/>
          <w:lang w:val="en-AU"/>
        </w:rPr>
        <w:t xml:space="preserve">    </w:t>
      </w:r>
      <w:r w:rsidRPr="00974C57">
        <w:rPr>
          <w:sz w:val="18"/>
          <w:szCs w:val="18"/>
        </w:rPr>
        <w:t>and quality of services and supply in regulated industries” [section 6(2)(f)].</w:t>
      </w:r>
      <w:r>
        <w:t xml:space="preserve"> </w:t>
      </w:r>
    </w:p>
  </w:footnote>
  <w:footnote w:id="7">
    <w:p w:rsidR="000C78BF" w:rsidRDefault="000C78BF" w:rsidP="002A6932">
      <w:pPr>
        <w:pStyle w:val="FootnoteText"/>
        <w:tabs>
          <w:tab w:val="left" w:pos="284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ab/>
      </w:r>
      <w:r>
        <w:rPr>
          <w:lang w:val="en-AU"/>
        </w:rPr>
        <w:tab/>
      </w:r>
      <w:r w:rsidRPr="00974C57">
        <w:rPr>
          <w:sz w:val="18"/>
          <w:szCs w:val="18"/>
        </w:rPr>
        <w:t>Clause 3.1.</w:t>
      </w:r>
      <w:r>
        <w:rPr>
          <w:sz w:val="18"/>
          <w:szCs w:val="18"/>
          <w:lang w:val="en-AU"/>
        </w:rPr>
        <w:t>8</w:t>
      </w:r>
      <w:r w:rsidRPr="00974C57">
        <w:rPr>
          <w:sz w:val="18"/>
          <w:szCs w:val="18"/>
        </w:rPr>
        <w:t>, Standards of Service Code.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BF" w:rsidRDefault="000C78BF" w:rsidP="00763A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8BF" w:rsidRDefault="000C7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BF" w:rsidRPr="003765CD" w:rsidRDefault="000C78BF" w:rsidP="0019571B">
    <w:pPr>
      <w:pStyle w:val="UtilComBodyText"/>
      <w:jc w:val="center"/>
      <w:rPr>
        <w:rStyle w:val="Heading2Char"/>
      </w:rPr>
    </w:pPr>
    <w:r>
      <w:rPr>
        <w:rStyle w:val="PageNumber"/>
      </w:rPr>
      <w:noBreakHyphen/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100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noBreak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BF" w:rsidRDefault="000C78BF" w:rsidP="0019571B">
    <w:pPr>
      <w:pStyle w:val="UtilComHeaderInfo"/>
      <w:rPr>
        <w:b/>
        <w:noProof/>
      </w:rPr>
    </w:pPr>
  </w:p>
  <w:p w:rsidR="000C78BF" w:rsidRDefault="003B5435" w:rsidP="0019571B">
    <w:pPr>
      <w:pStyle w:val="UtilComHeaderInfo"/>
      <w:rPr>
        <w:b/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900" cy="904875"/>
          <wp:effectExtent l="0" t="0" r="0" b="0"/>
          <wp:wrapNone/>
          <wp:docPr id="2" name="Picture 1" descr="UC_header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_header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8BF" w:rsidRDefault="000C78BF" w:rsidP="0019571B">
    <w:pPr>
      <w:pStyle w:val="UtilComHeaderInfo"/>
      <w:rPr>
        <w:b/>
        <w:noProof/>
      </w:rPr>
    </w:pPr>
  </w:p>
  <w:p w:rsidR="000C78BF" w:rsidRDefault="003B5435" w:rsidP="0019571B">
    <w:pPr>
      <w:pStyle w:val="UtilComHeaderInfo"/>
      <w:rPr>
        <w:b/>
      </w:rPr>
    </w:pPr>
    <w:r>
      <w:rPr>
        <w:b/>
        <w:noProof/>
      </w:rPr>
      <w:drawing>
        <wp:inline distT="0" distB="0" distL="0" distR="0">
          <wp:extent cx="5829300" cy="971550"/>
          <wp:effectExtent l="0" t="0" r="0" b="0"/>
          <wp:docPr id="1" name="Picture 1" descr="Utilities Commission header_samples_Page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ilities Commission header_samples_Page_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78BF" w:rsidRDefault="000C7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8636A4"/>
    <w:lvl w:ilvl="0">
      <w:start w:val="1"/>
      <w:numFmt w:val="lowerLetter"/>
      <w:pStyle w:val="ListBullet3"/>
      <w:lvlText w:val="(%1)"/>
      <w:lvlJc w:val="left"/>
      <w:pPr>
        <w:ind w:left="926" w:hanging="360"/>
      </w:pPr>
      <w:rPr>
        <w:rFonts w:ascii="Arial" w:hAnsi="Arial" w:hint="default"/>
        <w:sz w:val="22"/>
      </w:rPr>
    </w:lvl>
  </w:abstractNum>
  <w:abstractNum w:abstractNumId="1">
    <w:nsid w:val="163D4B42"/>
    <w:multiLevelType w:val="singleLevel"/>
    <w:tmpl w:val="91C49CD8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630"/>
      </w:pPr>
      <w:rPr>
        <w:rFonts w:hint="default"/>
        <w:b w:val="0"/>
        <w:i w:val="0"/>
      </w:rPr>
    </w:lvl>
  </w:abstractNum>
  <w:abstractNum w:abstractNumId="2">
    <w:nsid w:val="188F520C"/>
    <w:multiLevelType w:val="hybridMultilevel"/>
    <w:tmpl w:val="D36E993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7BA31DD"/>
    <w:multiLevelType w:val="hybridMultilevel"/>
    <w:tmpl w:val="760AC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D5F6B"/>
    <w:multiLevelType w:val="hybridMultilevel"/>
    <w:tmpl w:val="AD66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74A4F"/>
    <w:multiLevelType w:val="hybridMultilevel"/>
    <w:tmpl w:val="DCF6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03B3A"/>
    <w:multiLevelType w:val="hybridMultilevel"/>
    <w:tmpl w:val="37DE89DE"/>
    <w:lvl w:ilvl="0" w:tplc="F0A8FF1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225F7"/>
    <w:multiLevelType w:val="hybridMultilevel"/>
    <w:tmpl w:val="322C0E5E"/>
    <w:lvl w:ilvl="0" w:tplc="D1925F5A">
      <w:start w:val="1"/>
      <w:numFmt w:val="decimal"/>
      <w:lvlText w:val="%1."/>
      <w:lvlJc w:val="left"/>
      <w:pPr>
        <w:tabs>
          <w:tab w:val="num" w:pos="914"/>
        </w:tabs>
        <w:ind w:left="914" w:hanging="63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354A5"/>
    <w:multiLevelType w:val="hybridMultilevel"/>
    <w:tmpl w:val="CACCB1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9683B"/>
    <w:multiLevelType w:val="hybridMultilevel"/>
    <w:tmpl w:val="9A2AE6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t523goJuekqXC+pPIXvx2qslWAo=" w:salt="XUdB4iQadvexC48/45BHgg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7"/>
    <w:rsid w:val="000060BF"/>
    <w:rsid w:val="000064CB"/>
    <w:rsid w:val="000104AB"/>
    <w:rsid w:val="00010EEA"/>
    <w:rsid w:val="00016A58"/>
    <w:rsid w:val="0002150C"/>
    <w:rsid w:val="000215E6"/>
    <w:rsid w:val="00022413"/>
    <w:rsid w:val="00023553"/>
    <w:rsid w:val="00023645"/>
    <w:rsid w:val="0002489D"/>
    <w:rsid w:val="000249DC"/>
    <w:rsid w:val="00030044"/>
    <w:rsid w:val="000302C0"/>
    <w:rsid w:val="000333C6"/>
    <w:rsid w:val="000376B2"/>
    <w:rsid w:val="00040C36"/>
    <w:rsid w:val="000424F1"/>
    <w:rsid w:val="00042BC9"/>
    <w:rsid w:val="00045CCE"/>
    <w:rsid w:val="00046838"/>
    <w:rsid w:val="00050634"/>
    <w:rsid w:val="0005160E"/>
    <w:rsid w:val="00054E58"/>
    <w:rsid w:val="00055A15"/>
    <w:rsid w:val="00055F6E"/>
    <w:rsid w:val="000567BE"/>
    <w:rsid w:val="0005747B"/>
    <w:rsid w:val="000625C3"/>
    <w:rsid w:val="00063A93"/>
    <w:rsid w:val="00063EAC"/>
    <w:rsid w:val="000655C2"/>
    <w:rsid w:val="00067AE5"/>
    <w:rsid w:val="00067C7F"/>
    <w:rsid w:val="00070001"/>
    <w:rsid w:val="000755D7"/>
    <w:rsid w:val="00081963"/>
    <w:rsid w:val="00081984"/>
    <w:rsid w:val="00082C31"/>
    <w:rsid w:val="00085538"/>
    <w:rsid w:val="00086A24"/>
    <w:rsid w:val="000917B2"/>
    <w:rsid w:val="00092E34"/>
    <w:rsid w:val="00094D2B"/>
    <w:rsid w:val="000968BE"/>
    <w:rsid w:val="000A058E"/>
    <w:rsid w:val="000A1789"/>
    <w:rsid w:val="000A57FE"/>
    <w:rsid w:val="000A5BAB"/>
    <w:rsid w:val="000A5FAF"/>
    <w:rsid w:val="000A7ABD"/>
    <w:rsid w:val="000B1FE4"/>
    <w:rsid w:val="000C0DD5"/>
    <w:rsid w:val="000C2C04"/>
    <w:rsid w:val="000C3AD0"/>
    <w:rsid w:val="000C5DAB"/>
    <w:rsid w:val="000C6875"/>
    <w:rsid w:val="000C78BF"/>
    <w:rsid w:val="000D21B9"/>
    <w:rsid w:val="000D4683"/>
    <w:rsid w:val="000D760C"/>
    <w:rsid w:val="000E26E6"/>
    <w:rsid w:val="000E4D8E"/>
    <w:rsid w:val="000F6411"/>
    <w:rsid w:val="000F7515"/>
    <w:rsid w:val="00112237"/>
    <w:rsid w:val="00112D12"/>
    <w:rsid w:val="001162A2"/>
    <w:rsid w:val="001171EA"/>
    <w:rsid w:val="00117E21"/>
    <w:rsid w:val="00117F5D"/>
    <w:rsid w:val="00120400"/>
    <w:rsid w:val="0012101B"/>
    <w:rsid w:val="0012610A"/>
    <w:rsid w:val="001271FF"/>
    <w:rsid w:val="0013250A"/>
    <w:rsid w:val="00134634"/>
    <w:rsid w:val="00135C96"/>
    <w:rsid w:val="001364CD"/>
    <w:rsid w:val="001407E2"/>
    <w:rsid w:val="001422DD"/>
    <w:rsid w:val="001521B6"/>
    <w:rsid w:val="00153959"/>
    <w:rsid w:val="001545F9"/>
    <w:rsid w:val="00154E62"/>
    <w:rsid w:val="001579C2"/>
    <w:rsid w:val="00160881"/>
    <w:rsid w:val="0016262C"/>
    <w:rsid w:val="00164258"/>
    <w:rsid w:val="00164A3A"/>
    <w:rsid w:val="00166509"/>
    <w:rsid w:val="00170710"/>
    <w:rsid w:val="00176245"/>
    <w:rsid w:val="00176573"/>
    <w:rsid w:val="0018229E"/>
    <w:rsid w:val="00184056"/>
    <w:rsid w:val="00184984"/>
    <w:rsid w:val="00184B7C"/>
    <w:rsid w:val="00187674"/>
    <w:rsid w:val="001907DA"/>
    <w:rsid w:val="00192F6F"/>
    <w:rsid w:val="0019571B"/>
    <w:rsid w:val="001971A1"/>
    <w:rsid w:val="0019771F"/>
    <w:rsid w:val="001A2EC9"/>
    <w:rsid w:val="001A6196"/>
    <w:rsid w:val="001B10DA"/>
    <w:rsid w:val="001B71AE"/>
    <w:rsid w:val="001B7AC7"/>
    <w:rsid w:val="001B7DA7"/>
    <w:rsid w:val="001C0131"/>
    <w:rsid w:val="001C02FE"/>
    <w:rsid w:val="001C422C"/>
    <w:rsid w:val="001C4568"/>
    <w:rsid w:val="001C7842"/>
    <w:rsid w:val="001C7CD0"/>
    <w:rsid w:val="001D27E9"/>
    <w:rsid w:val="001D4089"/>
    <w:rsid w:val="001D5A9F"/>
    <w:rsid w:val="001D6742"/>
    <w:rsid w:val="001D69E9"/>
    <w:rsid w:val="001D7DC4"/>
    <w:rsid w:val="001E305D"/>
    <w:rsid w:val="001E3578"/>
    <w:rsid w:val="001E3AAD"/>
    <w:rsid w:val="001E4F80"/>
    <w:rsid w:val="001E6135"/>
    <w:rsid w:val="001F4991"/>
    <w:rsid w:val="001F5273"/>
    <w:rsid w:val="001F60FE"/>
    <w:rsid w:val="001F6B23"/>
    <w:rsid w:val="001F7B6E"/>
    <w:rsid w:val="0020232B"/>
    <w:rsid w:val="00204372"/>
    <w:rsid w:val="002048E7"/>
    <w:rsid w:val="00207E37"/>
    <w:rsid w:val="00210686"/>
    <w:rsid w:val="002115E6"/>
    <w:rsid w:val="00211ADE"/>
    <w:rsid w:val="00212481"/>
    <w:rsid w:val="00213CD8"/>
    <w:rsid w:val="00215A9D"/>
    <w:rsid w:val="00220E1E"/>
    <w:rsid w:val="00221114"/>
    <w:rsid w:val="0022361B"/>
    <w:rsid w:val="00224644"/>
    <w:rsid w:val="0022584E"/>
    <w:rsid w:val="002306CE"/>
    <w:rsid w:val="0023083D"/>
    <w:rsid w:val="002374AC"/>
    <w:rsid w:val="00237B7C"/>
    <w:rsid w:val="00242910"/>
    <w:rsid w:val="00243FE5"/>
    <w:rsid w:val="002440CC"/>
    <w:rsid w:val="0024555A"/>
    <w:rsid w:val="002466CE"/>
    <w:rsid w:val="002524C0"/>
    <w:rsid w:val="002526A8"/>
    <w:rsid w:val="00252EA3"/>
    <w:rsid w:val="0025439F"/>
    <w:rsid w:val="002545A4"/>
    <w:rsid w:val="002548C6"/>
    <w:rsid w:val="002555DE"/>
    <w:rsid w:val="00262632"/>
    <w:rsid w:val="00266F4C"/>
    <w:rsid w:val="0026775F"/>
    <w:rsid w:val="00270C00"/>
    <w:rsid w:val="00271740"/>
    <w:rsid w:val="002719E0"/>
    <w:rsid w:val="0027710E"/>
    <w:rsid w:val="002863EF"/>
    <w:rsid w:val="00286999"/>
    <w:rsid w:val="00295BEF"/>
    <w:rsid w:val="00297E74"/>
    <w:rsid w:val="002A03A5"/>
    <w:rsid w:val="002A3775"/>
    <w:rsid w:val="002A5567"/>
    <w:rsid w:val="002A5623"/>
    <w:rsid w:val="002A6932"/>
    <w:rsid w:val="002A7D1F"/>
    <w:rsid w:val="002B1230"/>
    <w:rsid w:val="002B1738"/>
    <w:rsid w:val="002C0386"/>
    <w:rsid w:val="002C1DA7"/>
    <w:rsid w:val="002C267D"/>
    <w:rsid w:val="002C62E5"/>
    <w:rsid w:val="002D0C6E"/>
    <w:rsid w:val="002D3176"/>
    <w:rsid w:val="002D4686"/>
    <w:rsid w:val="002D6B9D"/>
    <w:rsid w:val="002D7B81"/>
    <w:rsid w:val="002E1672"/>
    <w:rsid w:val="002E1CE1"/>
    <w:rsid w:val="002E39DE"/>
    <w:rsid w:val="002F6526"/>
    <w:rsid w:val="00301586"/>
    <w:rsid w:val="0030438C"/>
    <w:rsid w:val="00307F79"/>
    <w:rsid w:val="00314B99"/>
    <w:rsid w:val="00314C98"/>
    <w:rsid w:val="00314E75"/>
    <w:rsid w:val="00323FDD"/>
    <w:rsid w:val="00327C11"/>
    <w:rsid w:val="00330CA3"/>
    <w:rsid w:val="00332168"/>
    <w:rsid w:val="00332D45"/>
    <w:rsid w:val="00334181"/>
    <w:rsid w:val="00340212"/>
    <w:rsid w:val="00343BDF"/>
    <w:rsid w:val="003455BA"/>
    <w:rsid w:val="003458E7"/>
    <w:rsid w:val="00350C52"/>
    <w:rsid w:val="00350DA3"/>
    <w:rsid w:val="0035373D"/>
    <w:rsid w:val="00354185"/>
    <w:rsid w:val="003542BF"/>
    <w:rsid w:val="00354627"/>
    <w:rsid w:val="00355A73"/>
    <w:rsid w:val="00355AD3"/>
    <w:rsid w:val="00355B14"/>
    <w:rsid w:val="00356423"/>
    <w:rsid w:val="003566B4"/>
    <w:rsid w:val="0035704D"/>
    <w:rsid w:val="00365875"/>
    <w:rsid w:val="003659AD"/>
    <w:rsid w:val="003678CC"/>
    <w:rsid w:val="0037015D"/>
    <w:rsid w:val="00371470"/>
    <w:rsid w:val="00371523"/>
    <w:rsid w:val="00371DC6"/>
    <w:rsid w:val="00371E1A"/>
    <w:rsid w:val="003765CD"/>
    <w:rsid w:val="00376BC6"/>
    <w:rsid w:val="00383ABB"/>
    <w:rsid w:val="00385103"/>
    <w:rsid w:val="00386424"/>
    <w:rsid w:val="00386D5A"/>
    <w:rsid w:val="0038749B"/>
    <w:rsid w:val="0039041E"/>
    <w:rsid w:val="00393B69"/>
    <w:rsid w:val="00393DD6"/>
    <w:rsid w:val="00394D70"/>
    <w:rsid w:val="003959FD"/>
    <w:rsid w:val="0039737A"/>
    <w:rsid w:val="003A525E"/>
    <w:rsid w:val="003A7455"/>
    <w:rsid w:val="003B21D5"/>
    <w:rsid w:val="003B4A50"/>
    <w:rsid w:val="003B4C4C"/>
    <w:rsid w:val="003B5435"/>
    <w:rsid w:val="003B680A"/>
    <w:rsid w:val="003B698A"/>
    <w:rsid w:val="003C0272"/>
    <w:rsid w:val="003C1073"/>
    <w:rsid w:val="003C124C"/>
    <w:rsid w:val="003C6832"/>
    <w:rsid w:val="003D0F41"/>
    <w:rsid w:val="003D26A8"/>
    <w:rsid w:val="003D2B6F"/>
    <w:rsid w:val="003D3D24"/>
    <w:rsid w:val="003D400C"/>
    <w:rsid w:val="003D5245"/>
    <w:rsid w:val="003E23F6"/>
    <w:rsid w:val="003E5274"/>
    <w:rsid w:val="003E62DE"/>
    <w:rsid w:val="003F0C5D"/>
    <w:rsid w:val="003F12AD"/>
    <w:rsid w:val="003F5E2C"/>
    <w:rsid w:val="003F6A38"/>
    <w:rsid w:val="003F70DD"/>
    <w:rsid w:val="003F7195"/>
    <w:rsid w:val="003F73D3"/>
    <w:rsid w:val="003F7433"/>
    <w:rsid w:val="003F7BDE"/>
    <w:rsid w:val="00401F0A"/>
    <w:rsid w:val="00404884"/>
    <w:rsid w:val="004050CF"/>
    <w:rsid w:val="0041111B"/>
    <w:rsid w:val="004124F6"/>
    <w:rsid w:val="00412F76"/>
    <w:rsid w:val="004130A1"/>
    <w:rsid w:val="0041454C"/>
    <w:rsid w:val="0041535A"/>
    <w:rsid w:val="0041637D"/>
    <w:rsid w:val="0041795D"/>
    <w:rsid w:val="00417D05"/>
    <w:rsid w:val="00424DCE"/>
    <w:rsid w:val="00426AE2"/>
    <w:rsid w:val="004302A2"/>
    <w:rsid w:val="00430725"/>
    <w:rsid w:val="00431525"/>
    <w:rsid w:val="00431E0A"/>
    <w:rsid w:val="00432945"/>
    <w:rsid w:val="00434F1E"/>
    <w:rsid w:val="004362E6"/>
    <w:rsid w:val="004379E6"/>
    <w:rsid w:val="004407DC"/>
    <w:rsid w:val="00442F74"/>
    <w:rsid w:val="00452D85"/>
    <w:rsid w:val="0045415A"/>
    <w:rsid w:val="0045697A"/>
    <w:rsid w:val="00456CDA"/>
    <w:rsid w:val="004572A6"/>
    <w:rsid w:val="00460AB1"/>
    <w:rsid w:val="00461243"/>
    <w:rsid w:val="00462CC9"/>
    <w:rsid w:val="0046306B"/>
    <w:rsid w:val="00463743"/>
    <w:rsid w:val="004646F7"/>
    <w:rsid w:val="00465AB2"/>
    <w:rsid w:val="00466FB5"/>
    <w:rsid w:val="00470036"/>
    <w:rsid w:val="004707BC"/>
    <w:rsid w:val="004726D4"/>
    <w:rsid w:val="004734D2"/>
    <w:rsid w:val="00473F14"/>
    <w:rsid w:val="004742EA"/>
    <w:rsid w:val="004743B6"/>
    <w:rsid w:val="00474B80"/>
    <w:rsid w:val="00476314"/>
    <w:rsid w:val="00481F7B"/>
    <w:rsid w:val="00482184"/>
    <w:rsid w:val="00482C30"/>
    <w:rsid w:val="00490396"/>
    <w:rsid w:val="0049040E"/>
    <w:rsid w:val="004909A0"/>
    <w:rsid w:val="00492379"/>
    <w:rsid w:val="004941E5"/>
    <w:rsid w:val="00494D6F"/>
    <w:rsid w:val="004A5CE6"/>
    <w:rsid w:val="004A60E1"/>
    <w:rsid w:val="004A72A8"/>
    <w:rsid w:val="004B003D"/>
    <w:rsid w:val="004B346D"/>
    <w:rsid w:val="004B39EB"/>
    <w:rsid w:val="004B4B9D"/>
    <w:rsid w:val="004B5017"/>
    <w:rsid w:val="004C12DE"/>
    <w:rsid w:val="004C5782"/>
    <w:rsid w:val="004C5891"/>
    <w:rsid w:val="004C6027"/>
    <w:rsid w:val="004C7234"/>
    <w:rsid w:val="004D3B44"/>
    <w:rsid w:val="004D423A"/>
    <w:rsid w:val="004E09CA"/>
    <w:rsid w:val="004E391B"/>
    <w:rsid w:val="004E502F"/>
    <w:rsid w:val="004E5F24"/>
    <w:rsid w:val="004E6656"/>
    <w:rsid w:val="004E69E8"/>
    <w:rsid w:val="004F103E"/>
    <w:rsid w:val="00500BE6"/>
    <w:rsid w:val="0050534D"/>
    <w:rsid w:val="00516D27"/>
    <w:rsid w:val="00517382"/>
    <w:rsid w:val="00517831"/>
    <w:rsid w:val="005205CA"/>
    <w:rsid w:val="00520F76"/>
    <w:rsid w:val="00522191"/>
    <w:rsid w:val="00525881"/>
    <w:rsid w:val="0052614B"/>
    <w:rsid w:val="005263D9"/>
    <w:rsid w:val="0052675D"/>
    <w:rsid w:val="00526B7A"/>
    <w:rsid w:val="00530165"/>
    <w:rsid w:val="005302CE"/>
    <w:rsid w:val="00532754"/>
    <w:rsid w:val="00534D22"/>
    <w:rsid w:val="00536F37"/>
    <w:rsid w:val="00537837"/>
    <w:rsid w:val="005400EA"/>
    <w:rsid w:val="005419BC"/>
    <w:rsid w:val="005428F8"/>
    <w:rsid w:val="00542966"/>
    <w:rsid w:val="005475C0"/>
    <w:rsid w:val="00547681"/>
    <w:rsid w:val="00551CBC"/>
    <w:rsid w:val="00555249"/>
    <w:rsid w:val="00555463"/>
    <w:rsid w:val="0056224B"/>
    <w:rsid w:val="005628C3"/>
    <w:rsid w:val="005633DD"/>
    <w:rsid w:val="00563722"/>
    <w:rsid w:val="00566890"/>
    <w:rsid w:val="005707AB"/>
    <w:rsid w:val="00572867"/>
    <w:rsid w:val="00573646"/>
    <w:rsid w:val="00573A16"/>
    <w:rsid w:val="00576DF4"/>
    <w:rsid w:val="0058140E"/>
    <w:rsid w:val="00581D64"/>
    <w:rsid w:val="00582D7B"/>
    <w:rsid w:val="005855C5"/>
    <w:rsid w:val="0058646E"/>
    <w:rsid w:val="00587446"/>
    <w:rsid w:val="00596353"/>
    <w:rsid w:val="00596B7E"/>
    <w:rsid w:val="005A0101"/>
    <w:rsid w:val="005A2BC7"/>
    <w:rsid w:val="005A6A98"/>
    <w:rsid w:val="005A6EAB"/>
    <w:rsid w:val="005B03D6"/>
    <w:rsid w:val="005B3B6D"/>
    <w:rsid w:val="005B419B"/>
    <w:rsid w:val="005B43D5"/>
    <w:rsid w:val="005B4B9A"/>
    <w:rsid w:val="005B65BD"/>
    <w:rsid w:val="005C0F70"/>
    <w:rsid w:val="005D0992"/>
    <w:rsid w:val="005D4468"/>
    <w:rsid w:val="005D54FC"/>
    <w:rsid w:val="005E41CD"/>
    <w:rsid w:val="005E5A0B"/>
    <w:rsid w:val="005F0CAA"/>
    <w:rsid w:val="005F0F95"/>
    <w:rsid w:val="005F21D9"/>
    <w:rsid w:val="005F6AD3"/>
    <w:rsid w:val="006023B8"/>
    <w:rsid w:val="0060284F"/>
    <w:rsid w:val="00605813"/>
    <w:rsid w:val="00605CAB"/>
    <w:rsid w:val="0061011F"/>
    <w:rsid w:val="006102F8"/>
    <w:rsid w:val="00612FBB"/>
    <w:rsid w:val="006154F1"/>
    <w:rsid w:val="0061625F"/>
    <w:rsid w:val="006226DC"/>
    <w:rsid w:val="00623756"/>
    <w:rsid w:val="00624CDA"/>
    <w:rsid w:val="00626B28"/>
    <w:rsid w:val="00627AE6"/>
    <w:rsid w:val="00630FFB"/>
    <w:rsid w:val="00632A1A"/>
    <w:rsid w:val="00634CF3"/>
    <w:rsid w:val="00635C62"/>
    <w:rsid w:val="00635F78"/>
    <w:rsid w:val="00644965"/>
    <w:rsid w:val="00645230"/>
    <w:rsid w:val="00645F0D"/>
    <w:rsid w:val="006501B7"/>
    <w:rsid w:val="00654280"/>
    <w:rsid w:val="006552F7"/>
    <w:rsid w:val="00656E84"/>
    <w:rsid w:val="006575EA"/>
    <w:rsid w:val="006653EB"/>
    <w:rsid w:val="00665A34"/>
    <w:rsid w:val="0066709F"/>
    <w:rsid w:val="00680369"/>
    <w:rsid w:val="006831AE"/>
    <w:rsid w:val="00683FCD"/>
    <w:rsid w:val="0069461E"/>
    <w:rsid w:val="006955F6"/>
    <w:rsid w:val="00697298"/>
    <w:rsid w:val="006A21A5"/>
    <w:rsid w:val="006A30C4"/>
    <w:rsid w:val="006A356D"/>
    <w:rsid w:val="006A7558"/>
    <w:rsid w:val="006B002A"/>
    <w:rsid w:val="006B0776"/>
    <w:rsid w:val="006B19DB"/>
    <w:rsid w:val="006B3D13"/>
    <w:rsid w:val="006B455C"/>
    <w:rsid w:val="006B605D"/>
    <w:rsid w:val="006B7698"/>
    <w:rsid w:val="006C05D0"/>
    <w:rsid w:val="006C1229"/>
    <w:rsid w:val="006C12B1"/>
    <w:rsid w:val="006C360A"/>
    <w:rsid w:val="006C462C"/>
    <w:rsid w:val="006C5D81"/>
    <w:rsid w:val="006C7A63"/>
    <w:rsid w:val="006D0C05"/>
    <w:rsid w:val="006D19A1"/>
    <w:rsid w:val="006D34E1"/>
    <w:rsid w:val="006D7D4A"/>
    <w:rsid w:val="006E03DB"/>
    <w:rsid w:val="006E0735"/>
    <w:rsid w:val="006E32F6"/>
    <w:rsid w:val="006E3A88"/>
    <w:rsid w:val="006E3FC6"/>
    <w:rsid w:val="006E79AA"/>
    <w:rsid w:val="006F1AB6"/>
    <w:rsid w:val="006F56AA"/>
    <w:rsid w:val="006F5C85"/>
    <w:rsid w:val="00700C9F"/>
    <w:rsid w:val="00703666"/>
    <w:rsid w:val="007040A6"/>
    <w:rsid w:val="0070603B"/>
    <w:rsid w:val="00706F00"/>
    <w:rsid w:val="00713E0D"/>
    <w:rsid w:val="007162B2"/>
    <w:rsid w:val="00724967"/>
    <w:rsid w:val="00724B18"/>
    <w:rsid w:val="00731530"/>
    <w:rsid w:val="00736DB7"/>
    <w:rsid w:val="00741F48"/>
    <w:rsid w:val="0074419C"/>
    <w:rsid w:val="007445E4"/>
    <w:rsid w:val="007501B1"/>
    <w:rsid w:val="0075052C"/>
    <w:rsid w:val="0075176D"/>
    <w:rsid w:val="0075179B"/>
    <w:rsid w:val="007553B7"/>
    <w:rsid w:val="00755BFC"/>
    <w:rsid w:val="007572CE"/>
    <w:rsid w:val="00757465"/>
    <w:rsid w:val="00761932"/>
    <w:rsid w:val="00762067"/>
    <w:rsid w:val="00762918"/>
    <w:rsid w:val="00762969"/>
    <w:rsid w:val="00762D67"/>
    <w:rsid w:val="00763A20"/>
    <w:rsid w:val="00767E45"/>
    <w:rsid w:val="007719DE"/>
    <w:rsid w:val="007735E7"/>
    <w:rsid w:val="00773B36"/>
    <w:rsid w:val="00777491"/>
    <w:rsid w:val="00780551"/>
    <w:rsid w:val="00780F8C"/>
    <w:rsid w:val="007817A1"/>
    <w:rsid w:val="007829AE"/>
    <w:rsid w:val="00784A94"/>
    <w:rsid w:val="00787076"/>
    <w:rsid w:val="00791ACA"/>
    <w:rsid w:val="0079336E"/>
    <w:rsid w:val="00797A22"/>
    <w:rsid w:val="007A07E8"/>
    <w:rsid w:val="007A553D"/>
    <w:rsid w:val="007B1307"/>
    <w:rsid w:val="007B51DD"/>
    <w:rsid w:val="007B7CC0"/>
    <w:rsid w:val="007C0A33"/>
    <w:rsid w:val="007C0E96"/>
    <w:rsid w:val="007C1D40"/>
    <w:rsid w:val="007C1E91"/>
    <w:rsid w:val="007C4A92"/>
    <w:rsid w:val="007C4B87"/>
    <w:rsid w:val="007C62CA"/>
    <w:rsid w:val="007C71F4"/>
    <w:rsid w:val="007D290F"/>
    <w:rsid w:val="007D34CA"/>
    <w:rsid w:val="007D40A4"/>
    <w:rsid w:val="007D4D03"/>
    <w:rsid w:val="007D7071"/>
    <w:rsid w:val="007E4470"/>
    <w:rsid w:val="007E6321"/>
    <w:rsid w:val="007E6726"/>
    <w:rsid w:val="007F0790"/>
    <w:rsid w:val="007F10F3"/>
    <w:rsid w:val="007F23CE"/>
    <w:rsid w:val="007F3D47"/>
    <w:rsid w:val="007F458D"/>
    <w:rsid w:val="007F5FDB"/>
    <w:rsid w:val="007F658A"/>
    <w:rsid w:val="007F78D8"/>
    <w:rsid w:val="007F7A8F"/>
    <w:rsid w:val="007F7ABA"/>
    <w:rsid w:val="008049A2"/>
    <w:rsid w:val="00807DD2"/>
    <w:rsid w:val="0081131C"/>
    <w:rsid w:val="00816C5B"/>
    <w:rsid w:val="00821BA6"/>
    <w:rsid w:val="00824BAA"/>
    <w:rsid w:val="00824DF7"/>
    <w:rsid w:val="00827A50"/>
    <w:rsid w:val="008323D0"/>
    <w:rsid w:val="00832DC1"/>
    <w:rsid w:val="00834DAF"/>
    <w:rsid w:val="00837255"/>
    <w:rsid w:val="0084462A"/>
    <w:rsid w:val="0085206E"/>
    <w:rsid w:val="008525BF"/>
    <w:rsid w:val="00854345"/>
    <w:rsid w:val="00855DA8"/>
    <w:rsid w:val="0085707D"/>
    <w:rsid w:val="008618DE"/>
    <w:rsid w:val="008642D5"/>
    <w:rsid w:val="00865384"/>
    <w:rsid w:val="00866773"/>
    <w:rsid w:val="00866E80"/>
    <w:rsid w:val="00874692"/>
    <w:rsid w:val="00875635"/>
    <w:rsid w:val="00880CC9"/>
    <w:rsid w:val="0088327C"/>
    <w:rsid w:val="0088762D"/>
    <w:rsid w:val="008877ED"/>
    <w:rsid w:val="00890DB6"/>
    <w:rsid w:val="008933D8"/>
    <w:rsid w:val="008A0085"/>
    <w:rsid w:val="008A0594"/>
    <w:rsid w:val="008A0833"/>
    <w:rsid w:val="008A0912"/>
    <w:rsid w:val="008A0DC2"/>
    <w:rsid w:val="008A3E60"/>
    <w:rsid w:val="008A43A5"/>
    <w:rsid w:val="008A7265"/>
    <w:rsid w:val="008B23E9"/>
    <w:rsid w:val="008B3039"/>
    <w:rsid w:val="008B502D"/>
    <w:rsid w:val="008C0559"/>
    <w:rsid w:val="008C1207"/>
    <w:rsid w:val="008C3763"/>
    <w:rsid w:val="008C3ECB"/>
    <w:rsid w:val="008D038F"/>
    <w:rsid w:val="008D0BA9"/>
    <w:rsid w:val="008D2392"/>
    <w:rsid w:val="008D5BB0"/>
    <w:rsid w:val="008D7117"/>
    <w:rsid w:val="008E1DC7"/>
    <w:rsid w:val="008E5AC0"/>
    <w:rsid w:val="008F2A38"/>
    <w:rsid w:val="008F3153"/>
    <w:rsid w:val="008F3E64"/>
    <w:rsid w:val="008F47B1"/>
    <w:rsid w:val="008F4833"/>
    <w:rsid w:val="008F5DAC"/>
    <w:rsid w:val="008F5EBF"/>
    <w:rsid w:val="008F7654"/>
    <w:rsid w:val="0090131A"/>
    <w:rsid w:val="00902884"/>
    <w:rsid w:val="00903EAE"/>
    <w:rsid w:val="009069DD"/>
    <w:rsid w:val="00915402"/>
    <w:rsid w:val="0091589D"/>
    <w:rsid w:val="00920DCE"/>
    <w:rsid w:val="009312EE"/>
    <w:rsid w:val="00931848"/>
    <w:rsid w:val="00931A46"/>
    <w:rsid w:val="009329EC"/>
    <w:rsid w:val="009342C0"/>
    <w:rsid w:val="00944373"/>
    <w:rsid w:val="00944463"/>
    <w:rsid w:val="0094548B"/>
    <w:rsid w:val="00945FC8"/>
    <w:rsid w:val="00947358"/>
    <w:rsid w:val="00947A10"/>
    <w:rsid w:val="00951504"/>
    <w:rsid w:val="0095483E"/>
    <w:rsid w:val="00955AC5"/>
    <w:rsid w:val="00956834"/>
    <w:rsid w:val="0096299F"/>
    <w:rsid w:val="00966B8B"/>
    <w:rsid w:val="00966F53"/>
    <w:rsid w:val="00971B1A"/>
    <w:rsid w:val="00972562"/>
    <w:rsid w:val="0097383F"/>
    <w:rsid w:val="00981A37"/>
    <w:rsid w:val="00981DD0"/>
    <w:rsid w:val="009832E0"/>
    <w:rsid w:val="009912B8"/>
    <w:rsid w:val="00993121"/>
    <w:rsid w:val="0099370B"/>
    <w:rsid w:val="009A1C86"/>
    <w:rsid w:val="009A24AD"/>
    <w:rsid w:val="009A4C0F"/>
    <w:rsid w:val="009A5957"/>
    <w:rsid w:val="009A5B4C"/>
    <w:rsid w:val="009A75A0"/>
    <w:rsid w:val="009B08B2"/>
    <w:rsid w:val="009B13A1"/>
    <w:rsid w:val="009B1546"/>
    <w:rsid w:val="009B1644"/>
    <w:rsid w:val="009B30E8"/>
    <w:rsid w:val="009C1AC6"/>
    <w:rsid w:val="009C3BBC"/>
    <w:rsid w:val="009C414E"/>
    <w:rsid w:val="009C7733"/>
    <w:rsid w:val="009D0425"/>
    <w:rsid w:val="009D1CC1"/>
    <w:rsid w:val="009D385D"/>
    <w:rsid w:val="009D5D56"/>
    <w:rsid w:val="009D5DA2"/>
    <w:rsid w:val="009E0273"/>
    <w:rsid w:val="009E1CE4"/>
    <w:rsid w:val="009E2103"/>
    <w:rsid w:val="009E21DC"/>
    <w:rsid w:val="009E71C1"/>
    <w:rsid w:val="009E7450"/>
    <w:rsid w:val="009F372D"/>
    <w:rsid w:val="009F3A74"/>
    <w:rsid w:val="009F48CB"/>
    <w:rsid w:val="009F5A99"/>
    <w:rsid w:val="009F6DAD"/>
    <w:rsid w:val="009F73C1"/>
    <w:rsid w:val="009F759A"/>
    <w:rsid w:val="00A00C96"/>
    <w:rsid w:val="00A00F49"/>
    <w:rsid w:val="00A00FF6"/>
    <w:rsid w:val="00A010F8"/>
    <w:rsid w:val="00A03DF6"/>
    <w:rsid w:val="00A043E9"/>
    <w:rsid w:val="00A06FB0"/>
    <w:rsid w:val="00A10398"/>
    <w:rsid w:val="00A10DB1"/>
    <w:rsid w:val="00A15B51"/>
    <w:rsid w:val="00A16927"/>
    <w:rsid w:val="00A2194D"/>
    <w:rsid w:val="00A23E15"/>
    <w:rsid w:val="00A255CB"/>
    <w:rsid w:val="00A26A00"/>
    <w:rsid w:val="00A27062"/>
    <w:rsid w:val="00A271E9"/>
    <w:rsid w:val="00A3089F"/>
    <w:rsid w:val="00A30A6C"/>
    <w:rsid w:val="00A32054"/>
    <w:rsid w:val="00A36699"/>
    <w:rsid w:val="00A43259"/>
    <w:rsid w:val="00A45774"/>
    <w:rsid w:val="00A47EC0"/>
    <w:rsid w:val="00A50B3B"/>
    <w:rsid w:val="00A537CF"/>
    <w:rsid w:val="00A53FAC"/>
    <w:rsid w:val="00A5494C"/>
    <w:rsid w:val="00A55ECC"/>
    <w:rsid w:val="00A5705E"/>
    <w:rsid w:val="00A57A39"/>
    <w:rsid w:val="00A60570"/>
    <w:rsid w:val="00A608B1"/>
    <w:rsid w:val="00A62F9F"/>
    <w:rsid w:val="00A641DF"/>
    <w:rsid w:val="00A65BF5"/>
    <w:rsid w:val="00A7187B"/>
    <w:rsid w:val="00A728DB"/>
    <w:rsid w:val="00A73C0C"/>
    <w:rsid w:val="00A758A7"/>
    <w:rsid w:val="00A8134F"/>
    <w:rsid w:val="00A81BDC"/>
    <w:rsid w:val="00A81CC3"/>
    <w:rsid w:val="00A82384"/>
    <w:rsid w:val="00A82727"/>
    <w:rsid w:val="00A8454A"/>
    <w:rsid w:val="00A84B88"/>
    <w:rsid w:val="00A94CD2"/>
    <w:rsid w:val="00A95F54"/>
    <w:rsid w:val="00A968CE"/>
    <w:rsid w:val="00A97CCB"/>
    <w:rsid w:val="00AA04C3"/>
    <w:rsid w:val="00AA0714"/>
    <w:rsid w:val="00AA548A"/>
    <w:rsid w:val="00AA6273"/>
    <w:rsid w:val="00AA632B"/>
    <w:rsid w:val="00AA7082"/>
    <w:rsid w:val="00AB1281"/>
    <w:rsid w:val="00AB22EA"/>
    <w:rsid w:val="00AB3949"/>
    <w:rsid w:val="00AB3EA7"/>
    <w:rsid w:val="00AB4AB1"/>
    <w:rsid w:val="00AB5CE5"/>
    <w:rsid w:val="00AC0998"/>
    <w:rsid w:val="00AC5873"/>
    <w:rsid w:val="00AC6677"/>
    <w:rsid w:val="00AD31D7"/>
    <w:rsid w:val="00AD5CC0"/>
    <w:rsid w:val="00AD5EAB"/>
    <w:rsid w:val="00AD5EAF"/>
    <w:rsid w:val="00AE0B75"/>
    <w:rsid w:val="00AE2154"/>
    <w:rsid w:val="00AE33BE"/>
    <w:rsid w:val="00AF2DB3"/>
    <w:rsid w:val="00AF35EB"/>
    <w:rsid w:val="00AF36FB"/>
    <w:rsid w:val="00AF42F0"/>
    <w:rsid w:val="00AF5B58"/>
    <w:rsid w:val="00B0128A"/>
    <w:rsid w:val="00B01380"/>
    <w:rsid w:val="00B01BD5"/>
    <w:rsid w:val="00B02AB8"/>
    <w:rsid w:val="00B02CF2"/>
    <w:rsid w:val="00B0366F"/>
    <w:rsid w:val="00B03943"/>
    <w:rsid w:val="00B11074"/>
    <w:rsid w:val="00B119FC"/>
    <w:rsid w:val="00B142D1"/>
    <w:rsid w:val="00B14592"/>
    <w:rsid w:val="00B14E33"/>
    <w:rsid w:val="00B15827"/>
    <w:rsid w:val="00B16B84"/>
    <w:rsid w:val="00B17B7E"/>
    <w:rsid w:val="00B21D03"/>
    <w:rsid w:val="00B23100"/>
    <w:rsid w:val="00B32BEF"/>
    <w:rsid w:val="00B32EAE"/>
    <w:rsid w:val="00B407CC"/>
    <w:rsid w:val="00B42D57"/>
    <w:rsid w:val="00B5270D"/>
    <w:rsid w:val="00B54F76"/>
    <w:rsid w:val="00B555A0"/>
    <w:rsid w:val="00B60FD0"/>
    <w:rsid w:val="00B621B6"/>
    <w:rsid w:val="00B63555"/>
    <w:rsid w:val="00B71D61"/>
    <w:rsid w:val="00B74A18"/>
    <w:rsid w:val="00B819FC"/>
    <w:rsid w:val="00B828A5"/>
    <w:rsid w:val="00B82C46"/>
    <w:rsid w:val="00B849AD"/>
    <w:rsid w:val="00B84A02"/>
    <w:rsid w:val="00B85594"/>
    <w:rsid w:val="00B86BB5"/>
    <w:rsid w:val="00B921A2"/>
    <w:rsid w:val="00BA093E"/>
    <w:rsid w:val="00BA0D70"/>
    <w:rsid w:val="00BA24A6"/>
    <w:rsid w:val="00BA263D"/>
    <w:rsid w:val="00BA2971"/>
    <w:rsid w:val="00BA3777"/>
    <w:rsid w:val="00BA48FA"/>
    <w:rsid w:val="00BA4ABE"/>
    <w:rsid w:val="00BA5623"/>
    <w:rsid w:val="00BA63DE"/>
    <w:rsid w:val="00BA6FAF"/>
    <w:rsid w:val="00BB06C9"/>
    <w:rsid w:val="00BB0A32"/>
    <w:rsid w:val="00BB0B06"/>
    <w:rsid w:val="00BB2188"/>
    <w:rsid w:val="00BC0077"/>
    <w:rsid w:val="00BC191D"/>
    <w:rsid w:val="00BD047B"/>
    <w:rsid w:val="00BD2B44"/>
    <w:rsid w:val="00BD2C00"/>
    <w:rsid w:val="00BD7DD6"/>
    <w:rsid w:val="00BE0A34"/>
    <w:rsid w:val="00BE1391"/>
    <w:rsid w:val="00BE71B8"/>
    <w:rsid w:val="00BE7723"/>
    <w:rsid w:val="00BE7D5F"/>
    <w:rsid w:val="00BF25BF"/>
    <w:rsid w:val="00BF59C3"/>
    <w:rsid w:val="00BF618D"/>
    <w:rsid w:val="00BF79D3"/>
    <w:rsid w:val="00BF7C7C"/>
    <w:rsid w:val="00C018F6"/>
    <w:rsid w:val="00C02729"/>
    <w:rsid w:val="00C03D88"/>
    <w:rsid w:val="00C03F77"/>
    <w:rsid w:val="00C04FF1"/>
    <w:rsid w:val="00C07B2F"/>
    <w:rsid w:val="00C1093F"/>
    <w:rsid w:val="00C12329"/>
    <w:rsid w:val="00C13A22"/>
    <w:rsid w:val="00C20175"/>
    <w:rsid w:val="00C21CAC"/>
    <w:rsid w:val="00C23AEC"/>
    <w:rsid w:val="00C23F02"/>
    <w:rsid w:val="00C24755"/>
    <w:rsid w:val="00C2528A"/>
    <w:rsid w:val="00C254DF"/>
    <w:rsid w:val="00C26450"/>
    <w:rsid w:val="00C26AF2"/>
    <w:rsid w:val="00C27671"/>
    <w:rsid w:val="00C30D67"/>
    <w:rsid w:val="00C319F4"/>
    <w:rsid w:val="00C32D2A"/>
    <w:rsid w:val="00C335F2"/>
    <w:rsid w:val="00C33F90"/>
    <w:rsid w:val="00C35B2A"/>
    <w:rsid w:val="00C368C0"/>
    <w:rsid w:val="00C36DE2"/>
    <w:rsid w:val="00C37B99"/>
    <w:rsid w:val="00C37DC4"/>
    <w:rsid w:val="00C432A7"/>
    <w:rsid w:val="00C44E85"/>
    <w:rsid w:val="00C44F7F"/>
    <w:rsid w:val="00C45C9C"/>
    <w:rsid w:val="00C45FB9"/>
    <w:rsid w:val="00C47288"/>
    <w:rsid w:val="00C51229"/>
    <w:rsid w:val="00C55095"/>
    <w:rsid w:val="00C613A4"/>
    <w:rsid w:val="00C63A22"/>
    <w:rsid w:val="00C666F3"/>
    <w:rsid w:val="00C67A86"/>
    <w:rsid w:val="00C7642D"/>
    <w:rsid w:val="00C809F8"/>
    <w:rsid w:val="00C80B4A"/>
    <w:rsid w:val="00C83BA4"/>
    <w:rsid w:val="00C8698C"/>
    <w:rsid w:val="00C90E10"/>
    <w:rsid w:val="00C910D6"/>
    <w:rsid w:val="00C914DE"/>
    <w:rsid w:val="00C92230"/>
    <w:rsid w:val="00C93068"/>
    <w:rsid w:val="00C93DBA"/>
    <w:rsid w:val="00C9716A"/>
    <w:rsid w:val="00C973DA"/>
    <w:rsid w:val="00CA0F4A"/>
    <w:rsid w:val="00CA4134"/>
    <w:rsid w:val="00CA44FC"/>
    <w:rsid w:val="00CA5C0D"/>
    <w:rsid w:val="00CA686E"/>
    <w:rsid w:val="00CA7A00"/>
    <w:rsid w:val="00CB2A8E"/>
    <w:rsid w:val="00CB3335"/>
    <w:rsid w:val="00CB5202"/>
    <w:rsid w:val="00CB556E"/>
    <w:rsid w:val="00CB6136"/>
    <w:rsid w:val="00CB634F"/>
    <w:rsid w:val="00CB7F80"/>
    <w:rsid w:val="00CC1325"/>
    <w:rsid w:val="00CD3BEC"/>
    <w:rsid w:val="00CD41B4"/>
    <w:rsid w:val="00CD472A"/>
    <w:rsid w:val="00CD5754"/>
    <w:rsid w:val="00CD6756"/>
    <w:rsid w:val="00CE0218"/>
    <w:rsid w:val="00CE2985"/>
    <w:rsid w:val="00CE2CFE"/>
    <w:rsid w:val="00CF094D"/>
    <w:rsid w:val="00CF1679"/>
    <w:rsid w:val="00CF26C4"/>
    <w:rsid w:val="00CF3458"/>
    <w:rsid w:val="00CF7463"/>
    <w:rsid w:val="00CF76E8"/>
    <w:rsid w:val="00CF7CE4"/>
    <w:rsid w:val="00D00D00"/>
    <w:rsid w:val="00D01D91"/>
    <w:rsid w:val="00D01EDD"/>
    <w:rsid w:val="00D10561"/>
    <w:rsid w:val="00D1271C"/>
    <w:rsid w:val="00D1311C"/>
    <w:rsid w:val="00D14B39"/>
    <w:rsid w:val="00D15DC7"/>
    <w:rsid w:val="00D21FCF"/>
    <w:rsid w:val="00D2734D"/>
    <w:rsid w:val="00D40FB2"/>
    <w:rsid w:val="00D426E7"/>
    <w:rsid w:val="00D44B5C"/>
    <w:rsid w:val="00D4588E"/>
    <w:rsid w:val="00D4597F"/>
    <w:rsid w:val="00D46BA3"/>
    <w:rsid w:val="00D46D7A"/>
    <w:rsid w:val="00D47F5D"/>
    <w:rsid w:val="00D54990"/>
    <w:rsid w:val="00D54F29"/>
    <w:rsid w:val="00D55260"/>
    <w:rsid w:val="00D56B00"/>
    <w:rsid w:val="00D57897"/>
    <w:rsid w:val="00D61191"/>
    <w:rsid w:val="00D63C57"/>
    <w:rsid w:val="00D65C30"/>
    <w:rsid w:val="00D6670A"/>
    <w:rsid w:val="00D71F16"/>
    <w:rsid w:val="00D73CD8"/>
    <w:rsid w:val="00D81604"/>
    <w:rsid w:val="00D81969"/>
    <w:rsid w:val="00D91A6D"/>
    <w:rsid w:val="00D91D80"/>
    <w:rsid w:val="00D94CCC"/>
    <w:rsid w:val="00D95631"/>
    <w:rsid w:val="00D9777E"/>
    <w:rsid w:val="00D97E0B"/>
    <w:rsid w:val="00D97F9A"/>
    <w:rsid w:val="00D97FAE"/>
    <w:rsid w:val="00DA0588"/>
    <w:rsid w:val="00DA3638"/>
    <w:rsid w:val="00DA73FE"/>
    <w:rsid w:val="00DB2D5C"/>
    <w:rsid w:val="00DB3E79"/>
    <w:rsid w:val="00DB538C"/>
    <w:rsid w:val="00DB70C4"/>
    <w:rsid w:val="00DB7968"/>
    <w:rsid w:val="00DB7D4C"/>
    <w:rsid w:val="00DC332A"/>
    <w:rsid w:val="00DC3F21"/>
    <w:rsid w:val="00DC3F78"/>
    <w:rsid w:val="00DC41DE"/>
    <w:rsid w:val="00DC746D"/>
    <w:rsid w:val="00DD2AC4"/>
    <w:rsid w:val="00DD3F35"/>
    <w:rsid w:val="00DD7246"/>
    <w:rsid w:val="00DE2A7B"/>
    <w:rsid w:val="00DE37A8"/>
    <w:rsid w:val="00DE7342"/>
    <w:rsid w:val="00DF40ED"/>
    <w:rsid w:val="00E01CEC"/>
    <w:rsid w:val="00E0391A"/>
    <w:rsid w:val="00E07172"/>
    <w:rsid w:val="00E120D0"/>
    <w:rsid w:val="00E214A4"/>
    <w:rsid w:val="00E229A3"/>
    <w:rsid w:val="00E238E7"/>
    <w:rsid w:val="00E26BA3"/>
    <w:rsid w:val="00E308CB"/>
    <w:rsid w:val="00E32A4D"/>
    <w:rsid w:val="00E33ABF"/>
    <w:rsid w:val="00E36B23"/>
    <w:rsid w:val="00E37B7B"/>
    <w:rsid w:val="00E44DBF"/>
    <w:rsid w:val="00E50EEB"/>
    <w:rsid w:val="00E5100D"/>
    <w:rsid w:val="00E51BC9"/>
    <w:rsid w:val="00E55AAB"/>
    <w:rsid w:val="00E564E8"/>
    <w:rsid w:val="00E65FE2"/>
    <w:rsid w:val="00E71056"/>
    <w:rsid w:val="00E718BD"/>
    <w:rsid w:val="00E74929"/>
    <w:rsid w:val="00E8066B"/>
    <w:rsid w:val="00E80B6F"/>
    <w:rsid w:val="00E80CEE"/>
    <w:rsid w:val="00E82C12"/>
    <w:rsid w:val="00E91A7B"/>
    <w:rsid w:val="00EA01AC"/>
    <w:rsid w:val="00EA0B33"/>
    <w:rsid w:val="00EA100C"/>
    <w:rsid w:val="00EA3985"/>
    <w:rsid w:val="00EA5777"/>
    <w:rsid w:val="00EB1D07"/>
    <w:rsid w:val="00EB4DF2"/>
    <w:rsid w:val="00EB5C29"/>
    <w:rsid w:val="00EC14FC"/>
    <w:rsid w:val="00EC3C74"/>
    <w:rsid w:val="00EC4686"/>
    <w:rsid w:val="00ED07DF"/>
    <w:rsid w:val="00ED0B9A"/>
    <w:rsid w:val="00ED0D88"/>
    <w:rsid w:val="00ED3D74"/>
    <w:rsid w:val="00ED7B90"/>
    <w:rsid w:val="00EE1282"/>
    <w:rsid w:val="00EE2D47"/>
    <w:rsid w:val="00EE37D3"/>
    <w:rsid w:val="00EF0350"/>
    <w:rsid w:val="00EF0F77"/>
    <w:rsid w:val="00EF166C"/>
    <w:rsid w:val="00F00E4D"/>
    <w:rsid w:val="00F07436"/>
    <w:rsid w:val="00F078AC"/>
    <w:rsid w:val="00F10993"/>
    <w:rsid w:val="00F10AF7"/>
    <w:rsid w:val="00F12497"/>
    <w:rsid w:val="00F13E69"/>
    <w:rsid w:val="00F172FF"/>
    <w:rsid w:val="00F21E75"/>
    <w:rsid w:val="00F23E99"/>
    <w:rsid w:val="00F262B3"/>
    <w:rsid w:val="00F266D3"/>
    <w:rsid w:val="00F26C6C"/>
    <w:rsid w:val="00F26E96"/>
    <w:rsid w:val="00F2739F"/>
    <w:rsid w:val="00F30797"/>
    <w:rsid w:val="00F35A52"/>
    <w:rsid w:val="00F35B3D"/>
    <w:rsid w:val="00F41CD5"/>
    <w:rsid w:val="00F43570"/>
    <w:rsid w:val="00F45A80"/>
    <w:rsid w:val="00F46A14"/>
    <w:rsid w:val="00F4720B"/>
    <w:rsid w:val="00F53BD0"/>
    <w:rsid w:val="00F54766"/>
    <w:rsid w:val="00F6362D"/>
    <w:rsid w:val="00F65883"/>
    <w:rsid w:val="00F775A7"/>
    <w:rsid w:val="00F81AB7"/>
    <w:rsid w:val="00F83718"/>
    <w:rsid w:val="00F84042"/>
    <w:rsid w:val="00F9092C"/>
    <w:rsid w:val="00F93BC7"/>
    <w:rsid w:val="00F94421"/>
    <w:rsid w:val="00F946ED"/>
    <w:rsid w:val="00F965BC"/>
    <w:rsid w:val="00F96F3E"/>
    <w:rsid w:val="00FA2A4F"/>
    <w:rsid w:val="00FA2CCF"/>
    <w:rsid w:val="00FA3740"/>
    <w:rsid w:val="00FA3A1B"/>
    <w:rsid w:val="00FB0857"/>
    <w:rsid w:val="00FB13A9"/>
    <w:rsid w:val="00FB265C"/>
    <w:rsid w:val="00FC033B"/>
    <w:rsid w:val="00FC0B62"/>
    <w:rsid w:val="00FC159D"/>
    <w:rsid w:val="00FC2011"/>
    <w:rsid w:val="00FC2B2D"/>
    <w:rsid w:val="00FC2B90"/>
    <w:rsid w:val="00FC4A2E"/>
    <w:rsid w:val="00FC6726"/>
    <w:rsid w:val="00FD4385"/>
    <w:rsid w:val="00FD5100"/>
    <w:rsid w:val="00FE2CB7"/>
    <w:rsid w:val="00FE42CB"/>
    <w:rsid w:val="00FE4969"/>
    <w:rsid w:val="00FE5B14"/>
    <w:rsid w:val="00FF07C1"/>
    <w:rsid w:val="00FF2B51"/>
    <w:rsid w:val="00FF45F4"/>
    <w:rsid w:val="00FF5EC5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2FE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D2B44"/>
    <w:pPr>
      <w:tabs>
        <w:tab w:val="center" w:pos="4153"/>
      </w:tabs>
      <w:spacing w:line="240" w:lineRule="exact"/>
      <w:ind w:right="-680"/>
      <w:jc w:val="right"/>
      <w:outlineLvl w:val="0"/>
    </w:pPr>
    <w:rPr>
      <w:sz w:val="18"/>
      <w:szCs w:val="18"/>
    </w:rPr>
  </w:style>
  <w:style w:type="paragraph" w:styleId="Heading2">
    <w:name w:val="heading 2"/>
    <w:basedOn w:val="Heading1"/>
    <w:next w:val="Normal"/>
    <w:link w:val="Heading2Char"/>
    <w:qFormat/>
    <w:rsid w:val="00BD2B44"/>
    <w:pPr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84B7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184B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5202"/>
    <w:rPr>
      <w:rFonts w:ascii="Tahoma" w:hAnsi="Tahoma" w:cs="Tahoma"/>
      <w:sz w:val="16"/>
      <w:szCs w:val="16"/>
    </w:rPr>
  </w:style>
  <w:style w:type="paragraph" w:customStyle="1" w:styleId="UtilComHeaderInfo">
    <w:name w:val="UtilCom Header Info"/>
    <w:rsid w:val="00713E0D"/>
    <w:pPr>
      <w:spacing w:line="240" w:lineRule="exact"/>
      <w:jc w:val="right"/>
    </w:pPr>
    <w:rPr>
      <w:rFonts w:ascii="Arial" w:hAnsi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D2B44"/>
    <w:rPr>
      <w:rFonts w:ascii="Arial" w:hAnsi="Arial"/>
      <w:sz w:val="18"/>
      <w:szCs w:val="18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BD2B44"/>
    <w:rPr>
      <w:rFonts w:ascii="Arial" w:hAnsi="Arial"/>
      <w:b/>
      <w:sz w:val="18"/>
      <w:szCs w:val="18"/>
      <w:lang w:val="en-AU" w:eastAsia="en-AU" w:bidi="ar-SA"/>
    </w:rPr>
  </w:style>
  <w:style w:type="paragraph" w:customStyle="1" w:styleId="UtilComBodyText">
    <w:name w:val="UtilCom Body Text"/>
    <w:rsid w:val="00E51BC9"/>
    <w:pPr>
      <w:spacing w:after="120" w:line="300" w:lineRule="exact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rsid w:val="0019571B"/>
  </w:style>
  <w:style w:type="paragraph" w:customStyle="1" w:styleId="UtilComBodyTextTitle">
    <w:name w:val="UtilCom Body Text Title"/>
    <w:basedOn w:val="UtilComBodyText"/>
    <w:rsid w:val="001D7DC4"/>
    <w:rPr>
      <w:b/>
      <w:bCs/>
    </w:rPr>
  </w:style>
  <w:style w:type="paragraph" w:styleId="BodyText">
    <w:name w:val="Body Text"/>
    <w:basedOn w:val="Normal"/>
    <w:rsid w:val="00762D67"/>
    <w:pPr>
      <w:spacing w:before="120" w:line="300" w:lineRule="exact"/>
      <w:jc w:val="both"/>
    </w:pPr>
  </w:style>
  <w:style w:type="paragraph" w:customStyle="1" w:styleId="NTTAddressInfo">
    <w:name w:val="NTT Address Info"/>
    <w:rsid w:val="00762D67"/>
    <w:pPr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StyleUtilComHeaderInfoLeft">
    <w:name w:val="Style UtilCom Header Info + Left"/>
    <w:basedOn w:val="UtilComHeaderInfo"/>
    <w:rsid w:val="000F6411"/>
    <w:pPr>
      <w:jc w:val="left"/>
    </w:pPr>
    <w:rPr>
      <w:szCs w:val="20"/>
    </w:rPr>
  </w:style>
  <w:style w:type="paragraph" w:customStyle="1" w:styleId="Default">
    <w:name w:val="Default"/>
    <w:rsid w:val="002E39D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UtilComNumbersIssues">
    <w:name w:val="UtilCom Numbers (Issues)"/>
    <w:basedOn w:val="Normal"/>
    <w:link w:val="UtilComNumbersIssuesChar"/>
    <w:rsid w:val="00CA5C0D"/>
    <w:pPr>
      <w:spacing w:after="120" w:line="300" w:lineRule="atLeast"/>
    </w:pPr>
    <w:rPr>
      <w:rFonts w:ascii="Arial" w:hAnsi="Arial"/>
      <w:sz w:val="22"/>
      <w:szCs w:val="22"/>
      <w:lang w:val="x-none" w:eastAsia="x-none"/>
    </w:rPr>
  </w:style>
  <w:style w:type="paragraph" w:styleId="FootnoteText">
    <w:name w:val="footnote text"/>
    <w:basedOn w:val="Normal"/>
    <w:link w:val="FootnoteTextChar"/>
    <w:rsid w:val="00CA5C0D"/>
    <w:rPr>
      <w:rFonts w:ascii="Arial" w:hAnsi="Arial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CA5C0D"/>
    <w:rPr>
      <w:rFonts w:ascii="Arial" w:hAnsi="Arial"/>
      <w:lang w:val="x-none" w:eastAsia="x-none"/>
    </w:rPr>
  </w:style>
  <w:style w:type="character" w:styleId="FootnoteReference">
    <w:name w:val="footnote reference"/>
    <w:rsid w:val="00CA5C0D"/>
    <w:rPr>
      <w:vertAlign w:val="superscript"/>
    </w:rPr>
  </w:style>
  <w:style w:type="character" w:customStyle="1" w:styleId="UtilComNumbersIssuesChar">
    <w:name w:val="UtilCom Numbers (Issues) Char"/>
    <w:link w:val="UtilComNumbersIssues"/>
    <w:rsid w:val="00CA5C0D"/>
    <w:rPr>
      <w:rFonts w:ascii="Arial" w:hAnsi="Arial"/>
      <w:sz w:val="22"/>
      <w:szCs w:val="22"/>
      <w:lang w:val="x-none" w:eastAsia="x-none"/>
    </w:rPr>
  </w:style>
  <w:style w:type="paragraph" w:styleId="ListBullet3">
    <w:name w:val="List Bullet 3"/>
    <w:basedOn w:val="Normal"/>
    <w:rsid w:val="00CE2CFE"/>
    <w:pPr>
      <w:numPr>
        <w:numId w:val="7"/>
      </w:numPr>
      <w:spacing w:before="120" w:after="120" w:line="240" w:lineRule="atLeast"/>
      <w:contextualSpacing/>
    </w:pPr>
    <w:rPr>
      <w:rFonts w:ascii="Arial" w:hAnsi="Arial"/>
      <w:sz w:val="22"/>
      <w:lang w:val="en-AU"/>
    </w:rPr>
  </w:style>
  <w:style w:type="paragraph" w:customStyle="1" w:styleId="UtilComTabletext">
    <w:name w:val="UtilCom Table text"/>
    <w:basedOn w:val="Normal"/>
    <w:rsid w:val="00E5100D"/>
    <w:pPr>
      <w:spacing w:before="60" w:after="60" w:line="300" w:lineRule="exact"/>
    </w:pPr>
    <w:rPr>
      <w:rFonts w:ascii="Arial" w:hAnsi="Arial" w:cs="Arial"/>
      <w:sz w:val="18"/>
      <w:szCs w:val="18"/>
      <w:lang w:eastAsia="en-US"/>
    </w:rPr>
  </w:style>
  <w:style w:type="paragraph" w:customStyle="1" w:styleId="UtilComAuthor">
    <w:name w:val="UtilCom Author"/>
    <w:basedOn w:val="Normal"/>
    <w:rsid w:val="00C809F8"/>
    <w:rPr>
      <w:rFonts w:ascii="Arial" w:hAnsi="Arial"/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2FE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D2B44"/>
    <w:pPr>
      <w:tabs>
        <w:tab w:val="center" w:pos="4153"/>
      </w:tabs>
      <w:spacing w:line="240" w:lineRule="exact"/>
      <w:ind w:right="-680"/>
      <w:jc w:val="right"/>
      <w:outlineLvl w:val="0"/>
    </w:pPr>
    <w:rPr>
      <w:sz w:val="18"/>
      <w:szCs w:val="18"/>
    </w:rPr>
  </w:style>
  <w:style w:type="paragraph" w:styleId="Heading2">
    <w:name w:val="heading 2"/>
    <w:basedOn w:val="Heading1"/>
    <w:next w:val="Normal"/>
    <w:link w:val="Heading2Char"/>
    <w:qFormat/>
    <w:rsid w:val="00BD2B44"/>
    <w:pPr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84B7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184B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5202"/>
    <w:rPr>
      <w:rFonts w:ascii="Tahoma" w:hAnsi="Tahoma" w:cs="Tahoma"/>
      <w:sz w:val="16"/>
      <w:szCs w:val="16"/>
    </w:rPr>
  </w:style>
  <w:style w:type="paragraph" w:customStyle="1" w:styleId="UtilComHeaderInfo">
    <w:name w:val="UtilCom Header Info"/>
    <w:rsid w:val="00713E0D"/>
    <w:pPr>
      <w:spacing w:line="240" w:lineRule="exact"/>
      <w:jc w:val="right"/>
    </w:pPr>
    <w:rPr>
      <w:rFonts w:ascii="Arial" w:hAnsi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D2B44"/>
    <w:rPr>
      <w:rFonts w:ascii="Arial" w:hAnsi="Arial"/>
      <w:sz w:val="18"/>
      <w:szCs w:val="18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BD2B44"/>
    <w:rPr>
      <w:rFonts w:ascii="Arial" w:hAnsi="Arial"/>
      <w:b/>
      <w:sz w:val="18"/>
      <w:szCs w:val="18"/>
      <w:lang w:val="en-AU" w:eastAsia="en-AU" w:bidi="ar-SA"/>
    </w:rPr>
  </w:style>
  <w:style w:type="paragraph" w:customStyle="1" w:styleId="UtilComBodyText">
    <w:name w:val="UtilCom Body Text"/>
    <w:rsid w:val="00E51BC9"/>
    <w:pPr>
      <w:spacing w:after="120" w:line="300" w:lineRule="exact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rsid w:val="0019571B"/>
  </w:style>
  <w:style w:type="paragraph" w:customStyle="1" w:styleId="UtilComBodyTextTitle">
    <w:name w:val="UtilCom Body Text Title"/>
    <w:basedOn w:val="UtilComBodyText"/>
    <w:rsid w:val="001D7DC4"/>
    <w:rPr>
      <w:b/>
      <w:bCs/>
    </w:rPr>
  </w:style>
  <w:style w:type="paragraph" w:styleId="BodyText">
    <w:name w:val="Body Text"/>
    <w:basedOn w:val="Normal"/>
    <w:rsid w:val="00762D67"/>
    <w:pPr>
      <w:spacing w:before="120" w:line="300" w:lineRule="exact"/>
      <w:jc w:val="both"/>
    </w:pPr>
  </w:style>
  <w:style w:type="paragraph" w:customStyle="1" w:styleId="NTTAddressInfo">
    <w:name w:val="NTT Address Info"/>
    <w:rsid w:val="00762D67"/>
    <w:pPr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StyleUtilComHeaderInfoLeft">
    <w:name w:val="Style UtilCom Header Info + Left"/>
    <w:basedOn w:val="UtilComHeaderInfo"/>
    <w:rsid w:val="000F6411"/>
    <w:pPr>
      <w:jc w:val="left"/>
    </w:pPr>
    <w:rPr>
      <w:szCs w:val="20"/>
    </w:rPr>
  </w:style>
  <w:style w:type="paragraph" w:customStyle="1" w:styleId="Default">
    <w:name w:val="Default"/>
    <w:rsid w:val="002E39D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UtilComNumbersIssues">
    <w:name w:val="UtilCom Numbers (Issues)"/>
    <w:basedOn w:val="Normal"/>
    <w:link w:val="UtilComNumbersIssuesChar"/>
    <w:rsid w:val="00CA5C0D"/>
    <w:pPr>
      <w:spacing w:after="120" w:line="300" w:lineRule="atLeast"/>
    </w:pPr>
    <w:rPr>
      <w:rFonts w:ascii="Arial" w:hAnsi="Arial"/>
      <w:sz w:val="22"/>
      <w:szCs w:val="22"/>
      <w:lang w:val="x-none" w:eastAsia="x-none"/>
    </w:rPr>
  </w:style>
  <w:style w:type="paragraph" w:styleId="FootnoteText">
    <w:name w:val="footnote text"/>
    <w:basedOn w:val="Normal"/>
    <w:link w:val="FootnoteTextChar"/>
    <w:rsid w:val="00CA5C0D"/>
    <w:rPr>
      <w:rFonts w:ascii="Arial" w:hAnsi="Arial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CA5C0D"/>
    <w:rPr>
      <w:rFonts w:ascii="Arial" w:hAnsi="Arial"/>
      <w:lang w:val="x-none" w:eastAsia="x-none"/>
    </w:rPr>
  </w:style>
  <w:style w:type="character" w:styleId="FootnoteReference">
    <w:name w:val="footnote reference"/>
    <w:rsid w:val="00CA5C0D"/>
    <w:rPr>
      <w:vertAlign w:val="superscript"/>
    </w:rPr>
  </w:style>
  <w:style w:type="character" w:customStyle="1" w:styleId="UtilComNumbersIssuesChar">
    <w:name w:val="UtilCom Numbers (Issues) Char"/>
    <w:link w:val="UtilComNumbersIssues"/>
    <w:rsid w:val="00CA5C0D"/>
    <w:rPr>
      <w:rFonts w:ascii="Arial" w:hAnsi="Arial"/>
      <w:sz w:val="22"/>
      <w:szCs w:val="22"/>
      <w:lang w:val="x-none" w:eastAsia="x-none"/>
    </w:rPr>
  </w:style>
  <w:style w:type="paragraph" w:styleId="ListBullet3">
    <w:name w:val="List Bullet 3"/>
    <w:basedOn w:val="Normal"/>
    <w:rsid w:val="00CE2CFE"/>
    <w:pPr>
      <w:numPr>
        <w:numId w:val="7"/>
      </w:numPr>
      <w:spacing w:before="120" w:after="120" w:line="240" w:lineRule="atLeast"/>
      <w:contextualSpacing/>
    </w:pPr>
    <w:rPr>
      <w:rFonts w:ascii="Arial" w:hAnsi="Arial"/>
      <w:sz w:val="22"/>
      <w:lang w:val="en-AU"/>
    </w:rPr>
  </w:style>
  <w:style w:type="paragraph" w:customStyle="1" w:styleId="UtilComTabletext">
    <w:name w:val="UtilCom Table text"/>
    <w:basedOn w:val="Normal"/>
    <w:rsid w:val="00E5100D"/>
    <w:pPr>
      <w:spacing w:before="60" w:after="60" w:line="300" w:lineRule="exact"/>
    </w:pPr>
    <w:rPr>
      <w:rFonts w:ascii="Arial" w:hAnsi="Arial" w:cs="Arial"/>
      <w:sz w:val="18"/>
      <w:szCs w:val="18"/>
      <w:lang w:eastAsia="en-US"/>
    </w:rPr>
  </w:style>
  <w:style w:type="paragraph" w:customStyle="1" w:styleId="UtilComAuthor">
    <w:name w:val="UtilCom Author"/>
    <w:basedOn w:val="Normal"/>
    <w:rsid w:val="00C809F8"/>
    <w:rPr>
      <w:rFonts w:ascii="Arial" w:hAnsi="Arial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C795A47C6349B5032D5D43EA6D42" ma:contentTypeVersion="17" ma:contentTypeDescription="Create a new document." ma:contentTypeScope="" ma:versionID="dd1395085e67237d7e93f26c5d5e9308">
  <xsd:schema xmlns:xsd="http://www.w3.org/2001/XMLSchema" xmlns:xs="http://www.w3.org/2001/XMLSchema" xmlns:p="http://schemas.microsoft.com/office/2006/metadata/properties" xmlns:ns2="4d0431e8-3aad-4d02-84b7-fecd7c8a0e22" targetNamespace="http://schemas.microsoft.com/office/2006/metadata/properties" ma:root="true" ma:fieldsID="63f7f3a52da002ec58d95848bddab606" ns2:_="">
    <xsd:import namespace="4d0431e8-3aad-4d02-84b7-fecd7c8a0e22"/>
    <xsd:element name="properties">
      <xsd:complexType>
        <xsd:sequence>
          <xsd:element name="documentManagement">
            <xsd:complexType>
              <xsd:all>
                <xsd:element ref="ns2:Main_x0020_Category" minOccurs="0"/>
                <xsd:element ref="ns2:Sub_x0020_Category" minOccurs="0"/>
                <xsd:element ref="ns2:Sub_x0020_Sub_x0020_Category" minOccurs="0"/>
                <xsd:element ref="ns2:Date_x0020_Approved" minOccurs="0"/>
                <xsd:element ref="ns2:Notify_x0020_On_x0020_Check_x0020_In" minOccurs="0"/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431e8-3aad-4d02-84b7-fecd7c8a0e22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2" nillable="true" ma:displayName="Main Category" ma:list="{4d574b80-04c5-491a-9072-56487fc2c14b}" ma:internalName="Main_x0020_Category" ma:readOnly="false" ma:showField="Title">
      <xsd:simpleType>
        <xsd:restriction base="dms:Lookup"/>
      </xsd:simpleType>
    </xsd:element>
    <xsd:element name="Sub_x0020_Category" ma:index="3" nillable="true" ma:displayName="Sub Category" ma:list="{704266a8-2171-445e-a959-fc9ea1634387}" ma:internalName="Sub_x0020_Category" ma:readOnly="false" ma:showField="Title">
      <xsd:simpleType>
        <xsd:restriction base="dms:Lookup"/>
      </xsd:simpleType>
    </xsd:element>
    <xsd:element name="Sub_x0020_Sub_x0020_Category" ma:index="4" nillable="true" ma:displayName="Sub Sub Category" ma:list="{f2146ac0-839b-4e17-bf7a-eb32973bbf08}" ma:internalName="Sub_x0020_Sub_x0020_Category" ma:showField="Title">
      <xsd:simpleType>
        <xsd:restriction base="dms:Lookup"/>
      </xsd:simpleType>
    </xsd:element>
    <xsd:element name="Date_x0020_Approved" ma:index="5" nillable="true" ma:displayName="Date of Publication" ma:default="[today]" ma:format="DateOnly" ma:internalName="Date_x0020_Approved">
      <xsd:simpleType>
        <xsd:restriction base="dms:DateTime"/>
      </xsd:simpleType>
    </xsd:element>
    <xsd:element name="Notify_x0020_On_x0020_Check_x0020_In" ma:index="6" nillable="true" ma:displayName="Notify On Check In" ma:default="1" ma:internalName="Notify_x0020_On_x0020_Check_x0020_In">
      <xsd:simpleType>
        <xsd:restriction base="dms:Boolean"/>
      </xsd:simpleType>
    </xsd:element>
    <xsd:element name="Details" ma:index="7" nillable="true" ma:displayName="Details" ma:internalName="Detail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4d0431e8-3aad-4d02-84b7-fecd7c8a0e22" xsi:nil="true"/>
    <Main_x0020_Category xmlns="4d0431e8-3aad-4d02-84b7-fecd7c8a0e22">2</Main_x0020_Category>
    <Sub_x0020_Sub_x0020_Category xmlns="4d0431e8-3aad-4d02-84b7-fecd7c8a0e22" xsi:nil="true"/>
    <Date_x0020_Approved xmlns="4d0431e8-3aad-4d02-84b7-fecd7c8a0e22">2013-07-11T14:30:00+00:00</Date_x0020_Approved>
    <Notify_x0020_On_x0020_Check_x0020_In xmlns="4d0431e8-3aad-4d02-84b7-fecd7c8a0e22">true</Notify_x0020_On_x0020_Check_x0020_In>
    <Sub_x0020_Category xmlns="4d0431e8-3aad-4d02-84b7-fecd7c8a0e22" xsi:nil="true"/>
  </documentManagement>
</p:properties>
</file>

<file path=customXml/itemProps1.xml><?xml version="1.0" encoding="utf-8"?>
<ds:datastoreItem xmlns:ds="http://schemas.openxmlformats.org/officeDocument/2006/customXml" ds:itemID="{A1B830B2-9B20-4B71-9BEA-8A1D296E03F5}"/>
</file>

<file path=customXml/itemProps2.xml><?xml version="1.0" encoding="utf-8"?>
<ds:datastoreItem xmlns:ds="http://schemas.openxmlformats.org/officeDocument/2006/customXml" ds:itemID="{D9652F5E-EDBF-4F8F-A691-939BA7CC90E3}"/>
</file>

<file path=customXml/itemProps3.xml><?xml version="1.0" encoding="utf-8"?>
<ds:datastoreItem xmlns:ds="http://schemas.openxmlformats.org/officeDocument/2006/customXml" ds:itemID="{3D58EEE6-E384-4846-8066-CFBCD1C90A86}"/>
</file>

<file path=customXml/itemProps4.xml><?xml version="1.0" encoding="utf-8"?>
<ds:datastoreItem xmlns:ds="http://schemas.openxmlformats.org/officeDocument/2006/customXml" ds:itemID="{AC26D300-9B61-4E53-B697-69A41CE84B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7593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of Electricity Network Performance Target Standards for the Regulatory Control Period 1 July 2014 – 30 June 2019</dc:title>
  <dc:subject/>
  <dc:creator/>
  <cp:keywords/>
  <cp:lastModifiedBy/>
  <cp:revision>1</cp:revision>
  <dcterms:created xsi:type="dcterms:W3CDTF">2013-07-12T03:46:00Z</dcterms:created>
  <dcterms:modified xsi:type="dcterms:W3CDTF">2013-07-12T03:46:00Z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0x0101002A7AC795A47C6349B5032D5D43EA6D42</vt:lpwstr>
  </property>
</Properties>
</file>