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49" w:rsidRPr="00CD0BDF" w:rsidRDefault="00C3602D" w:rsidP="00BA0D8C">
      <w:pPr>
        <w:sectPr w:rsidR="00922449" w:rsidRPr="00CD0BDF" w:rsidSect="00984DBC">
          <w:headerReference w:type="even" r:id="rId8"/>
          <w:headerReference w:type="default" r:id="rId9"/>
          <w:footerReference w:type="even" r:id="rId10"/>
          <w:footerReference w:type="default" r:id="rId11"/>
          <w:headerReference w:type="first" r:id="rId12"/>
          <w:footerReference w:type="first" r:id="rId13"/>
          <w:pgSz w:w="11907" w:h="16840" w:code="9"/>
          <w:pgMar w:top="851" w:right="1701" w:bottom="1134" w:left="1701" w:header="568" w:footer="567" w:gutter="0"/>
          <w:pgNumType w:start="1"/>
          <w:cols w:space="720"/>
          <w:titlePg/>
        </w:sectPr>
      </w:pPr>
      <w:r>
        <w:rPr>
          <w:noProof/>
          <w:lang w:eastAsia="en-AU"/>
        </w:rPr>
        <mc:AlternateContent>
          <mc:Choice Requires="wps">
            <w:drawing>
              <wp:anchor distT="0" distB="0" distL="114300" distR="114300" simplePos="0" relativeHeight="251657728" behindDoc="0" locked="0" layoutInCell="0" allowOverlap="1">
                <wp:simplePos x="0" y="0"/>
                <wp:positionH relativeFrom="margin">
                  <wp:posOffset>558165</wp:posOffset>
                </wp:positionH>
                <wp:positionV relativeFrom="margin">
                  <wp:posOffset>937895</wp:posOffset>
                </wp:positionV>
                <wp:extent cx="4862830" cy="2924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292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351C" w:rsidRPr="00E27A0F" w:rsidRDefault="00B3351C" w:rsidP="00077090">
                            <w:pPr>
                              <w:pStyle w:val="UtilComReportHeading"/>
                              <w:spacing w:line="300" w:lineRule="atLeast"/>
                              <w:ind w:left="0"/>
                              <w:rPr>
                                <w:b w:val="0"/>
                                <w:color w:val="31849B"/>
                                <w:sz w:val="36"/>
                                <w:szCs w:val="36"/>
                                <w:lang w:val="en-US"/>
                              </w:rPr>
                            </w:pPr>
                            <w:r w:rsidRPr="00E27A0F">
                              <w:rPr>
                                <w:b w:val="0"/>
                                <w:color w:val="31849B"/>
                                <w:sz w:val="36"/>
                                <w:szCs w:val="36"/>
                                <w:lang w:val="en-US"/>
                              </w:rPr>
                              <w:t xml:space="preserve">review of power and water corporation’s compliance with </w:t>
                            </w:r>
                            <w:r w:rsidR="00FE4E22">
                              <w:rPr>
                                <w:b w:val="0"/>
                                <w:color w:val="31849B"/>
                                <w:sz w:val="36"/>
                                <w:szCs w:val="36"/>
                                <w:lang w:val="en-US"/>
                              </w:rPr>
                              <w:br/>
                            </w:r>
                            <w:r w:rsidRPr="00E27A0F">
                              <w:rPr>
                                <w:b w:val="0"/>
                                <w:color w:val="31849B"/>
                                <w:sz w:val="36"/>
                                <w:szCs w:val="36"/>
                                <w:lang w:val="en-US"/>
                              </w:rPr>
                              <w:t xml:space="preserve">the 2014-19 network price determination </w:t>
                            </w:r>
                          </w:p>
                          <w:p w:rsidR="00B3351C" w:rsidRPr="00313A5B" w:rsidRDefault="00647C18" w:rsidP="005A3800">
                            <w:pPr>
                              <w:pStyle w:val="UtilComDate"/>
                              <w:spacing w:before="240" w:after="120"/>
                              <w:rPr>
                                <w:b/>
                                <w:i w:val="0"/>
                              </w:rPr>
                            </w:pPr>
                            <w:r>
                              <w:rPr>
                                <w:b/>
                                <w:i w:val="0"/>
                              </w:rPr>
                              <w:t>January</w:t>
                            </w:r>
                            <w:r w:rsidR="00B3351C">
                              <w:rPr>
                                <w:b/>
                                <w:i w:val="0"/>
                              </w:rPr>
                              <w:t xml:space="preserve"> </w:t>
                            </w:r>
                            <w:r>
                              <w:rPr>
                                <w:b/>
                                <w:i w:val="0"/>
                              </w:rPr>
                              <w:t>2017</w:t>
                            </w:r>
                            <w:bookmarkStart w:id="0" w:name="_GoBack"/>
                          </w:p>
                          <w:p w:rsidR="002E2D05" w:rsidRDefault="002E2D05" w:rsidP="005A3800">
                            <w:pPr>
                              <w:spacing w:before="180"/>
                            </w:pPr>
                            <w:r>
                              <w:t>This report contain</w:t>
                            </w:r>
                            <w:r w:rsidR="001800A4">
                              <w:t>s</w:t>
                            </w:r>
                            <w:r w:rsidR="009466AC">
                              <w:t xml:space="preserve"> information</w:t>
                            </w:r>
                            <w:r w:rsidR="00167FEB">
                              <w:t xml:space="preserve"> considered</w:t>
                            </w:r>
                            <w:r w:rsidR="009466AC">
                              <w:t xml:space="preserve"> </w:t>
                            </w:r>
                            <w:r>
                              <w:t xml:space="preserve">commercial-in-confidence </w:t>
                            </w:r>
                            <w:r w:rsidR="009466AC">
                              <w:t xml:space="preserve">to Power and Water </w:t>
                            </w:r>
                            <w:r w:rsidR="0015117D">
                              <w:t xml:space="preserve">Corporation that has been redacted to comply with section 26 of the </w:t>
                            </w:r>
                            <w:r w:rsidR="0015117D" w:rsidRPr="0015117D">
                              <w:rPr>
                                <w:i/>
                              </w:rPr>
                              <w:t>Utilities Commission Act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73.85pt;width:382.9pt;height:23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" o:allowincell="f" filled="f" stroked="f">
                <v:textbox>
                  <w:txbxContent>
                    <w:p w:rsidR="00B3351C" w:rsidRPr="00E27A0F" w:rsidRDefault="00B3351C" w:rsidP="00077090">
                      <w:pPr>
                        <w:pStyle w:val="UtilComReportHeading"/>
                        <w:spacing w:line="300" w:lineRule="atLeast"/>
                        <w:ind w:left="0"/>
                        <w:rPr>
                          <w:b w:val="0"/>
                          <w:color w:val="31849B"/>
                          <w:sz w:val="36"/>
                          <w:szCs w:val="36"/>
                          <w:lang w:val="en-US"/>
                        </w:rPr>
                      </w:pPr>
                      <w:r w:rsidRPr="00E27A0F">
                        <w:rPr>
                          <w:b w:val="0"/>
                          <w:color w:val="31849B"/>
                          <w:sz w:val="36"/>
                          <w:szCs w:val="36"/>
                          <w:lang w:val="en-US"/>
                        </w:rPr>
                        <w:t xml:space="preserve">review of power and water corporation’s compliance with </w:t>
                      </w:r>
                      <w:r w:rsidR="00FE4E22">
                        <w:rPr>
                          <w:b w:val="0"/>
                          <w:color w:val="31849B"/>
                          <w:sz w:val="36"/>
                          <w:szCs w:val="36"/>
                          <w:lang w:val="en-US"/>
                        </w:rPr>
                        <w:br/>
                      </w:r>
                      <w:r w:rsidRPr="00E27A0F">
                        <w:rPr>
                          <w:b w:val="0"/>
                          <w:color w:val="31849B"/>
                          <w:sz w:val="36"/>
                          <w:szCs w:val="36"/>
                          <w:lang w:val="en-US"/>
                        </w:rPr>
                        <w:t xml:space="preserve">the 2014-19 network price determination </w:t>
                      </w:r>
                    </w:p>
                    <w:p w:rsidR="00B3351C" w:rsidRPr="00313A5B" w:rsidRDefault="00647C18" w:rsidP="005A3800">
                      <w:pPr>
                        <w:pStyle w:val="UtilComDate"/>
                        <w:spacing w:before="240" w:after="120"/>
                        <w:rPr>
                          <w:b/>
                          <w:i w:val="0"/>
                        </w:rPr>
                      </w:pPr>
                      <w:r>
                        <w:rPr>
                          <w:b/>
                          <w:i w:val="0"/>
                        </w:rPr>
                        <w:t>January</w:t>
                      </w:r>
                      <w:r w:rsidR="00B3351C">
                        <w:rPr>
                          <w:b/>
                          <w:i w:val="0"/>
                        </w:rPr>
                        <w:t xml:space="preserve"> </w:t>
                      </w:r>
                      <w:r>
                        <w:rPr>
                          <w:b/>
                          <w:i w:val="0"/>
                        </w:rPr>
                        <w:t>2017</w:t>
                      </w:r>
                    </w:p>
                    <w:p w:rsidR="002E2D05" w:rsidRDefault="002E2D05" w:rsidP="005A3800">
                      <w:pPr>
                        <w:spacing w:before="180"/>
                      </w:pPr>
                      <w:r>
                        <w:t>This report contain</w:t>
                      </w:r>
                      <w:r w:rsidR="001800A4">
                        <w:t>s</w:t>
                      </w:r>
                      <w:r w:rsidR="009466AC">
                        <w:t xml:space="preserve"> information</w:t>
                      </w:r>
                      <w:r w:rsidR="00167FEB">
                        <w:t xml:space="preserve"> considered</w:t>
                      </w:r>
                      <w:r w:rsidR="009466AC">
                        <w:t xml:space="preserve"> </w:t>
                      </w:r>
                      <w:r>
                        <w:t xml:space="preserve">commercial-in-confidence </w:t>
                      </w:r>
                      <w:r w:rsidR="009466AC">
                        <w:t xml:space="preserve">to Power and Water </w:t>
                      </w:r>
                      <w:r w:rsidR="0015117D">
                        <w:t xml:space="preserve">Corporation that has been redacted to comply with section 26 of the </w:t>
                      </w:r>
                      <w:r w:rsidR="0015117D" w:rsidRPr="0015117D">
                        <w:rPr>
                          <w:i/>
                        </w:rPr>
                        <w:t>Utilities Commission Act</w:t>
                      </w:r>
                    </w:p>
                  </w:txbxContent>
                </v:textbox>
                <w10:wrap anchorx="margin" anchory="margin"/>
              </v:shape>
            </w:pict>
          </mc:Fallback>
        </mc:AlternateContent>
      </w:r>
    </w:p>
    <w:p w:rsidR="00BA0D8C" w:rsidRDefault="00BA0D8C" w:rsidP="00984DBC"/>
    <w:p w:rsidR="004D5C0D" w:rsidRPr="00302A92" w:rsidRDefault="004D5C0D" w:rsidP="00302A92">
      <w:pPr>
        <w:pStyle w:val="UCTOC1"/>
        <w:rPr>
          <w:rStyle w:val="Strong"/>
          <w:color w:val="31849B"/>
          <w:lang w:val="en-AU" w:eastAsia="en-AU"/>
        </w:rPr>
      </w:pPr>
      <w:bookmarkStart w:id="1" w:name="_Toc453509207"/>
      <w:bookmarkStart w:id="2" w:name="_Toc453755793"/>
      <w:r w:rsidRPr="0096585A">
        <w:rPr>
          <w:rStyle w:val="Strong"/>
          <w:color w:val="31849B"/>
          <w:lang w:val="en-AU" w:eastAsia="en-AU"/>
        </w:rPr>
        <w:t xml:space="preserve">Table of </w:t>
      </w:r>
      <w:r w:rsidRPr="0096585A">
        <w:rPr>
          <w:rStyle w:val="Strong"/>
          <w:color w:val="31849B" w:themeColor="accent5" w:themeShade="BF"/>
          <w:lang w:val="en-AU" w:eastAsia="en-AU"/>
        </w:rPr>
        <w:t>Contents</w:t>
      </w:r>
      <w:bookmarkEnd w:id="1"/>
      <w:bookmarkEnd w:id="2"/>
    </w:p>
    <w:p w:rsidR="00AF483C" w:rsidRDefault="00DB3FE7" w:rsidP="00AF483C">
      <w:pPr>
        <w:pStyle w:val="TOC2"/>
        <w:rPr>
          <w:rFonts w:asciiTheme="minorHAnsi" w:eastAsiaTheme="minorEastAsia" w:hAnsiTheme="minorHAnsi" w:cstheme="minorBidi"/>
          <w:color w:val="auto"/>
          <w:sz w:val="22"/>
          <w:szCs w:val="22"/>
        </w:rPr>
      </w:pPr>
      <w:r w:rsidRPr="00C948D2">
        <w:rPr>
          <w:highlight w:val="yellow"/>
        </w:rPr>
        <w:fldChar w:fldCharType="begin"/>
      </w:r>
      <w:r w:rsidR="004D5C0D" w:rsidRPr="00C948D2">
        <w:rPr>
          <w:highlight w:val="yellow"/>
        </w:rPr>
        <w:instrText xml:space="preserve"> TOC \o "1-4" \h \z \u </w:instrText>
      </w:r>
      <w:r w:rsidRPr="00C948D2">
        <w:rPr>
          <w:highlight w:val="yellow"/>
        </w:rPr>
        <w:fldChar w:fldCharType="separate"/>
      </w:r>
      <w:hyperlink w:anchor="_Toc472078490" w:history="1">
        <w:r w:rsidR="00AF483C" w:rsidRPr="00A52A89">
          <w:rPr>
            <w:rStyle w:val="Hyperlink"/>
            <w:bCs/>
          </w:rPr>
          <w:t>Purpose of this Report</w:t>
        </w:r>
        <w:r w:rsidR="006D3AA7">
          <w:rPr>
            <w:rStyle w:val="Hyperlink"/>
            <w:bCs/>
          </w:rPr>
          <w:tab/>
        </w:r>
        <w:r w:rsidR="00AF483C">
          <w:rPr>
            <w:webHidden/>
          </w:rPr>
          <w:fldChar w:fldCharType="begin"/>
        </w:r>
        <w:r w:rsidR="00AF483C">
          <w:rPr>
            <w:webHidden/>
          </w:rPr>
          <w:instrText xml:space="preserve"> PAGEREF _Toc472078490 \h </w:instrText>
        </w:r>
        <w:r w:rsidR="00AF483C">
          <w:rPr>
            <w:webHidden/>
          </w:rPr>
        </w:r>
        <w:r w:rsidR="00AF483C">
          <w:rPr>
            <w:webHidden/>
          </w:rPr>
          <w:fldChar w:fldCharType="separate"/>
        </w:r>
        <w:r w:rsidR="00035958">
          <w:rPr>
            <w:webHidden/>
          </w:rPr>
          <w:t>ii</w:t>
        </w:r>
        <w:r w:rsidR="00AF483C">
          <w:rPr>
            <w:webHidden/>
          </w:rPr>
          <w:fldChar w:fldCharType="end"/>
        </w:r>
      </w:hyperlink>
    </w:p>
    <w:p w:rsidR="00AF483C" w:rsidRDefault="00E875F8" w:rsidP="00AF483C">
      <w:pPr>
        <w:pStyle w:val="TOC2"/>
        <w:rPr>
          <w:rFonts w:asciiTheme="minorHAnsi" w:eastAsiaTheme="minorEastAsia" w:hAnsiTheme="minorHAnsi" w:cstheme="minorBidi"/>
          <w:color w:val="auto"/>
          <w:sz w:val="22"/>
          <w:szCs w:val="22"/>
        </w:rPr>
      </w:pPr>
      <w:hyperlink w:anchor="_Toc472078491" w:history="1">
        <w:r w:rsidR="00AF483C" w:rsidRPr="00A52A89">
          <w:rPr>
            <w:rStyle w:val="Hyperlink"/>
            <w:bCs/>
          </w:rPr>
          <w:t>Confidential Information</w:t>
        </w:r>
        <w:r w:rsidR="00AF483C">
          <w:rPr>
            <w:webHidden/>
          </w:rPr>
          <w:tab/>
        </w:r>
        <w:r w:rsidR="00AF483C">
          <w:rPr>
            <w:webHidden/>
          </w:rPr>
          <w:fldChar w:fldCharType="begin"/>
        </w:r>
        <w:r w:rsidR="00AF483C">
          <w:rPr>
            <w:webHidden/>
          </w:rPr>
          <w:instrText xml:space="preserve"> PAGEREF _Toc472078491 \h </w:instrText>
        </w:r>
        <w:r w:rsidR="00AF483C">
          <w:rPr>
            <w:webHidden/>
          </w:rPr>
        </w:r>
        <w:r w:rsidR="00AF483C">
          <w:rPr>
            <w:webHidden/>
          </w:rPr>
          <w:fldChar w:fldCharType="separate"/>
        </w:r>
        <w:r w:rsidR="00035958">
          <w:rPr>
            <w:webHidden/>
          </w:rPr>
          <w:t>ii</w:t>
        </w:r>
        <w:r w:rsidR="00AF483C">
          <w:rPr>
            <w:webHidden/>
          </w:rPr>
          <w:fldChar w:fldCharType="end"/>
        </w:r>
      </w:hyperlink>
    </w:p>
    <w:p w:rsidR="00AF483C" w:rsidRDefault="00E875F8" w:rsidP="00AF483C">
      <w:pPr>
        <w:pStyle w:val="TOC2"/>
        <w:rPr>
          <w:rFonts w:asciiTheme="minorHAnsi" w:eastAsiaTheme="minorEastAsia" w:hAnsiTheme="minorHAnsi" w:cstheme="minorBidi"/>
          <w:color w:val="auto"/>
          <w:sz w:val="22"/>
          <w:szCs w:val="22"/>
        </w:rPr>
      </w:pPr>
      <w:hyperlink w:anchor="_Toc472078492" w:history="1">
        <w:r w:rsidR="00AF483C" w:rsidRPr="00A52A89">
          <w:rPr>
            <w:rStyle w:val="Hyperlink"/>
          </w:rPr>
          <w:t>Inquiries</w:t>
        </w:r>
        <w:r w:rsidR="00AF483C">
          <w:rPr>
            <w:rStyle w:val="Hyperlink"/>
          </w:rPr>
          <w:tab/>
        </w:r>
        <w:r w:rsidR="00AF483C">
          <w:rPr>
            <w:webHidden/>
          </w:rPr>
          <w:tab/>
        </w:r>
        <w:r w:rsidR="00AF483C">
          <w:rPr>
            <w:webHidden/>
          </w:rPr>
          <w:fldChar w:fldCharType="begin"/>
        </w:r>
        <w:r w:rsidR="00AF483C">
          <w:rPr>
            <w:webHidden/>
          </w:rPr>
          <w:instrText xml:space="preserve"> PAGEREF _Toc472078492 \h </w:instrText>
        </w:r>
        <w:r w:rsidR="00AF483C">
          <w:rPr>
            <w:webHidden/>
          </w:rPr>
        </w:r>
        <w:r w:rsidR="00AF483C">
          <w:rPr>
            <w:webHidden/>
          </w:rPr>
          <w:fldChar w:fldCharType="separate"/>
        </w:r>
        <w:r w:rsidR="00035958">
          <w:rPr>
            <w:webHidden/>
          </w:rPr>
          <w:t>ii</w:t>
        </w:r>
        <w:r w:rsidR="00AF483C">
          <w:rPr>
            <w:webHidden/>
          </w:rPr>
          <w:fldChar w:fldCharType="end"/>
        </w:r>
      </w:hyperlink>
    </w:p>
    <w:p w:rsidR="00AF483C" w:rsidRDefault="00E875F8" w:rsidP="00AF483C">
      <w:pPr>
        <w:pStyle w:val="TOC2"/>
        <w:rPr>
          <w:rFonts w:asciiTheme="minorHAnsi" w:eastAsiaTheme="minorEastAsia" w:hAnsiTheme="minorHAnsi" w:cstheme="minorBidi"/>
          <w:color w:val="auto"/>
          <w:sz w:val="22"/>
          <w:szCs w:val="22"/>
        </w:rPr>
      </w:pPr>
      <w:hyperlink w:anchor="_Toc472078493" w:history="1">
        <w:r w:rsidR="00AF483C" w:rsidRPr="00A52A89">
          <w:rPr>
            <w:rStyle w:val="Hyperlink"/>
            <w:bCs/>
          </w:rPr>
          <w:t>Glossary</w:t>
        </w:r>
        <w:r w:rsidR="00AF483C">
          <w:rPr>
            <w:webHidden/>
          </w:rPr>
          <w:tab/>
        </w:r>
        <w:r w:rsidR="00AF483C">
          <w:rPr>
            <w:webHidden/>
          </w:rPr>
          <w:tab/>
        </w:r>
        <w:r w:rsidR="00AF483C">
          <w:rPr>
            <w:webHidden/>
          </w:rPr>
          <w:fldChar w:fldCharType="begin"/>
        </w:r>
        <w:r w:rsidR="00AF483C">
          <w:rPr>
            <w:webHidden/>
          </w:rPr>
          <w:instrText xml:space="preserve"> PAGEREF _Toc472078493 \h </w:instrText>
        </w:r>
        <w:r w:rsidR="00AF483C">
          <w:rPr>
            <w:webHidden/>
          </w:rPr>
        </w:r>
        <w:r w:rsidR="00AF483C">
          <w:rPr>
            <w:webHidden/>
          </w:rPr>
          <w:fldChar w:fldCharType="separate"/>
        </w:r>
        <w:r w:rsidR="00035958">
          <w:rPr>
            <w:webHidden/>
          </w:rPr>
          <w:t>iii</w:t>
        </w:r>
        <w:r w:rsidR="00AF483C">
          <w:rPr>
            <w:webHidden/>
          </w:rPr>
          <w:fldChar w:fldCharType="end"/>
        </w:r>
      </w:hyperlink>
    </w:p>
    <w:p w:rsidR="00AF483C" w:rsidRDefault="00E875F8" w:rsidP="00AF483C">
      <w:pPr>
        <w:pStyle w:val="TOC2"/>
        <w:rPr>
          <w:rFonts w:asciiTheme="minorHAnsi" w:eastAsiaTheme="minorEastAsia" w:hAnsiTheme="minorHAnsi" w:cstheme="minorBidi"/>
          <w:color w:val="auto"/>
          <w:sz w:val="22"/>
          <w:szCs w:val="22"/>
        </w:rPr>
      </w:pPr>
      <w:hyperlink w:anchor="_Toc472078494" w:history="1">
        <w:r w:rsidR="00AF483C" w:rsidRPr="00A52A89">
          <w:rPr>
            <w:rStyle w:val="Hyperlink"/>
            <w:bCs/>
          </w:rPr>
          <w:t xml:space="preserve">Chapter 1: </w:t>
        </w:r>
        <w:r w:rsidR="00AF483C">
          <w:rPr>
            <w:rFonts w:asciiTheme="minorHAnsi" w:eastAsiaTheme="minorEastAsia" w:hAnsiTheme="minorHAnsi" w:cstheme="minorBidi"/>
            <w:color w:val="auto"/>
            <w:sz w:val="22"/>
            <w:szCs w:val="22"/>
          </w:rPr>
          <w:tab/>
        </w:r>
        <w:r w:rsidR="00AF483C" w:rsidRPr="00A52A89">
          <w:rPr>
            <w:rStyle w:val="Hyperlink"/>
            <w:bCs/>
          </w:rPr>
          <w:t>Executive Summary</w:t>
        </w:r>
        <w:r w:rsidR="006D3AA7">
          <w:rPr>
            <w:rStyle w:val="Hyperlink"/>
            <w:bCs/>
          </w:rPr>
          <w:tab/>
        </w:r>
        <w:r w:rsidR="00AF483C">
          <w:rPr>
            <w:webHidden/>
          </w:rPr>
          <w:fldChar w:fldCharType="begin"/>
        </w:r>
        <w:r w:rsidR="00AF483C">
          <w:rPr>
            <w:webHidden/>
          </w:rPr>
          <w:instrText xml:space="preserve"> PAGEREF _Toc472078494 \h </w:instrText>
        </w:r>
        <w:r w:rsidR="00AF483C">
          <w:rPr>
            <w:webHidden/>
          </w:rPr>
        </w:r>
        <w:r w:rsidR="00AF483C">
          <w:rPr>
            <w:webHidden/>
          </w:rPr>
          <w:fldChar w:fldCharType="separate"/>
        </w:r>
        <w:r w:rsidR="00035958">
          <w:rPr>
            <w:webHidden/>
          </w:rPr>
          <w:t>1</w:t>
        </w:r>
        <w:r w:rsidR="00AF483C">
          <w:rPr>
            <w:webHidden/>
          </w:rPr>
          <w:fldChar w:fldCharType="end"/>
        </w:r>
      </w:hyperlink>
    </w:p>
    <w:p w:rsidR="00AF483C" w:rsidRDefault="00E875F8" w:rsidP="00AF483C">
      <w:pPr>
        <w:pStyle w:val="TOC2"/>
        <w:rPr>
          <w:rFonts w:asciiTheme="minorHAnsi" w:eastAsiaTheme="minorEastAsia" w:hAnsiTheme="minorHAnsi" w:cstheme="minorBidi"/>
          <w:color w:val="auto"/>
          <w:sz w:val="22"/>
          <w:szCs w:val="22"/>
        </w:rPr>
      </w:pPr>
      <w:hyperlink w:anchor="_Toc472078495" w:history="1">
        <w:r w:rsidR="00AF483C" w:rsidRPr="00A52A89">
          <w:rPr>
            <w:rStyle w:val="Hyperlink"/>
            <w:bCs/>
          </w:rPr>
          <w:t xml:space="preserve">Chapter 2: </w:t>
        </w:r>
        <w:r w:rsidR="00AF483C">
          <w:rPr>
            <w:rFonts w:asciiTheme="minorHAnsi" w:eastAsiaTheme="minorEastAsia" w:hAnsiTheme="minorHAnsi" w:cstheme="minorBidi"/>
            <w:color w:val="auto"/>
            <w:sz w:val="22"/>
            <w:szCs w:val="22"/>
          </w:rPr>
          <w:tab/>
        </w:r>
        <w:r w:rsidR="00AF483C" w:rsidRPr="00A52A89">
          <w:rPr>
            <w:rStyle w:val="Hyperlink"/>
            <w:bCs/>
          </w:rPr>
          <w:t>Background</w:t>
        </w:r>
        <w:r w:rsidR="00AF483C">
          <w:rPr>
            <w:webHidden/>
          </w:rPr>
          <w:tab/>
        </w:r>
        <w:r w:rsidR="00AF483C">
          <w:rPr>
            <w:webHidden/>
          </w:rPr>
          <w:fldChar w:fldCharType="begin"/>
        </w:r>
        <w:r w:rsidR="00AF483C">
          <w:rPr>
            <w:webHidden/>
          </w:rPr>
          <w:instrText xml:space="preserve"> PAGEREF _Toc472078495 \h </w:instrText>
        </w:r>
        <w:r w:rsidR="00AF483C">
          <w:rPr>
            <w:webHidden/>
          </w:rPr>
        </w:r>
        <w:r w:rsidR="00AF483C">
          <w:rPr>
            <w:webHidden/>
          </w:rPr>
          <w:fldChar w:fldCharType="separate"/>
        </w:r>
        <w:r w:rsidR="00035958">
          <w:rPr>
            <w:webHidden/>
          </w:rPr>
          <w:t>5</w:t>
        </w:r>
        <w:r w:rsidR="00AF483C">
          <w:rPr>
            <w:webHidden/>
          </w:rPr>
          <w:fldChar w:fldCharType="end"/>
        </w:r>
      </w:hyperlink>
    </w:p>
    <w:p w:rsidR="00AF483C" w:rsidRDefault="00E875F8">
      <w:pPr>
        <w:pStyle w:val="TOC3"/>
        <w:rPr>
          <w:rFonts w:asciiTheme="minorHAnsi" w:eastAsiaTheme="minorEastAsia" w:hAnsiTheme="minorHAnsi" w:cstheme="minorBidi"/>
          <w:sz w:val="22"/>
          <w:szCs w:val="22"/>
          <w:lang w:val="en-AU" w:eastAsia="en-AU"/>
        </w:rPr>
      </w:pPr>
      <w:hyperlink w:anchor="_Toc472078496" w:history="1">
        <w:r w:rsidR="00AF483C" w:rsidRPr="00A52A89">
          <w:rPr>
            <w:rStyle w:val="Hyperlink"/>
          </w:rPr>
          <w:t>Breach of the 2014-19 Network Price Determination</w:t>
        </w:r>
        <w:r w:rsidR="00AF483C">
          <w:rPr>
            <w:webHidden/>
          </w:rPr>
          <w:tab/>
        </w:r>
        <w:r w:rsidR="00AF483C">
          <w:rPr>
            <w:webHidden/>
          </w:rPr>
          <w:fldChar w:fldCharType="begin"/>
        </w:r>
        <w:r w:rsidR="00AF483C">
          <w:rPr>
            <w:webHidden/>
          </w:rPr>
          <w:instrText xml:space="preserve"> PAGEREF _Toc472078496 \h </w:instrText>
        </w:r>
        <w:r w:rsidR="00AF483C">
          <w:rPr>
            <w:webHidden/>
          </w:rPr>
        </w:r>
        <w:r w:rsidR="00AF483C">
          <w:rPr>
            <w:webHidden/>
          </w:rPr>
          <w:fldChar w:fldCharType="separate"/>
        </w:r>
        <w:r w:rsidR="00035958">
          <w:rPr>
            <w:webHidden/>
          </w:rPr>
          <w:t>5</w:t>
        </w:r>
        <w:r w:rsidR="00AF483C">
          <w:rPr>
            <w:webHidden/>
          </w:rPr>
          <w:fldChar w:fldCharType="end"/>
        </w:r>
      </w:hyperlink>
    </w:p>
    <w:p w:rsidR="00AF483C" w:rsidRDefault="00E875F8">
      <w:pPr>
        <w:pStyle w:val="TOC3"/>
        <w:rPr>
          <w:rFonts w:asciiTheme="minorHAnsi" w:eastAsiaTheme="minorEastAsia" w:hAnsiTheme="minorHAnsi" w:cstheme="minorBidi"/>
          <w:sz w:val="22"/>
          <w:szCs w:val="22"/>
          <w:lang w:val="en-AU" w:eastAsia="en-AU"/>
        </w:rPr>
      </w:pPr>
      <w:hyperlink w:anchor="_Toc472078497" w:history="1">
        <w:r w:rsidR="00AF483C" w:rsidRPr="00A52A89">
          <w:rPr>
            <w:rStyle w:val="Hyperlink"/>
          </w:rPr>
          <w:t>Specified Procedures conducted by PricewaterhouseCoopers (PwC) Australia</w:t>
        </w:r>
        <w:r w:rsidR="00AF483C">
          <w:rPr>
            <w:webHidden/>
          </w:rPr>
          <w:tab/>
        </w:r>
        <w:r w:rsidR="00AF483C">
          <w:rPr>
            <w:webHidden/>
          </w:rPr>
          <w:fldChar w:fldCharType="begin"/>
        </w:r>
        <w:r w:rsidR="00AF483C">
          <w:rPr>
            <w:webHidden/>
          </w:rPr>
          <w:instrText xml:space="preserve"> PAGEREF _Toc472078497 \h </w:instrText>
        </w:r>
        <w:r w:rsidR="00AF483C">
          <w:rPr>
            <w:webHidden/>
          </w:rPr>
        </w:r>
        <w:r w:rsidR="00AF483C">
          <w:rPr>
            <w:webHidden/>
          </w:rPr>
          <w:fldChar w:fldCharType="separate"/>
        </w:r>
        <w:r w:rsidR="00035958">
          <w:rPr>
            <w:webHidden/>
          </w:rPr>
          <w:t>6</w:t>
        </w:r>
        <w:r w:rsidR="00AF483C">
          <w:rPr>
            <w:webHidden/>
          </w:rPr>
          <w:fldChar w:fldCharType="end"/>
        </w:r>
      </w:hyperlink>
    </w:p>
    <w:p w:rsidR="00AF483C" w:rsidRDefault="00E875F8" w:rsidP="00AA5D86">
      <w:pPr>
        <w:pStyle w:val="TOC2"/>
        <w:rPr>
          <w:rFonts w:asciiTheme="minorHAnsi" w:eastAsiaTheme="minorEastAsia" w:hAnsiTheme="minorHAnsi" w:cstheme="minorBidi"/>
          <w:color w:val="auto"/>
          <w:sz w:val="22"/>
          <w:szCs w:val="22"/>
        </w:rPr>
      </w:pPr>
      <w:hyperlink w:anchor="_Toc472078498" w:history="1">
        <w:r w:rsidR="00AF483C" w:rsidRPr="00A52A89">
          <w:rPr>
            <w:rStyle w:val="Hyperlink"/>
            <w:bCs/>
          </w:rPr>
          <w:t xml:space="preserve">Chapter 3:  </w:t>
        </w:r>
        <w:r w:rsidR="00AF483C">
          <w:rPr>
            <w:rFonts w:asciiTheme="minorHAnsi" w:eastAsiaTheme="minorEastAsia" w:hAnsiTheme="minorHAnsi" w:cstheme="minorBidi"/>
            <w:color w:val="auto"/>
            <w:sz w:val="22"/>
            <w:szCs w:val="22"/>
          </w:rPr>
          <w:tab/>
        </w:r>
        <w:r w:rsidR="00AF483C" w:rsidRPr="00A52A89">
          <w:rPr>
            <w:rStyle w:val="Hyperlink"/>
            <w:bCs/>
          </w:rPr>
          <w:t>Key Findings – PwC Australia Report of Specified Procedures to the Utilities Commission</w:t>
        </w:r>
        <w:r w:rsidR="00AF483C">
          <w:rPr>
            <w:webHidden/>
          </w:rPr>
          <w:tab/>
        </w:r>
        <w:r w:rsidR="00AF483C">
          <w:rPr>
            <w:webHidden/>
          </w:rPr>
          <w:fldChar w:fldCharType="begin"/>
        </w:r>
        <w:r w:rsidR="00AF483C">
          <w:rPr>
            <w:webHidden/>
          </w:rPr>
          <w:instrText xml:space="preserve"> PAGEREF _Toc472078498 \h </w:instrText>
        </w:r>
        <w:r w:rsidR="00AF483C">
          <w:rPr>
            <w:webHidden/>
          </w:rPr>
        </w:r>
        <w:r w:rsidR="00AF483C">
          <w:rPr>
            <w:webHidden/>
          </w:rPr>
          <w:fldChar w:fldCharType="separate"/>
        </w:r>
        <w:r w:rsidR="00035958">
          <w:rPr>
            <w:webHidden/>
          </w:rPr>
          <w:t>8</w:t>
        </w:r>
        <w:r w:rsidR="00AF483C">
          <w:rPr>
            <w:webHidden/>
          </w:rPr>
          <w:fldChar w:fldCharType="end"/>
        </w:r>
      </w:hyperlink>
    </w:p>
    <w:p w:rsidR="00AF483C" w:rsidRDefault="00E875F8">
      <w:pPr>
        <w:pStyle w:val="TOC3"/>
        <w:rPr>
          <w:rFonts w:asciiTheme="minorHAnsi" w:eastAsiaTheme="minorEastAsia" w:hAnsiTheme="minorHAnsi" w:cstheme="minorBidi"/>
          <w:sz w:val="22"/>
          <w:szCs w:val="22"/>
          <w:lang w:val="en-AU" w:eastAsia="en-AU"/>
        </w:rPr>
      </w:pPr>
      <w:hyperlink w:anchor="_Toc472078499" w:history="1">
        <w:r w:rsidR="00AF483C" w:rsidRPr="00A52A89">
          <w:rPr>
            <w:rStyle w:val="Hyperlink"/>
          </w:rPr>
          <w:t>Part 1 – Compliance with Network Price Determination</w:t>
        </w:r>
        <w:r w:rsidR="00AF483C">
          <w:rPr>
            <w:webHidden/>
          </w:rPr>
          <w:tab/>
        </w:r>
        <w:r w:rsidR="00AF483C">
          <w:rPr>
            <w:webHidden/>
          </w:rPr>
          <w:fldChar w:fldCharType="begin"/>
        </w:r>
        <w:r w:rsidR="00AF483C">
          <w:rPr>
            <w:webHidden/>
          </w:rPr>
          <w:instrText xml:space="preserve"> PAGEREF _Toc472078499 \h </w:instrText>
        </w:r>
        <w:r w:rsidR="00AF483C">
          <w:rPr>
            <w:webHidden/>
          </w:rPr>
        </w:r>
        <w:r w:rsidR="00AF483C">
          <w:rPr>
            <w:webHidden/>
          </w:rPr>
          <w:fldChar w:fldCharType="separate"/>
        </w:r>
        <w:r w:rsidR="00035958">
          <w:rPr>
            <w:webHidden/>
          </w:rPr>
          <w:t>8</w:t>
        </w:r>
        <w:r w:rsidR="00AF483C">
          <w:rPr>
            <w:webHidden/>
          </w:rPr>
          <w:fldChar w:fldCharType="end"/>
        </w:r>
      </w:hyperlink>
    </w:p>
    <w:p w:rsidR="00AF483C" w:rsidRDefault="00E875F8">
      <w:pPr>
        <w:pStyle w:val="TOC3"/>
        <w:rPr>
          <w:rFonts w:asciiTheme="minorHAnsi" w:eastAsiaTheme="minorEastAsia" w:hAnsiTheme="minorHAnsi" w:cstheme="minorBidi"/>
          <w:sz w:val="22"/>
          <w:szCs w:val="22"/>
          <w:lang w:val="en-AU" w:eastAsia="en-AU"/>
        </w:rPr>
      </w:pPr>
      <w:hyperlink w:anchor="_Toc472078500" w:history="1">
        <w:r w:rsidR="00AF483C" w:rsidRPr="00A52A89">
          <w:rPr>
            <w:rStyle w:val="Hyperlink"/>
          </w:rPr>
          <w:t>Part 2 – PWC’s Compliance Procedures</w:t>
        </w:r>
        <w:r w:rsidR="00AF483C">
          <w:rPr>
            <w:webHidden/>
          </w:rPr>
          <w:tab/>
        </w:r>
        <w:r w:rsidR="00AF483C">
          <w:rPr>
            <w:webHidden/>
          </w:rPr>
          <w:fldChar w:fldCharType="begin"/>
        </w:r>
        <w:r w:rsidR="00AF483C">
          <w:rPr>
            <w:webHidden/>
          </w:rPr>
          <w:instrText xml:space="preserve"> PAGEREF _Toc472078500 \h </w:instrText>
        </w:r>
        <w:r w:rsidR="00AF483C">
          <w:rPr>
            <w:webHidden/>
          </w:rPr>
        </w:r>
        <w:r w:rsidR="00AF483C">
          <w:rPr>
            <w:webHidden/>
          </w:rPr>
          <w:fldChar w:fldCharType="separate"/>
        </w:r>
        <w:r w:rsidR="00035958">
          <w:rPr>
            <w:webHidden/>
          </w:rPr>
          <w:t>9</w:t>
        </w:r>
        <w:r w:rsidR="00AF483C">
          <w:rPr>
            <w:webHidden/>
          </w:rPr>
          <w:fldChar w:fldCharType="end"/>
        </w:r>
      </w:hyperlink>
    </w:p>
    <w:p w:rsidR="00AF483C" w:rsidRDefault="00E875F8">
      <w:pPr>
        <w:pStyle w:val="TOC3"/>
        <w:rPr>
          <w:rFonts w:asciiTheme="minorHAnsi" w:eastAsiaTheme="minorEastAsia" w:hAnsiTheme="minorHAnsi" w:cstheme="minorBidi"/>
          <w:sz w:val="22"/>
          <w:szCs w:val="22"/>
          <w:lang w:val="en-AU" w:eastAsia="en-AU"/>
        </w:rPr>
      </w:pPr>
      <w:hyperlink w:anchor="_Toc472078501" w:history="1">
        <w:r w:rsidR="00AF483C" w:rsidRPr="00A52A89">
          <w:rPr>
            <w:rStyle w:val="Hyperlink"/>
          </w:rPr>
          <w:t>Other issues noted in the report of concern to the Commission</w:t>
        </w:r>
        <w:r w:rsidR="00AF483C">
          <w:rPr>
            <w:webHidden/>
          </w:rPr>
          <w:tab/>
        </w:r>
        <w:r w:rsidR="00AF483C">
          <w:rPr>
            <w:webHidden/>
          </w:rPr>
          <w:fldChar w:fldCharType="begin"/>
        </w:r>
        <w:r w:rsidR="00AF483C">
          <w:rPr>
            <w:webHidden/>
          </w:rPr>
          <w:instrText xml:space="preserve"> PAGEREF _Toc472078501 \h </w:instrText>
        </w:r>
        <w:r w:rsidR="00AF483C">
          <w:rPr>
            <w:webHidden/>
          </w:rPr>
        </w:r>
        <w:r w:rsidR="00AF483C">
          <w:rPr>
            <w:webHidden/>
          </w:rPr>
          <w:fldChar w:fldCharType="separate"/>
        </w:r>
        <w:r w:rsidR="00035958">
          <w:rPr>
            <w:webHidden/>
          </w:rPr>
          <w:t>10</w:t>
        </w:r>
        <w:r w:rsidR="00AF483C">
          <w:rPr>
            <w:webHidden/>
          </w:rPr>
          <w:fldChar w:fldCharType="end"/>
        </w:r>
      </w:hyperlink>
    </w:p>
    <w:p w:rsidR="00AF483C" w:rsidRDefault="00E875F8" w:rsidP="00AA5D86">
      <w:pPr>
        <w:pStyle w:val="TOC2"/>
        <w:rPr>
          <w:rFonts w:asciiTheme="minorHAnsi" w:eastAsiaTheme="minorEastAsia" w:hAnsiTheme="minorHAnsi" w:cstheme="minorBidi"/>
          <w:color w:val="auto"/>
          <w:sz w:val="22"/>
          <w:szCs w:val="22"/>
        </w:rPr>
      </w:pPr>
      <w:hyperlink w:anchor="_Toc472078502" w:history="1">
        <w:r w:rsidR="00AF483C" w:rsidRPr="00A52A89">
          <w:rPr>
            <w:rStyle w:val="Hyperlink"/>
            <w:bCs/>
          </w:rPr>
          <w:t xml:space="preserve">Chapter 4:  </w:t>
        </w:r>
        <w:r w:rsidR="00AF483C">
          <w:rPr>
            <w:rFonts w:asciiTheme="minorHAnsi" w:eastAsiaTheme="minorEastAsia" w:hAnsiTheme="minorHAnsi" w:cstheme="minorBidi"/>
            <w:color w:val="auto"/>
            <w:sz w:val="22"/>
            <w:szCs w:val="22"/>
          </w:rPr>
          <w:tab/>
        </w:r>
        <w:r w:rsidR="00AF483C" w:rsidRPr="00A52A89">
          <w:rPr>
            <w:rStyle w:val="Hyperlink"/>
            <w:bCs/>
          </w:rPr>
          <w:t>PWC’s response to the PwC Australia Report</w:t>
        </w:r>
        <w:r w:rsidR="00AF483C">
          <w:rPr>
            <w:webHidden/>
          </w:rPr>
          <w:tab/>
        </w:r>
        <w:r w:rsidR="00AF483C">
          <w:rPr>
            <w:webHidden/>
          </w:rPr>
          <w:fldChar w:fldCharType="begin"/>
        </w:r>
        <w:r w:rsidR="00AF483C">
          <w:rPr>
            <w:webHidden/>
          </w:rPr>
          <w:instrText xml:space="preserve"> PAGEREF _Toc472078502 \h </w:instrText>
        </w:r>
        <w:r w:rsidR="00AF483C">
          <w:rPr>
            <w:webHidden/>
          </w:rPr>
        </w:r>
        <w:r w:rsidR="00AF483C">
          <w:rPr>
            <w:webHidden/>
          </w:rPr>
          <w:fldChar w:fldCharType="separate"/>
        </w:r>
        <w:r w:rsidR="00035958">
          <w:rPr>
            <w:webHidden/>
          </w:rPr>
          <w:t>12</w:t>
        </w:r>
        <w:r w:rsidR="00AF483C">
          <w:rPr>
            <w:webHidden/>
          </w:rPr>
          <w:fldChar w:fldCharType="end"/>
        </w:r>
      </w:hyperlink>
    </w:p>
    <w:p w:rsidR="00AF483C" w:rsidRDefault="00E875F8" w:rsidP="00AA5D86">
      <w:pPr>
        <w:pStyle w:val="TOC2"/>
        <w:rPr>
          <w:rFonts w:asciiTheme="minorHAnsi" w:eastAsiaTheme="minorEastAsia" w:hAnsiTheme="minorHAnsi" w:cstheme="minorBidi"/>
          <w:color w:val="auto"/>
          <w:sz w:val="22"/>
          <w:szCs w:val="22"/>
        </w:rPr>
      </w:pPr>
      <w:hyperlink w:anchor="_Toc472078503" w:history="1">
        <w:r w:rsidR="00AF483C" w:rsidRPr="00A52A89">
          <w:rPr>
            <w:rStyle w:val="Hyperlink"/>
            <w:bCs/>
          </w:rPr>
          <w:t xml:space="preserve">Appendix A:  </w:t>
        </w:r>
        <w:r w:rsidR="00AF483C">
          <w:rPr>
            <w:rFonts w:asciiTheme="minorHAnsi" w:eastAsiaTheme="minorEastAsia" w:hAnsiTheme="minorHAnsi" w:cstheme="minorBidi"/>
            <w:color w:val="auto"/>
            <w:sz w:val="22"/>
            <w:szCs w:val="22"/>
          </w:rPr>
          <w:tab/>
        </w:r>
        <w:r w:rsidR="00AF483C" w:rsidRPr="00A52A89">
          <w:rPr>
            <w:rStyle w:val="Hyperlink"/>
            <w:bCs/>
          </w:rPr>
          <w:t>PwC Australia Report of Specified Procedures to the Utilities Commission</w:t>
        </w:r>
        <w:r w:rsidR="00AF483C">
          <w:rPr>
            <w:webHidden/>
          </w:rPr>
          <w:tab/>
        </w:r>
        <w:r w:rsidR="00AF483C">
          <w:rPr>
            <w:webHidden/>
          </w:rPr>
          <w:fldChar w:fldCharType="begin"/>
        </w:r>
        <w:r w:rsidR="00AF483C">
          <w:rPr>
            <w:webHidden/>
          </w:rPr>
          <w:instrText xml:space="preserve"> PAGEREF _Toc472078503 \h </w:instrText>
        </w:r>
        <w:r w:rsidR="00AF483C">
          <w:rPr>
            <w:webHidden/>
          </w:rPr>
        </w:r>
        <w:r w:rsidR="00AF483C">
          <w:rPr>
            <w:webHidden/>
          </w:rPr>
          <w:fldChar w:fldCharType="separate"/>
        </w:r>
        <w:r w:rsidR="00035958">
          <w:rPr>
            <w:webHidden/>
          </w:rPr>
          <w:t>14</w:t>
        </w:r>
        <w:r w:rsidR="00AF483C">
          <w:rPr>
            <w:webHidden/>
          </w:rPr>
          <w:fldChar w:fldCharType="end"/>
        </w:r>
      </w:hyperlink>
    </w:p>
    <w:p w:rsidR="00820643" w:rsidRPr="00D51CD5" w:rsidRDefault="00DB3FE7" w:rsidP="008C76F8">
      <w:pPr>
        <w:spacing w:before="120" w:after="120"/>
      </w:pPr>
      <w:r w:rsidRPr="00C948D2">
        <w:rPr>
          <w:sz w:val="18"/>
          <w:szCs w:val="18"/>
          <w:highlight w:val="yellow"/>
        </w:rPr>
        <w:fldChar w:fldCharType="end"/>
      </w:r>
      <w:r w:rsidR="00820643" w:rsidRPr="00D51CD5">
        <w:br w:type="page"/>
      </w:r>
    </w:p>
    <w:p w:rsidR="00302A92" w:rsidRPr="005B1EA4" w:rsidRDefault="00302A92" w:rsidP="008C76F8">
      <w:pPr>
        <w:spacing w:before="120" w:after="120"/>
        <w:sectPr w:rsidR="00302A92" w:rsidRPr="005B1EA4" w:rsidSect="00984DBC">
          <w:footerReference w:type="default" r:id="rId14"/>
          <w:headerReference w:type="first" r:id="rId15"/>
          <w:footerReference w:type="first" r:id="rId16"/>
          <w:pgSz w:w="11907" w:h="16840" w:code="9"/>
          <w:pgMar w:top="1134" w:right="1134" w:bottom="1134" w:left="1701" w:header="567" w:footer="567" w:gutter="0"/>
          <w:pgNumType w:fmt="lowerRoman" w:start="1"/>
          <w:cols w:space="720"/>
          <w:titlePg/>
        </w:sectPr>
      </w:pPr>
    </w:p>
    <w:p w:rsidR="000007CC" w:rsidRPr="00430301" w:rsidRDefault="000007CC" w:rsidP="005D50B0">
      <w:pPr>
        <w:pStyle w:val="UtilComHeading2"/>
        <w:spacing w:before="120"/>
        <w:rPr>
          <w:b w:val="0"/>
          <w:bCs/>
          <w:color w:val="31849B" w:themeColor="accent5" w:themeShade="BF"/>
          <w:lang w:eastAsia="en-AU"/>
        </w:rPr>
      </w:pPr>
      <w:bookmarkStart w:id="3" w:name="_Toc384214478"/>
      <w:bookmarkStart w:id="4" w:name="_Toc472078490"/>
      <w:bookmarkStart w:id="5" w:name="_Toc436218907"/>
      <w:r w:rsidRPr="00430301">
        <w:rPr>
          <w:b w:val="0"/>
          <w:bCs/>
          <w:color w:val="31849B" w:themeColor="accent5" w:themeShade="BF"/>
          <w:lang w:eastAsia="en-AU"/>
        </w:rPr>
        <w:lastRenderedPageBreak/>
        <w:t>Purpose of this Report</w:t>
      </w:r>
      <w:bookmarkEnd w:id="3"/>
      <w:bookmarkEnd w:id="4"/>
    </w:p>
    <w:p w:rsidR="00825855" w:rsidRDefault="00E14362" w:rsidP="00430301">
      <w:pPr>
        <w:spacing w:before="200" w:after="200"/>
      </w:pPr>
      <w:r>
        <w:t xml:space="preserve">In March 2016, the Commission advised </w:t>
      </w:r>
      <w:r w:rsidR="00B61AA8">
        <w:t>the Power and Water Corporation (</w:t>
      </w:r>
      <w:r w:rsidR="00253394">
        <w:t>PWC</w:t>
      </w:r>
      <w:r w:rsidR="00B61AA8">
        <w:t>)</w:t>
      </w:r>
      <w:r>
        <w:t xml:space="preserve"> of its intention to appoint an </w:t>
      </w:r>
      <w:r w:rsidR="00A817D3">
        <w:t xml:space="preserve">external auditor in accordance with clause 11.4 of </w:t>
      </w:r>
      <w:r w:rsidR="00253394">
        <w:t>PWC</w:t>
      </w:r>
      <w:r w:rsidR="00A817D3">
        <w:t xml:space="preserve">’s network licence to review </w:t>
      </w:r>
      <w:r w:rsidR="00253394">
        <w:t>PWC</w:t>
      </w:r>
      <w:r w:rsidR="00A817D3">
        <w:t>’s compliance with its network licence.</w:t>
      </w:r>
      <w:r w:rsidR="00281B18">
        <w:t xml:space="preserve"> </w:t>
      </w:r>
      <w:r w:rsidR="00A817D3">
        <w:t xml:space="preserve">The Commission appointed PricewaterhouseCoopers (PwC) Australia to perform specified procedures to allow the Commission to assess and conclude on </w:t>
      </w:r>
      <w:r w:rsidR="00253394">
        <w:t>PWC</w:t>
      </w:r>
      <w:r w:rsidR="00A817D3">
        <w:t xml:space="preserve">’s compliance with the 2014 </w:t>
      </w:r>
      <w:r w:rsidR="00B61AA8">
        <w:t>Network Price Determination (</w:t>
      </w:r>
      <w:r w:rsidR="00A817D3">
        <w:t>NPD</w:t>
      </w:r>
      <w:r w:rsidR="00B61AA8">
        <w:t>)</w:t>
      </w:r>
      <w:r w:rsidR="00A817D3">
        <w:t xml:space="preserve"> and </w:t>
      </w:r>
      <w:r w:rsidR="00253394">
        <w:t>PWC</w:t>
      </w:r>
      <w:r w:rsidR="00A817D3">
        <w:t xml:space="preserve">’s identification and reporting of any compliance breaches. </w:t>
      </w:r>
    </w:p>
    <w:p w:rsidR="00A817D3" w:rsidRDefault="00A817D3" w:rsidP="00430301">
      <w:pPr>
        <w:spacing w:before="200" w:after="200"/>
      </w:pPr>
      <w:r>
        <w:t xml:space="preserve">This report provides the Commission’s </w:t>
      </w:r>
      <w:r w:rsidR="007937A2">
        <w:t>conclusions in relation to P</w:t>
      </w:r>
      <w:r w:rsidR="00253394">
        <w:t>WC</w:t>
      </w:r>
      <w:r>
        <w:t xml:space="preserve">’s compliance with the 2014 NPD and </w:t>
      </w:r>
      <w:r w:rsidR="00825855">
        <w:t xml:space="preserve">the </w:t>
      </w:r>
      <w:r>
        <w:t xml:space="preserve">identification and reporting of </w:t>
      </w:r>
      <w:r w:rsidR="00825855">
        <w:t>compliance breaches</w:t>
      </w:r>
      <w:r w:rsidR="00B61AA8">
        <w:t xml:space="preserve"> that occurred in the 2014-15 year</w:t>
      </w:r>
      <w:r w:rsidR="00825855">
        <w:t>.</w:t>
      </w:r>
      <w:r w:rsidR="00C25269" w:rsidRPr="00C25269">
        <w:t xml:space="preserve"> </w:t>
      </w:r>
      <w:r w:rsidR="00C25269">
        <w:t xml:space="preserve">The Commission’s report includes PwC Australia’s </w:t>
      </w:r>
      <w:r w:rsidR="008C76F8" w:rsidRPr="008C76F8">
        <w:t>Report of Specified Procedures</w:t>
      </w:r>
      <w:r w:rsidR="00833D6A">
        <w:t xml:space="preserve"> to the Commission</w:t>
      </w:r>
      <w:r w:rsidR="008C76F8">
        <w:t>.</w:t>
      </w:r>
    </w:p>
    <w:p w:rsidR="002930B3" w:rsidRDefault="002930B3" w:rsidP="00430301">
      <w:pPr>
        <w:spacing w:before="200" w:after="200"/>
      </w:pPr>
      <w:r>
        <w:t xml:space="preserve">In preparing this report, the Commission has had regard to the legislative objectives listed in section 6(2) of the </w:t>
      </w:r>
      <w:r w:rsidR="002F2646" w:rsidRPr="002F2646">
        <w:rPr>
          <w:i/>
        </w:rPr>
        <w:t xml:space="preserve">Utilities Commission </w:t>
      </w:r>
      <w:r w:rsidRPr="002F2646">
        <w:rPr>
          <w:i/>
        </w:rPr>
        <w:t>Act</w:t>
      </w:r>
      <w:r w:rsidR="002F2646">
        <w:t xml:space="preserve"> (UC Act)</w:t>
      </w:r>
      <w:r>
        <w:t xml:space="preserve">. </w:t>
      </w:r>
    </w:p>
    <w:p w:rsidR="00A817D3" w:rsidRDefault="00A817D3" w:rsidP="00430301">
      <w:pPr>
        <w:spacing w:before="200" w:after="200"/>
      </w:pPr>
      <w:r>
        <w:t xml:space="preserve">The Commission has made this report available to the Treasurer (as Regulatory Minister and Shareholding Minister for </w:t>
      </w:r>
      <w:r w:rsidR="00253394">
        <w:t>PWC</w:t>
      </w:r>
      <w:r>
        <w:t xml:space="preserve">), Department of Treasury and Finance, Australian Energy Regulator and </w:t>
      </w:r>
      <w:r w:rsidR="00B61AA8">
        <w:t>PWC</w:t>
      </w:r>
      <w:r>
        <w:t>.</w:t>
      </w:r>
      <w:r w:rsidR="00281B18">
        <w:t xml:space="preserve"> </w:t>
      </w:r>
      <w:r>
        <w:t xml:space="preserve">Consistent </w:t>
      </w:r>
      <w:r w:rsidR="00B61AA8">
        <w:t xml:space="preserve">with </w:t>
      </w:r>
      <w:r>
        <w:t>the Commission’s Compliance Framewo</w:t>
      </w:r>
      <w:r w:rsidR="006A1C61">
        <w:t xml:space="preserve">rk and Reporting Guidelines and in the interests of transparency, a </w:t>
      </w:r>
      <w:r>
        <w:t xml:space="preserve">redacted version of the </w:t>
      </w:r>
      <w:r w:rsidR="00C25269">
        <w:t xml:space="preserve">PwC </w:t>
      </w:r>
      <w:r>
        <w:t xml:space="preserve">report </w:t>
      </w:r>
      <w:r w:rsidR="00300AAC">
        <w:t xml:space="preserve">is </w:t>
      </w:r>
      <w:r>
        <w:t>be</w:t>
      </w:r>
      <w:r w:rsidR="00300AAC">
        <w:t>ing made publicly available as an attachment to this report.</w:t>
      </w:r>
    </w:p>
    <w:p w:rsidR="000007CC" w:rsidRPr="005C0437" w:rsidRDefault="000007CC" w:rsidP="00430301">
      <w:pPr>
        <w:pStyle w:val="UtilComHeading2"/>
        <w:rPr>
          <w:b w:val="0"/>
          <w:bCs/>
          <w:color w:val="31849B" w:themeColor="accent5" w:themeShade="BF"/>
          <w:lang w:eastAsia="en-AU"/>
        </w:rPr>
      </w:pPr>
      <w:bookmarkStart w:id="6" w:name="_Toc384214479"/>
      <w:bookmarkStart w:id="7" w:name="_Toc472078491"/>
      <w:r w:rsidRPr="005C0437">
        <w:rPr>
          <w:b w:val="0"/>
          <w:bCs/>
          <w:color w:val="31849B" w:themeColor="accent5" w:themeShade="BF"/>
          <w:lang w:eastAsia="en-AU"/>
        </w:rPr>
        <w:t>Confidential Information</w:t>
      </w:r>
      <w:bookmarkEnd w:id="6"/>
      <w:bookmarkEnd w:id="7"/>
      <w:r w:rsidRPr="005C0437">
        <w:rPr>
          <w:b w:val="0"/>
          <w:bCs/>
          <w:color w:val="31849B" w:themeColor="accent5" w:themeShade="BF"/>
          <w:lang w:eastAsia="en-AU"/>
        </w:rPr>
        <w:t xml:space="preserve"> </w:t>
      </w:r>
    </w:p>
    <w:p w:rsidR="000007CC" w:rsidRPr="000007CC" w:rsidRDefault="000007CC" w:rsidP="00430301">
      <w:pPr>
        <w:pStyle w:val="UtilComBodyText"/>
        <w:spacing w:before="200" w:after="200"/>
        <w:rPr>
          <w:bCs/>
          <w:lang w:val="en-US"/>
        </w:rPr>
      </w:pPr>
      <w:r>
        <w:rPr>
          <w:bCs/>
          <w:lang w:val="en-US"/>
        </w:rPr>
        <w:t>The Commission’s</w:t>
      </w:r>
      <w:r w:rsidRPr="000007CC">
        <w:rPr>
          <w:bCs/>
          <w:lang w:val="en-US"/>
        </w:rPr>
        <w:t xml:space="preserve"> </w:t>
      </w:r>
      <w:r>
        <w:rPr>
          <w:bCs/>
          <w:lang w:val="en-US"/>
        </w:rPr>
        <w:t>R</w:t>
      </w:r>
      <w:r w:rsidRPr="000007CC">
        <w:rPr>
          <w:bCs/>
          <w:lang w:val="en-US"/>
        </w:rPr>
        <w:t>eport</w:t>
      </w:r>
      <w:r>
        <w:rPr>
          <w:bCs/>
          <w:lang w:val="en-US"/>
        </w:rPr>
        <w:t xml:space="preserve"> ha</w:t>
      </w:r>
      <w:r w:rsidR="008C76F8">
        <w:rPr>
          <w:bCs/>
          <w:lang w:val="en-US"/>
        </w:rPr>
        <w:t>s</w:t>
      </w:r>
      <w:r>
        <w:rPr>
          <w:bCs/>
          <w:lang w:val="en-US"/>
        </w:rPr>
        <w:t xml:space="preserve"> been prepared</w:t>
      </w:r>
      <w:r w:rsidR="00281B18">
        <w:rPr>
          <w:bCs/>
          <w:lang w:val="en-US"/>
        </w:rPr>
        <w:t xml:space="preserve"> with reference to </w:t>
      </w:r>
      <w:r w:rsidRPr="000007CC">
        <w:rPr>
          <w:bCs/>
          <w:lang w:val="en-US"/>
        </w:rPr>
        <w:t xml:space="preserve">information provided by </w:t>
      </w:r>
      <w:r w:rsidR="00253394">
        <w:rPr>
          <w:bCs/>
          <w:lang w:val="en-US"/>
        </w:rPr>
        <w:t>PWC</w:t>
      </w:r>
      <w:r>
        <w:rPr>
          <w:bCs/>
          <w:lang w:val="en-US"/>
        </w:rPr>
        <w:t xml:space="preserve"> and Jacana Energy</w:t>
      </w:r>
      <w:r w:rsidRPr="000007CC">
        <w:rPr>
          <w:bCs/>
          <w:lang w:val="en-US"/>
        </w:rPr>
        <w:t xml:space="preserve">. </w:t>
      </w:r>
      <w:r w:rsidR="00281B18">
        <w:rPr>
          <w:bCs/>
          <w:lang w:val="en-US"/>
        </w:rPr>
        <w:t xml:space="preserve">Information provided by Jacana Energy relates to correspondence between </w:t>
      </w:r>
      <w:r w:rsidR="00253394">
        <w:rPr>
          <w:bCs/>
          <w:lang w:val="en-US"/>
        </w:rPr>
        <w:t>PWC</w:t>
      </w:r>
      <w:r w:rsidR="00281B18">
        <w:rPr>
          <w:bCs/>
          <w:lang w:val="en-US"/>
        </w:rPr>
        <w:t xml:space="preserve"> and Jacana Energy. Some of the information provided by </w:t>
      </w:r>
      <w:r w:rsidR="00253394">
        <w:rPr>
          <w:bCs/>
          <w:lang w:val="en-US"/>
        </w:rPr>
        <w:t>PWC</w:t>
      </w:r>
      <w:r w:rsidR="00281B18">
        <w:rPr>
          <w:bCs/>
          <w:lang w:val="en-US"/>
        </w:rPr>
        <w:t xml:space="preserve"> relating to customers </w:t>
      </w:r>
      <w:r w:rsidR="000943BE">
        <w:rPr>
          <w:bCs/>
          <w:lang w:val="en-US"/>
        </w:rPr>
        <w:t xml:space="preserve">is considered </w:t>
      </w:r>
      <w:r>
        <w:rPr>
          <w:bCs/>
          <w:lang w:val="en-US"/>
        </w:rPr>
        <w:t xml:space="preserve">confidential and </w:t>
      </w:r>
      <w:r w:rsidRPr="000007CC">
        <w:rPr>
          <w:bCs/>
          <w:lang w:val="en-US"/>
        </w:rPr>
        <w:t>commercially sen</w:t>
      </w:r>
      <w:r w:rsidR="000943BE">
        <w:rPr>
          <w:bCs/>
          <w:lang w:val="en-US"/>
        </w:rPr>
        <w:t>sitive to PWC.</w:t>
      </w:r>
    </w:p>
    <w:p w:rsidR="000007CC" w:rsidRDefault="000943BE" w:rsidP="00115194">
      <w:pPr>
        <w:pStyle w:val="UtilComBodyText"/>
        <w:spacing w:before="200" w:after="200"/>
      </w:pPr>
      <w:r>
        <w:t>In accordance with section 26 of the UC Act, t</w:t>
      </w:r>
      <w:r w:rsidR="000007CC" w:rsidRPr="000007CC">
        <w:rPr>
          <w:bCs/>
          <w:lang w:val="en-US"/>
        </w:rPr>
        <w:t xml:space="preserve">he Commission </w:t>
      </w:r>
      <w:r>
        <w:rPr>
          <w:bCs/>
          <w:lang w:val="en-US"/>
        </w:rPr>
        <w:t>has redacted confidential and commercially sensitive information from the PwC report</w:t>
      </w:r>
      <w:r w:rsidR="00300AAC">
        <w:rPr>
          <w:bCs/>
          <w:lang w:val="en-US"/>
        </w:rPr>
        <w:t xml:space="preserve"> which is an </w:t>
      </w:r>
      <w:r w:rsidR="00300AAC">
        <w:t>attachment to this report.</w:t>
      </w:r>
    </w:p>
    <w:p w:rsidR="00302A92" w:rsidRPr="00430301" w:rsidRDefault="00302A92" w:rsidP="00430301">
      <w:pPr>
        <w:pStyle w:val="UtilComHeading2"/>
        <w:rPr>
          <w:b w:val="0"/>
          <w:color w:val="31849B" w:themeColor="accent5" w:themeShade="BF"/>
          <w:lang w:eastAsia="en-AU"/>
        </w:rPr>
      </w:pPr>
      <w:bookmarkStart w:id="8" w:name="_Toc472078492"/>
      <w:r w:rsidRPr="00430301">
        <w:rPr>
          <w:b w:val="0"/>
          <w:color w:val="31849B" w:themeColor="accent5" w:themeShade="BF"/>
          <w:lang w:eastAsia="en-AU"/>
        </w:rPr>
        <w:t>Inquiries</w:t>
      </w:r>
      <w:bookmarkEnd w:id="5"/>
      <w:bookmarkEnd w:id="8"/>
    </w:p>
    <w:p w:rsidR="00D44F72" w:rsidRDefault="00302A92" w:rsidP="00AA5D86">
      <w:pPr>
        <w:pStyle w:val="UtilComBodyText"/>
        <w:spacing w:before="200" w:after="200"/>
        <w:rPr>
          <w:bCs/>
          <w:lang w:val="en-US"/>
        </w:rPr>
      </w:pPr>
      <w:r w:rsidRPr="00302A92">
        <w:rPr>
          <w:bCs/>
          <w:lang w:val="en-US"/>
        </w:rPr>
        <w:t>Any questions regarding this report should be directed in the first instance to the Utilities Commission at any of the following:</w:t>
      </w:r>
    </w:p>
    <w:p w:rsidR="00302A92" w:rsidRPr="00302A92" w:rsidRDefault="00302A92" w:rsidP="00AA5D86">
      <w:pPr>
        <w:pStyle w:val="UtilComBodyText"/>
        <w:spacing w:before="200" w:after="200"/>
        <w:rPr>
          <w:bCs/>
          <w:lang w:val="en-US"/>
        </w:rPr>
      </w:pPr>
      <w:r w:rsidRPr="00302A92">
        <w:rPr>
          <w:bCs/>
          <w:lang w:val="en-US"/>
        </w:rPr>
        <w:t>Utilities Commission</w:t>
      </w:r>
      <w:r w:rsidRPr="00302A92">
        <w:rPr>
          <w:bCs/>
          <w:lang w:val="en-US"/>
        </w:rPr>
        <w:br/>
        <w:t>GPO Box 915</w:t>
      </w:r>
      <w:r w:rsidRPr="00302A92">
        <w:rPr>
          <w:bCs/>
          <w:lang w:val="en-US"/>
        </w:rPr>
        <w:br/>
        <w:t>DARWIN NT 0801</w:t>
      </w:r>
    </w:p>
    <w:p w:rsidR="00302A92" w:rsidRPr="00302A92" w:rsidRDefault="00302A92" w:rsidP="00302A92">
      <w:pPr>
        <w:pStyle w:val="UtilComBodyText"/>
        <w:rPr>
          <w:lang w:val="en-US"/>
        </w:rPr>
      </w:pPr>
      <w:r w:rsidRPr="00302A92">
        <w:rPr>
          <w:lang w:val="en-US"/>
        </w:rPr>
        <w:t>Telephone: +61 8 8999 5480</w:t>
      </w:r>
    </w:p>
    <w:p w:rsidR="000007CC" w:rsidRDefault="00302A92" w:rsidP="005D50B0">
      <w:pPr>
        <w:pStyle w:val="UtilComBodyText"/>
      </w:pPr>
      <w:r w:rsidRPr="00302A92">
        <w:rPr>
          <w:lang w:val="en-US"/>
        </w:rPr>
        <w:t xml:space="preserve">Email: </w:t>
      </w:r>
      <w:hyperlink r:id="rId17" w:history="1">
        <w:r>
          <w:rPr>
            <w:rStyle w:val="Hyperlink"/>
          </w:rPr>
          <w:t>utilities.commission@nt.gov.au</w:t>
        </w:r>
      </w:hyperlink>
    </w:p>
    <w:p w:rsidR="000007CC" w:rsidRDefault="000007CC" w:rsidP="00984DBC">
      <w:pPr>
        <w:sectPr w:rsidR="000007CC" w:rsidSect="00430301">
          <w:pgSz w:w="11907" w:h="16840" w:code="9"/>
          <w:pgMar w:top="1390" w:right="1134" w:bottom="1134" w:left="1701" w:header="567" w:footer="567" w:gutter="0"/>
          <w:pgNumType w:fmt="lowerRoman"/>
          <w:cols w:space="720"/>
          <w:titlePg/>
        </w:sectPr>
      </w:pPr>
    </w:p>
    <w:p w:rsidR="00430301" w:rsidRPr="00293484" w:rsidRDefault="00430301" w:rsidP="008F7F96">
      <w:pPr>
        <w:pStyle w:val="UtilComHeading2"/>
        <w:spacing w:before="400"/>
        <w:rPr>
          <w:bCs/>
          <w:color w:val="31849B" w:themeColor="accent5" w:themeShade="BF"/>
          <w:sz w:val="36"/>
          <w:szCs w:val="36"/>
          <w:lang w:eastAsia="en-AU"/>
        </w:rPr>
      </w:pPr>
      <w:bookmarkStart w:id="9" w:name="_Toc472078493"/>
      <w:bookmarkStart w:id="10" w:name="_Toc442328898"/>
      <w:r w:rsidRPr="00293484">
        <w:rPr>
          <w:bCs/>
          <w:color w:val="31849B" w:themeColor="accent5" w:themeShade="BF"/>
          <w:sz w:val="36"/>
          <w:szCs w:val="36"/>
          <w:lang w:eastAsia="en-AU"/>
        </w:rPr>
        <w:lastRenderedPageBreak/>
        <w:t>Glossary</w:t>
      </w:r>
      <w:bookmarkEnd w:id="9"/>
      <w:r w:rsidRPr="00293484">
        <w:rPr>
          <w:bCs/>
          <w:color w:val="31849B" w:themeColor="accent5" w:themeShade="BF"/>
          <w:sz w:val="36"/>
          <w:szCs w:val="36"/>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lossary "/>
      </w:tblPr>
      <w:tblGrid>
        <w:gridCol w:w="1728"/>
        <w:gridCol w:w="7322"/>
      </w:tblGrid>
      <w:tr w:rsidR="00D778B8" w:rsidRPr="00D778B8" w:rsidTr="0036753F">
        <w:trPr>
          <w:tblHeader/>
        </w:trPr>
        <w:tc>
          <w:tcPr>
            <w:tcW w:w="0" w:type="auto"/>
          </w:tcPr>
          <w:p w:rsidR="00D778B8" w:rsidRPr="00D778B8" w:rsidRDefault="00D778B8" w:rsidP="00D778B8">
            <w:pPr>
              <w:rPr>
                <w:b/>
                <w:color w:val="31849B" w:themeColor="accent5" w:themeShade="BF"/>
              </w:rPr>
            </w:pPr>
            <w:r w:rsidRPr="00D778B8">
              <w:rPr>
                <w:b/>
                <w:color w:val="31849B" w:themeColor="accent5" w:themeShade="BF"/>
              </w:rPr>
              <w:t>Term</w:t>
            </w:r>
          </w:p>
        </w:tc>
        <w:tc>
          <w:tcPr>
            <w:tcW w:w="0" w:type="auto"/>
          </w:tcPr>
          <w:p w:rsidR="00D778B8" w:rsidRPr="00D778B8" w:rsidRDefault="00D778B8" w:rsidP="00D778B8">
            <w:pPr>
              <w:rPr>
                <w:b/>
                <w:color w:val="31849B" w:themeColor="accent5" w:themeShade="BF"/>
              </w:rPr>
            </w:pPr>
            <w:r w:rsidRPr="00D778B8">
              <w:rPr>
                <w:b/>
                <w:color w:val="31849B" w:themeColor="accent5" w:themeShade="BF"/>
              </w:rPr>
              <w:t>Definition</w:t>
            </w:r>
          </w:p>
        </w:tc>
      </w:tr>
      <w:tr w:rsidR="00430301" w:rsidTr="00D778B8">
        <w:tc>
          <w:tcPr>
            <w:tcW w:w="0" w:type="auto"/>
          </w:tcPr>
          <w:p w:rsidR="00430301" w:rsidRDefault="00430301" w:rsidP="003E4556">
            <w:pPr>
              <w:spacing w:after="120"/>
            </w:pPr>
            <w:r>
              <w:t xml:space="preserve">2014-19 regulatory control period </w:t>
            </w:r>
          </w:p>
        </w:tc>
        <w:tc>
          <w:tcPr>
            <w:tcW w:w="0" w:type="auto"/>
          </w:tcPr>
          <w:p w:rsidR="00430301" w:rsidRDefault="00430301" w:rsidP="003E4556">
            <w:pPr>
              <w:spacing w:after="120"/>
            </w:pPr>
            <w:r>
              <w:t>The regulatory control period fr</w:t>
            </w:r>
            <w:r w:rsidR="00CE279F">
              <w:t>om 1 July 2014 to 30 June 2019</w:t>
            </w:r>
          </w:p>
        </w:tc>
      </w:tr>
      <w:tr w:rsidR="00430301" w:rsidTr="00D778B8">
        <w:tc>
          <w:tcPr>
            <w:tcW w:w="0" w:type="auto"/>
          </w:tcPr>
          <w:p w:rsidR="00430301" w:rsidRDefault="00430301" w:rsidP="00D81B21">
            <w:pPr>
              <w:spacing w:after="120"/>
            </w:pPr>
            <w:r>
              <w:t xml:space="preserve">2014 </w:t>
            </w:r>
            <w:r w:rsidR="00D81B21">
              <w:t>NPD</w:t>
            </w:r>
          </w:p>
        </w:tc>
        <w:tc>
          <w:tcPr>
            <w:tcW w:w="0" w:type="auto"/>
          </w:tcPr>
          <w:p w:rsidR="00430301" w:rsidRDefault="00430301" w:rsidP="003E4556">
            <w:pPr>
              <w:spacing w:after="120"/>
            </w:pPr>
            <w:r>
              <w:t>The Network Price Determination relating to the supply of regulated network access services during the 20</w:t>
            </w:r>
            <w:r w:rsidR="00CE279F">
              <w:t>14-19 regulatory control period</w:t>
            </w:r>
            <w:r>
              <w:t xml:space="preserve"> </w:t>
            </w:r>
          </w:p>
        </w:tc>
      </w:tr>
      <w:tr w:rsidR="00ED75BA" w:rsidTr="00D778B8">
        <w:tc>
          <w:tcPr>
            <w:tcW w:w="0" w:type="auto"/>
          </w:tcPr>
          <w:p w:rsidR="00ED75BA" w:rsidRDefault="00ED75BA" w:rsidP="003E4556">
            <w:pPr>
              <w:spacing w:after="120"/>
            </w:pPr>
            <w:r>
              <w:t>ACS</w:t>
            </w:r>
          </w:p>
        </w:tc>
        <w:tc>
          <w:tcPr>
            <w:tcW w:w="0" w:type="auto"/>
          </w:tcPr>
          <w:p w:rsidR="00ED75BA" w:rsidRDefault="00ED75BA" w:rsidP="0098791F">
            <w:pPr>
              <w:spacing w:after="120"/>
            </w:pPr>
            <w:r>
              <w:t>Alternative Control Service (</w:t>
            </w:r>
            <w:r w:rsidR="00CE279F">
              <w:t>a</w:t>
            </w:r>
            <w:r w:rsidR="0098791F">
              <w:t xml:space="preserve"> term used by PWC internally to describe </w:t>
            </w:r>
            <w:r>
              <w:t>Excluded Network Access Services)</w:t>
            </w:r>
          </w:p>
        </w:tc>
      </w:tr>
      <w:tr w:rsidR="00430301" w:rsidTr="00D778B8">
        <w:tc>
          <w:tcPr>
            <w:tcW w:w="0" w:type="auto"/>
          </w:tcPr>
          <w:p w:rsidR="00430301" w:rsidRDefault="00430301" w:rsidP="003E4556">
            <w:pPr>
              <w:spacing w:after="120"/>
            </w:pPr>
            <w:r>
              <w:t>AER</w:t>
            </w:r>
          </w:p>
        </w:tc>
        <w:tc>
          <w:tcPr>
            <w:tcW w:w="0" w:type="auto"/>
          </w:tcPr>
          <w:p w:rsidR="00430301" w:rsidRDefault="00430301" w:rsidP="00CE279F">
            <w:pPr>
              <w:spacing w:after="120"/>
            </w:pPr>
            <w:r>
              <w:t xml:space="preserve">The Australian Energy Regulator, which is established by section 44E of the </w:t>
            </w:r>
            <w:r w:rsidRPr="00FA0D02">
              <w:rPr>
                <w:i/>
              </w:rPr>
              <w:t>Competition and Consumer Act 2010</w:t>
            </w:r>
            <w:r>
              <w:t xml:space="preserve"> (</w:t>
            </w:r>
            <w:r w:rsidR="00CE279F">
              <w:t>Commonwealth)</w:t>
            </w:r>
          </w:p>
        </w:tc>
      </w:tr>
      <w:tr w:rsidR="00FD6567" w:rsidTr="00D778B8">
        <w:tc>
          <w:tcPr>
            <w:tcW w:w="0" w:type="auto"/>
          </w:tcPr>
          <w:p w:rsidR="00FD6567" w:rsidRDefault="00FD6567" w:rsidP="003E4556">
            <w:pPr>
              <w:spacing w:after="120"/>
            </w:pPr>
            <w:r>
              <w:t>ARMC</w:t>
            </w:r>
          </w:p>
        </w:tc>
        <w:tc>
          <w:tcPr>
            <w:tcW w:w="0" w:type="auto"/>
          </w:tcPr>
          <w:p w:rsidR="00FD6567" w:rsidRDefault="00FD6567" w:rsidP="003E4556">
            <w:pPr>
              <w:spacing w:after="120"/>
            </w:pPr>
            <w:r>
              <w:t>PWC’s Audit and Risk Management Committee</w:t>
            </w:r>
          </w:p>
        </w:tc>
      </w:tr>
      <w:tr w:rsidR="00FD6567" w:rsidTr="00D778B8">
        <w:tc>
          <w:tcPr>
            <w:tcW w:w="0" w:type="auto"/>
          </w:tcPr>
          <w:p w:rsidR="00FD6567" w:rsidRDefault="00FD6567" w:rsidP="003E4556">
            <w:pPr>
              <w:spacing w:after="120"/>
            </w:pPr>
            <w:r>
              <w:t>ELT</w:t>
            </w:r>
          </w:p>
        </w:tc>
        <w:tc>
          <w:tcPr>
            <w:tcW w:w="0" w:type="auto"/>
          </w:tcPr>
          <w:p w:rsidR="00FD6567" w:rsidRDefault="00FD6567" w:rsidP="003E4556">
            <w:pPr>
              <w:spacing w:after="120"/>
            </w:pPr>
            <w:r>
              <w:t>PWC’s Executive Leadership Team</w:t>
            </w:r>
          </w:p>
        </w:tc>
      </w:tr>
      <w:tr w:rsidR="00C32CB0" w:rsidTr="00D778B8">
        <w:tc>
          <w:tcPr>
            <w:tcW w:w="0" w:type="auto"/>
          </w:tcPr>
          <w:p w:rsidR="00C32CB0" w:rsidRDefault="00C32CB0" w:rsidP="00ED75BA">
            <w:pPr>
              <w:spacing w:after="120"/>
            </w:pPr>
            <w:r>
              <w:t>ERA</w:t>
            </w:r>
          </w:p>
        </w:tc>
        <w:tc>
          <w:tcPr>
            <w:tcW w:w="0" w:type="auto"/>
          </w:tcPr>
          <w:p w:rsidR="00C32CB0" w:rsidRPr="00C32CB0" w:rsidRDefault="00C32CB0" w:rsidP="009D3E4B">
            <w:pPr>
              <w:spacing w:after="120"/>
              <w:rPr>
                <w:i/>
              </w:rPr>
            </w:pPr>
            <w:r w:rsidRPr="00C32CB0">
              <w:rPr>
                <w:i/>
              </w:rPr>
              <w:t>Electricity Reform Act</w:t>
            </w:r>
          </w:p>
        </w:tc>
      </w:tr>
      <w:tr w:rsidR="00430301" w:rsidTr="00D778B8">
        <w:tc>
          <w:tcPr>
            <w:tcW w:w="0" w:type="auto"/>
          </w:tcPr>
          <w:p w:rsidR="00430301" w:rsidRDefault="00430301" w:rsidP="00ED75BA">
            <w:pPr>
              <w:spacing w:after="120"/>
            </w:pPr>
            <w:r>
              <w:t xml:space="preserve">Excluded </w:t>
            </w:r>
            <w:r w:rsidR="00ED75BA">
              <w:t>N</w:t>
            </w:r>
            <w:r>
              <w:t xml:space="preserve">etwork </w:t>
            </w:r>
            <w:r w:rsidR="00ED75BA">
              <w:t>A</w:t>
            </w:r>
            <w:r>
              <w:t xml:space="preserve">ccess </w:t>
            </w:r>
            <w:r w:rsidR="00ED75BA">
              <w:t>S</w:t>
            </w:r>
            <w:r>
              <w:t xml:space="preserve">ervices </w:t>
            </w:r>
          </w:p>
        </w:tc>
        <w:tc>
          <w:tcPr>
            <w:tcW w:w="0" w:type="auto"/>
          </w:tcPr>
          <w:p w:rsidR="00430301" w:rsidRDefault="00430301" w:rsidP="00D81B21">
            <w:pPr>
              <w:spacing w:after="120"/>
            </w:pPr>
            <w:r>
              <w:t xml:space="preserve">The services specified in Schedule 3 of the 2014 </w:t>
            </w:r>
            <w:r w:rsidR="00D81B21">
              <w:t>NPD</w:t>
            </w:r>
            <w:r>
              <w:t xml:space="preserve"> which are services supplied by PWC Networks for which the associated costs and revenue are excluded from the 20</w:t>
            </w:r>
            <w:r w:rsidR="00CE279F">
              <w:t xml:space="preserve">14 </w:t>
            </w:r>
            <w:r w:rsidR="00D81B21">
              <w:t>NPD</w:t>
            </w:r>
            <w:r>
              <w:t xml:space="preserve"> </w:t>
            </w:r>
          </w:p>
        </w:tc>
      </w:tr>
      <w:tr w:rsidR="00430301" w:rsidTr="00D778B8">
        <w:tc>
          <w:tcPr>
            <w:tcW w:w="0" w:type="auto"/>
          </w:tcPr>
          <w:p w:rsidR="00430301" w:rsidRDefault="00430301" w:rsidP="003E4556">
            <w:pPr>
              <w:spacing w:after="120"/>
            </w:pPr>
            <w:r>
              <w:t>Fee-based service</w:t>
            </w:r>
          </w:p>
        </w:tc>
        <w:tc>
          <w:tcPr>
            <w:tcW w:w="0" w:type="auto"/>
          </w:tcPr>
          <w:p w:rsidR="00430301" w:rsidRDefault="00430301" w:rsidP="008E1ED2">
            <w:pPr>
              <w:spacing w:after="120"/>
            </w:pPr>
            <w:r>
              <w:t xml:space="preserve">A type of </w:t>
            </w:r>
            <w:r w:rsidR="008E1ED2">
              <w:t xml:space="preserve">service </w:t>
            </w:r>
            <w:r>
              <w:t xml:space="preserve">included under </w:t>
            </w:r>
            <w:r w:rsidR="00ED75BA">
              <w:t>E</w:t>
            </w:r>
            <w:r>
              <w:t xml:space="preserve">xcluded </w:t>
            </w:r>
            <w:r w:rsidR="00ED75BA">
              <w:t>N</w:t>
            </w:r>
            <w:r>
              <w:t xml:space="preserve">etwork </w:t>
            </w:r>
            <w:r w:rsidR="00ED75BA">
              <w:t>A</w:t>
            </w:r>
            <w:r>
              <w:t xml:space="preserve">ccess </w:t>
            </w:r>
            <w:r w:rsidR="00ED75BA">
              <w:t>S</w:t>
            </w:r>
            <w:r w:rsidR="00CE279F">
              <w:t>ervices</w:t>
            </w:r>
            <w:r w:rsidR="008E1ED2">
              <w:t xml:space="preserve"> </w:t>
            </w:r>
            <w:r w:rsidR="008E1ED2" w:rsidRPr="008E1ED2">
              <w:t>for which the cost of providing the service is known and for which a schedule of fees can be published</w:t>
            </w:r>
          </w:p>
        </w:tc>
      </w:tr>
      <w:tr w:rsidR="005149B8" w:rsidTr="00D778B8">
        <w:tc>
          <w:tcPr>
            <w:tcW w:w="0" w:type="auto"/>
          </w:tcPr>
          <w:p w:rsidR="005149B8" w:rsidRDefault="005149B8" w:rsidP="003E4556">
            <w:pPr>
              <w:spacing w:after="120"/>
            </w:pPr>
            <w:r>
              <w:t>GRACE</w:t>
            </w:r>
          </w:p>
        </w:tc>
        <w:tc>
          <w:tcPr>
            <w:tcW w:w="0" w:type="auto"/>
          </w:tcPr>
          <w:p w:rsidR="005149B8" w:rsidRDefault="005149B8" w:rsidP="001347DE">
            <w:pPr>
              <w:spacing w:after="120"/>
            </w:pPr>
            <w:r>
              <w:t>Power and Water Corporation’s</w:t>
            </w:r>
            <w:r w:rsidR="001347DE">
              <w:t xml:space="preserve"> event management system (</w:t>
            </w:r>
            <w:r>
              <w:t xml:space="preserve">Governance, Risk, </w:t>
            </w:r>
            <w:r w:rsidR="001347DE">
              <w:t xml:space="preserve">Audit, Compliance and Event Management) </w:t>
            </w:r>
          </w:p>
        </w:tc>
      </w:tr>
      <w:tr w:rsidR="00694E05" w:rsidTr="00D778B8">
        <w:tc>
          <w:tcPr>
            <w:tcW w:w="0" w:type="auto"/>
          </w:tcPr>
          <w:p w:rsidR="00694E05" w:rsidRDefault="00694E05" w:rsidP="003E4556">
            <w:pPr>
              <w:spacing w:after="120"/>
            </w:pPr>
            <w:r>
              <w:t>Jacana Energy</w:t>
            </w:r>
          </w:p>
        </w:tc>
        <w:tc>
          <w:tcPr>
            <w:tcW w:w="0" w:type="auto"/>
          </w:tcPr>
          <w:p w:rsidR="00694E05" w:rsidRDefault="00694E05" w:rsidP="003E4556">
            <w:pPr>
              <w:spacing w:after="120"/>
            </w:pPr>
            <w:r>
              <w:t>Power Retail Corporation, a government owned corporation established in accordance with the Government Owned Corporations Act and trading as Jacana Energy</w:t>
            </w:r>
          </w:p>
        </w:tc>
      </w:tr>
      <w:tr w:rsidR="00430301" w:rsidTr="00D778B8">
        <w:tc>
          <w:tcPr>
            <w:tcW w:w="0" w:type="auto"/>
          </w:tcPr>
          <w:p w:rsidR="00430301" w:rsidRDefault="00430301" w:rsidP="003E4556">
            <w:pPr>
              <w:spacing w:after="120"/>
            </w:pPr>
            <w:r>
              <w:t>Network Access Code</w:t>
            </w:r>
          </w:p>
        </w:tc>
        <w:tc>
          <w:tcPr>
            <w:tcW w:w="0" w:type="auto"/>
          </w:tcPr>
          <w:p w:rsidR="00430301" w:rsidRDefault="00430301" w:rsidP="003E4556">
            <w:pPr>
              <w:spacing w:after="120"/>
            </w:pPr>
            <w:r>
              <w:t xml:space="preserve">The Electricity Networks (Third Party Access) Code, which is a schedule to the </w:t>
            </w:r>
            <w:r w:rsidRPr="00CE279F">
              <w:rPr>
                <w:i/>
              </w:rPr>
              <w:t>Electricity Net</w:t>
            </w:r>
            <w:r w:rsidR="00CE279F" w:rsidRPr="00CE279F">
              <w:rPr>
                <w:i/>
              </w:rPr>
              <w:t>works (Third Party Access) Act</w:t>
            </w:r>
          </w:p>
        </w:tc>
      </w:tr>
      <w:tr w:rsidR="00430301" w:rsidTr="00D778B8">
        <w:tc>
          <w:tcPr>
            <w:tcW w:w="0" w:type="auto"/>
          </w:tcPr>
          <w:p w:rsidR="00430301" w:rsidRDefault="00430301" w:rsidP="003E4556">
            <w:pPr>
              <w:spacing w:after="120"/>
            </w:pPr>
            <w:r>
              <w:t>Network service provider</w:t>
            </w:r>
          </w:p>
        </w:tc>
        <w:tc>
          <w:tcPr>
            <w:tcW w:w="0" w:type="auto"/>
          </w:tcPr>
          <w:p w:rsidR="00430301" w:rsidRDefault="00430301" w:rsidP="003E4556">
            <w:pPr>
              <w:spacing w:after="120"/>
            </w:pPr>
            <w:r>
              <w:t xml:space="preserve">Holder of a licence granted by the Commission to provide electricity network services in the Northern </w:t>
            </w:r>
            <w:r w:rsidR="00CE279F">
              <w:t>Territory</w:t>
            </w:r>
          </w:p>
        </w:tc>
      </w:tr>
      <w:tr w:rsidR="00430301" w:rsidTr="00D778B8">
        <w:tc>
          <w:tcPr>
            <w:tcW w:w="0" w:type="auto"/>
          </w:tcPr>
          <w:p w:rsidR="00430301" w:rsidRDefault="00430301" w:rsidP="003E4556">
            <w:pPr>
              <w:spacing w:after="120"/>
            </w:pPr>
            <w:r>
              <w:t>Quoted service</w:t>
            </w:r>
          </w:p>
        </w:tc>
        <w:tc>
          <w:tcPr>
            <w:tcW w:w="0" w:type="auto"/>
          </w:tcPr>
          <w:p w:rsidR="00430301" w:rsidRDefault="00430301" w:rsidP="008E1ED2">
            <w:pPr>
              <w:spacing w:after="120"/>
            </w:pPr>
            <w:r>
              <w:t xml:space="preserve">A type of </w:t>
            </w:r>
            <w:r w:rsidR="008E1ED2">
              <w:t xml:space="preserve">service </w:t>
            </w:r>
            <w:r>
              <w:t>included under e</w:t>
            </w:r>
            <w:r w:rsidR="00CE279F">
              <w:t>xcluded network access services</w:t>
            </w:r>
            <w:r w:rsidR="008E1ED2">
              <w:t xml:space="preserve"> </w:t>
            </w:r>
            <w:r w:rsidR="008E1ED2" w:rsidRPr="008E1ED2">
              <w:t xml:space="preserve">where the scale and scope of each individual service is initially unknown and for which an assessment must be made of the work involved to </w:t>
            </w:r>
            <w:r w:rsidR="00DB5813" w:rsidRPr="008E1ED2">
              <w:t>determine</w:t>
            </w:r>
            <w:r w:rsidR="008E1ED2" w:rsidRPr="008E1ED2">
              <w:t xml:space="preserve"> the cost of delivery and a quote provided</w:t>
            </w:r>
            <w:r w:rsidR="00DB5813">
              <w:t xml:space="preserve"> to the customer</w:t>
            </w:r>
          </w:p>
        </w:tc>
      </w:tr>
    </w:tbl>
    <w:p w:rsidR="00606A20" w:rsidRDefault="00606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lossary"/>
      </w:tblPr>
      <w:tblGrid>
        <w:gridCol w:w="2125"/>
        <w:gridCol w:w="6925"/>
      </w:tblGrid>
      <w:tr w:rsidR="0036753F" w:rsidTr="0036753F">
        <w:trPr>
          <w:tblHeader/>
        </w:trPr>
        <w:tc>
          <w:tcPr>
            <w:tcW w:w="0" w:type="auto"/>
          </w:tcPr>
          <w:p w:rsidR="0036753F" w:rsidRPr="00D778B8" w:rsidRDefault="0036753F" w:rsidP="0036753F">
            <w:pPr>
              <w:rPr>
                <w:b/>
                <w:color w:val="31849B" w:themeColor="accent5" w:themeShade="BF"/>
              </w:rPr>
            </w:pPr>
            <w:r w:rsidRPr="00D778B8">
              <w:rPr>
                <w:b/>
                <w:color w:val="31849B" w:themeColor="accent5" w:themeShade="BF"/>
              </w:rPr>
              <w:lastRenderedPageBreak/>
              <w:t>Term</w:t>
            </w:r>
          </w:p>
        </w:tc>
        <w:tc>
          <w:tcPr>
            <w:tcW w:w="0" w:type="auto"/>
          </w:tcPr>
          <w:p w:rsidR="0036753F" w:rsidRPr="00D778B8" w:rsidRDefault="0036753F" w:rsidP="0036753F">
            <w:pPr>
              <w:rPr>
                <w:b/>
                <w:color w:val="31849B" w:themeColor="accent5" w:themeShade="BF"/>
              </w:rPr>
            </w:pPr>
            <w:r w:rsidRPr="00D778B8">
              <w:rPr>
                <w:b/>
                <w:color w:val="31849B" w:themeColor="accent5" w:themeShade="BF"/>
              </w:rPr>
              <w:t>Definition</w:t>
            </w:r>
          </w:p>
        </w:tc>
      </w:tr>
      <w:tr w:rsidR="00430301" w:rsidTr="0036753F">
        <w:trPr>
          <w:tblHeader/>
        </w:trPr>
        <w:tc>
          <w:tcPr>
            <w:tcW w:w="0" w:type="auto"/>
          </w:tcPr>
          <w:p w:rsidR="00430301" w:rsidRDefault="00430301" w:rsidP="003E4556">
            <w:pPr>
              <w:spacing w:after="120"/>
            </w:pPr>
            <w:r>
              <w:t>Regulated network access services</w:t>
            </w:r>
          </w:p>
        </w:tc>
        <w:tc>
          <w:tcPr>
            <w:tcW w:w="0" w:type="auto"/>
          </w:tcPr>
          <w:p w:rsidR="00430301" w:rsidRDefault="00430301" w:rsidP="003E4556">
            <w:pPr>
              <w:spacing w:after="120"/>
            </w:pPr>
            <w:r>
              <w:t>Has the meaning gi</w:t>
            </w:r>
            <w:r w:rsidR="00CE279F">
              <w:t>ven in the Network Access Code</w:t>
            </w:r>
          </w:p>
        </w:tc>
      </w:tr>
      <w:tr w:rsidR="00430301" w:rsidTr="0036753F">
        <w:trPr>
          <w:tblHeader/>
        </w:trPr>
        <w:tc>
          <w:tcPr>
            <w:tcW w:w="0" w:type="auto"/>
          </w:tcPr>
          <w:p w:rsidR="00430301" w:rsidRDefault="00430301" w:rsidP="003E4556">
            <w:pPr>
              <w:spacing w:after="120"/>
            </w:pPr>
            <w:r>
              <w:t>Regulatory control period</w:t>
            </w:r>
          </w:p>
        </w:tc>
        <w:tc>
          <w:tcPr>
            <w:tcW w:w="0" w:type="auto"/>
          </w:tcPr>
          <w:p w:rsidR="00430301" w:rsidRDefault="00430301" w:rsidP="003E4556">
            <w:pPr>
              <w:spacing w:after="120"/>
            </w:pPr>
            <w:r>
              <w:t>The period between major network access service price reviews during which time the methodology used in setting prices for regulated network ac</w:t>
            </w:r>
            <w:r w:rsidR="00CE279F">
              <w:t>cess services is held constant</w:t>
            </w:r>
          </w:p>
        </w:tc>
      </w:tr>
      <w:tr w:rsidR="00430301" w:rsidTr="0036753F">
        <w:trPr>
          <w:tblHeader/>
        </w:trPr>
        <w:tc>
          <w:tcPr>
            <w:tcW w:w="0" w:type="auto"/>
          </w:tcPr>
          <w:p w:rsidR="00430301" w:rsidRDefault="00430301" w:rsidP="003E4556">
            <w:pPr>
              <w:spacing w:after="120"/>
            </w:pPr>
            <w:r>
              <w:t xml:space="preserve">Revenue cap </w:t>
            </w:r>
          </w:p>
        </w:tc>
        <w:tc>
          <w:tcPr>
            <w:tcW w:w="0" w:type="auto"/>
          </w:tcPr>
          <w:p w:rsidR="00430301" w:rsidRDefault="00430301" w:rsidP="003E4556">
            <w:pPr>
              <w:spacing w:after="120"/>
            </w:pPr>
            <w:r>
              <w:t>Has the meaning gi</w:t>
            </w:r>
            <w:r w:rsidR="00CE279F">
              <w:t>ven in the Network Access Code</w:t>
            </w:r>
          </w:p>
        </w:tc>
      </w:tr>
      <w:tr w:rsidR="00430301" w:rsidTr="0036753F">
        <w:trPr>
          <w:tblHeader/>
        </w:trPr>
        <w:tc>
          <w:tcPr>
            <w:tcW w:w="0" w:type="auto"/>
          </w:tcPr>
          <w:p w:rsidR="00430301" w:rsidRDefault="00430301" w:rsidP="003E4556">
            <w:pPr>
              <w:spacing w:after="120"/>
            </w:pPr>
            <w:r>
              <w:t>Standard metering connection</w:t>
            </w:r>
          </w:p>
        </w:tc>
        <w:tc>
          <w:tcPr>
            <w:tcW w:w="0" w:type="auto"/>
          </w:tcPr>
          <w:p w:rsidR="00430301" w:rsidRDefault="00430301" w:rsidP="008E1ED2">
            <w:pPr>
              <w:spacing w:after="120"/>
            </w:pPr>
            <w:r>
              <w:t xml:space="preserve">A type of service classified under regulated network access services, and for which revenue is recovered under the total revenue requirement and revenue cap made under the </w:t>
            </w:r>
            <w:r w:rsidR="008E1ED2">
              <w:t>2014 NPD</w:t>
            </w:r>
          </w:p>
        </w:tc>
      </w:tr>
      <w:tr w:rsidR="00430301" w:rsidTr="0036753F">
        <w:trPr>
          <w:tblHeader/>
        </w:trPr>
        <w:tc>
          <w:tcPr>
            <w:tcW w:w="0" w:type="auto"/>
          </w:tcPr>
          <w:p w:rsidR="00430301" w:rsidRDefault="00430301" w:rsidP="003E4556">
            <w:pPr>
              <w:spacing w:after="120"/>
            </w:pPr>
            <w:r>
              <w:t>Total revenue requirement</w:t>
            </w:r>
          </w:p>
        </w:tc>
        <w:tc>
          <w:tcPr>
            <w:tcW w:w="0" w:type="auto"/>
          </w:tcPr>
          <w:p w:rsidR="00430301" w:rsidRDefault="00430301" w:rsidP="008E1ED2">
            <w:pPr>
              <w:spacing w:after="120"/>
            </w:pPr>
            <w:r>
              <w:t>An amount representing the revenue calculated for the whole of the 2014-19 regulatory control period in accordance with t</w:t>
            </w:r>
            <w:r w:rsidR="00CE279F">
              <w:t xml:space="preserve">he </w:t>
            </w:r>
            <w:r w:rsidR="008E1ED2">
              <w:t>2014 NPD</w:t>
            </w:r>
          </w:p>
        </w:tc>
      </w:tr>
      <w:tr w:rsidR="002F2646" w:rsidTr="0036753F">
        <w:trPr>
          <w:tblHeader/>
        </w:trPr>
        <w:tc>
          <w:tcPr>
            <w:tcW w:w="0" w:type="auto"/>
          </w:tcPr>
          <w:p w:rsidR="002F2646" w:rsidRDefault="002F2646" w:rsidP="003B7955">
            <w:pPr>
              <w:spacing w:after="120"/>
            </w:pPr>
            <w:r>
              <w:t>UC Act</w:t>
            </w:r>
          </w:p>
        </w:tc>
        <w:tc>
          <w:tcPr>
            <w:tcW w:w="0" w:type="auto"/>
          </w:tcPr>
          <w:p w:rsidR="002F2646" w:rsidRPr="002F2646" w:rsidRDefault="002F2646" w:rsidP="003B7955">
            <w:pPr>
              <w:spacing w:after="120"/>
              <w:rPr>
                <w:i/>
              </w:rPr>
            </w:pPr>
            <w:r w:rsidRPr="002F2646">
              <w:rPr>
                <w:i/>
              </w:rPr>
              <w:t>Utilities Commission Act</w:t>
            </w:r>
          </w:p>
        </w:tc>
      </w:tr>
    </w:tbl>
    <w:p w:rsidR="00430301" w:rsidRDefault="00430301" w:rsidP="00293484">
      <w:pPr>
        <w:pStyle w:val="NumberLevel1"/>
        <w:tabs>
          <w:tab w:val="num" w:pos="2559"/>
        </w:tabs>
        <w:spacing w:before="700"/>
        <w:sectPr w:rsidR="00430301" w:rsidSect="008320EB">
          <w:headerReference w:type="default" r:id="rId18"/>
          <w:pgSz w:w="11906" w:h="16838"/>
          <w:pgMar w:top="1522" w:right="1416" w:bottom="851" w:left="1440" w:header="708" w:footer="335" w:gutter="0"/>
          <w:pgNumType w:fmt="lowerRoman"/>
          <w:cols w:space="708"/>
          <w:titlePg/>
          <w:docGrid w:linePitch="360"/>
        </w:sectPr>
      </w:pPr>
    </w:p>
    <w:p w:rsidR="000D494B" w:rsidRDefault="00680690" w:rsidP="007C1597">
      <w:pPr>
        <w:pStyle w:val="UtilComHeading2"/>
        <w:spacing w:before="600"/>
        <w:rPr>
          <w:bCs/>
          <w:color w:val="31849B" w:themeColor="accent5" w:themeShade="BF"/>
          <w:sz w:val="36"/>
          <w:szCs w:val="36"/>
          <w:lang w:eastAsia="en-AU"/>
        </w:rPr>
      </w:pPr>
      <w:bookmarkStart w:id="11" w:name="_Toc472078494"/>
      <w:r w:rsidRPr="00293484">
        <w:rPr>
          <w:bCs/>
          <w:color w:val="31849B" w:themeColor="accent5" w:themeShade="BF"/>
          <w:sz w:val="36"/>
          <w:szCs w:val="36"/>
          <w:lang w:eastAsia="en-AU"/>
        </w:rPr>
        <w:lastRenderedPageBreak/>
        <w:t xml:space="preserve">Chapter 1: </w:t>
      </w:r>
      <w:r w:rsidR="00CD6D6C" w:rsidRPr="00293484">
        <w:rPr>
          <w:bCs/>
          <w:color w:val="31849B" w:themeColor="accent5" w:themeShade="BF"/>
          <w:sz w:val="36"/>
          <w:szCs w:val="36"/>
          <w:lang w:eastAsia="en-AU"/>
        </w:rPr>
        <w:tab/>
      </w:r>
      <w:r w:rsidRPr="00293484">
        <w:rPr>
          <w:bCs/>
          <w:color w:val="31849B" w:themeColor="accent5" w:themeShade="BF"/>
          <w:sz w:val="36"/>
          <w:szCs w:val="36"/>
          <w:lang w:eastAsia="en-AU"/>
        </w:rPr>
        <w:t>Executive Summary</w:t>
      </w:r>
      <w:bookmarkEnd w:id="11"/>
    </w:p>
    <w:p w:rsidR="00293484" w:rsidRPr="00293484" w:rsidRDefault="00293484" w:rsidP="00AF483C">
      <w:pPr>
        <w:pStyle w:val="TOC2"/>
      </w:pPr>
    </w:p>
    <w:p w:rsidR="003856FB" w:rsidRDefault="003856FB" w:rsidP="00115194">
      <w:pPr>
        <w:pStyle w:val="ListParagraph"/>
        <w:numPr>
          <w:ilvl w:val="0"/>
          <w:numId w:val="36"/>
        </w:numPr>
        <w:tabs>
          <w:tab w:val="left" w:pos="4111"/>
        </w:tabs>
        <w:spacing w:before="200" w:after="200"/>
        <w:ind w:hanging="709"/>
        <w:contextualSpacing w:val="0"/>
      </w:pPr>
      <w:r>
        <w:t xml:space="preserve">In February 2016, the Commission was made aware </w:t>
      </w:r>
      <w:r w:rsidR="00300AAC">
        <w:t xml:space="preserve">through discussions with Jacana Energy </w:t>
      </w:r>
      <w:r>
        <w:t>of a possible breach by Power and Water Corporation (PWC) of the 2014</w:t>
      </w:r>
      <w:r w:rsidR="00300AAC">
        <w:t> </w:t>
      </w:r>
      <w:r>
        <w:t>Network Price Determination (NPD) in relation to standard network connections.</w:t>
      </w:r>
      <w:r w:rsidRPr="00F72B1F">
        <w:t xml:space="preserve"> </w:t>
      </w:r>
    </w:p>
    <w:p w:rsidR="003856FB" w:rsidRDefault="003856FB" w:rsidP="00115194">
      <w:pPr>
        <w:pStyle w:val="ListParagraph"/>
        <w:numPr>
          <w:ilvl w:val="0"/>
          <w:numId w:val="36"/>
        </w:numPr>
        <w:spacing w:before="200" w:after="200"/>
        <w:ind w:hanging="709"/>
        <w:contextualSpacing w:val="0"/>
      </w:pPr>
      <w:r>
        <w:t>The 2014 NPD is the Co</w:t>
      </w:r>
      <w:r w:rsidR="007C1597">
        <w:t xml:space="preserve">mmission’s final determination </w:t>
      </w:r>
      <w:r>
        <w:t>made under clause 66 of the Network Access Code</w:t>
      </w:r>
      <w:r w:rsidR="00115194">
        <w:t xml:space="preserve"> </w:t>
      </w:r>
      <w:r>
        <w:t xml:space="preserve">in relation to the maximum allowed revenue that PWC can recover from the provision of regulated network access services during the 2014-19 regulatory period. </w:t>
      </w:r>
      <w:r w:rsidR="007A568B">
        <w:t>Following inquires made by the Commission</w:t>
      </w:r>
      <w:r w:rsidR="00B42487">
        <w:t xml:space="preserve">, </w:t>
      </w:r>
      <w:r>
        <w:t xml:space="preserve">PWC wrote to the Commission in March 2016 and advised that it had “breached the parameters of the 2014 NPD”. </w:t>
      </w:r>
    </w:p>
    <w:p w:rsidR="004441D3" w:rsidRDefault="007A568B" w:rsidP="004441D3">
      <w:pPr>
        <w:pStyle w:val="ListParagraph"/>
        <w:numPr>
          <w:ilvl w:val="0"/>
          <w:numId w:val="36"/>
        </w:numPr>
        <w:spacing w:before="200" w:after="200"/>
        <w:ind w:hanging="709"/>
        <w:contextualSpacing w:val="0"/>
      </w:pPr>
      <w:r>
        <w:t xml:space="preserve">The NPD breach added to </w:t>
      </w:r>
      <w:r w:rsidR="00BB1C4D">
        <w:t xml:space="preserve">existing </w:t>
      </w:r>
      <w:r>
        <w:t xml:space="preserve">concerns </w:t>
      </w:r>
      <w:r w:rsidR="00BB1C4D">
        <w:t xml:space="preserve">of the Commission </w:t>
      </w:r>
      <w:r>
        <w:t>in relation to PWC’s compliance framework highlighted in recent audits</w:t>
      </w:r>
      <w:r w:rsidR="00300AAC">
        <w:t>,</w:t>
      </w:r>
      <w:r>
        <w:t xml:space="preserve"> </w:t>
      </w:r>
      <w:r w:rsidR="003E5EA7">
        <w:t xml:space="preserve">including the </w:t>
      </w:r>
      <w:r w:rsidR="00CA44BF" w:rsidRPr="00694E05">
        <w:rPr>
          <w:szCs w:val="22"/>
        </w:rPr>
        <w:t xml:space="preserve">Commission’s independent investigation into the 12 March 2014 </w:t>
      </w:r>
      <w:r w:rsidR="00BB1C4D" w:rsidRPr="00694E05">
        <w:rPr>
          <w:szCs w:val="22"/>
        </w:rPr>
        <w:t xml:space="preserve">Darwin-Katherine </w:t>
      </w:r>
      <w:r w:rsidR="00CA44BF" w:rsidRPr="00694E05">
        <w:rPr>
          <w:szCs w:val="22"/>
        </w:rPr>
        <w:t>system black</w:t>
      </w:r>
      <w:r w:rsidR="00300AAC">
        <w:rPr>
          <w:rStyle w:val="FootnoteReference"/>
          <w:szCs w:val="22"/>
        </w:rPr>
        <w:footnoteReference w:id="2"/>
      </w:r>
      <w:r w:rsidR="00BB1C4D">
        <w:rPr>
          <w:szCs w:val="22"/>
        </w:rPr>
        <w:t>. Th</w:t>
      </w:r>
      <w:r>
        <w:rPr>
          <w:szCs w:val="22"/>
        </w:rPr>
        <w:t xml:space="preserve">e </w:t>
      </w:r>
      <w:r w:rsidR="004441D3" w:rsidRPr="00694E05">
        <w:rPr>
          <w:szCs w:val="22"/>
        </w:rPr>
        <w:t>Commission</w:t>
      </w:r>
      <w:r w:rsidR="00BB1C4D">
        <w:rPr>
          <w:szCs w:val="22"/>
        </w:rPr>
        <w:t xml:space="preserve">’s </w:t>
      </w:r>
      <w:r w:rsidR="004441D3" w:rsidRPr="00694E05">
        <w:rPr>
          <w:szCs w:val="22"/>
        </w:rPr>
        <w:t xml:space="preserve">audit </w:t>
      </w:r>
      <w:r w:rsidR="00BB1C4D">
        <w:rPr>
          <w:szCs w:val="22"/>
        </w:rPr>
        <w:t xml:space="preserve">in 2014 </w:t>
      </w:r>
      <w:r w:rsidR="004441D3" w:rsidRPr="00694E05">
        <w:rPr>
          <w:szCs w:val="22"/>
        </w:rPr>
        <w:t>of PWC</w:t>
      </w:r>
      <w:r w:rsidR="00BB1C4D">
        <w:rPr>
          <w:szCs w:val="22"/>
        </w:rPr>
        <w:t>’s</w:t>
      </w:r>
      <w:r w:rsidR="004441D3" w:rsidRPr="00694E05">
        <w:rPr>
          <w:szCs w:val="22"/>
        </w:rPr>
        <w:t xml:space="preserve"> compliance with</w:t>
      </w:r>
      <w:r w:rsidR="003C0428" w:rsidRPr="00694E05">
        <w:rPr>
          <w:szCs w:val="22"/>
        </w:rPr>
        <w:t xml:space="preserve"> </w:t>
      </w:r>
      <w:r w:rsidR="00694E05">
        <w:rPr>
          <w:szCs w:val="22"/>
        </w:rPr>
        <w:t>its</w:t>
      </w:r>
      <w:r w:rsidR="003C0428" w:rsidRPr="00694E05">
        <w:rPr>
          <w:szCs w:val="22"/>
        </w:rPr>
        <w:t xml:space="preserve"> respective</w:t>
      </w:r>
      <w:r w:rsidR="004441D3" w:rsidRPr="00694E05">
        <w:rPr>
          <w:szCs w:val="22"/>
        </w:rPr>
        <w:t xml:space="preserve"> technical obligations</w:t>
      </w:r>
      <w:r>
        <w:rPr>
          <w:szCs w:val="22"/>
        </w:rPr>
        <w:t xml:space="preserve"> identified </w:t>
      </w:r>
      <w:r w:rsidR="004441D3" w:rsidRPr="00694E05">
        <w:rPr>
          <w:szCs w:val="22"/>
        </w:rPr>
        <w:t>that PWC w</w:t>
      </w:r>
      <w:r w:rsidR="00694E05">
        <w:rPr>
          <w:szCs w:val="22"/>
        </w:rPr>
        <w:t xml:space="preserve">as </w:t>
      </w:r>
      <w:r w:rsidR="004441D3" w:rsidRPr="00694E05">
        <w:rPr>
          <w:szCs w:val="22"/>
        </w:rPr>
        <w:t>not compliant with the obligation to establish and maintain a compliance process</w:t>
      </w:r>
      <w:r>
        <w:rPr>
          <w:szCs w:val="22"/>
        </w:rPr>
        <w:t>.</w:t>
      </w:r>
    </w:p>
    <w:p w:rsidR="003A279E" w:rsidRDefault="003E5EA7" w:rsidP="004441D3">
      <w:pPr>
        <w:pStyle w:val="ListParagraph"/>
        <w:numPr>
          <w:ilvl w:val="0"/>
          <w:numId w:val="36"/>
        </w:numPr>
        <w:spacing w:before="200" w:after="200"/>
        <w:ind w:hanging="709"/>
        <w:contextualSpacing w:val="0"/>
      </w:pPr>
      <w:r>
        <w:t>T</w:t>
      </w:r>
      <w:r w:rsidR="004441D3">
        <w:t xml:space="preserve">he Commission raised </w:t>
      </w:r>
      <w:r w:rsidR="007A568B">
        <w:t xml:space="preserve">its concerns in 2014 and 2015 with the PWC </w:t>
      </w:r>
      <w:r w:rsidR="0099636E">
        <w:t xml:space="preserve">Board </w:t>
      </w:r>
      <w:r w:rsidR="004441D3">
        <w:t>and senior management and</w:t>
      </w:r>
      <w:r w:rsidR="003C0428">
        <w:t xml:space="preserve"> notified PWC that it would take</w:t>
      </w:r>
      <w:r w:rsidR="004441D3">
        <w:t xml:space="preserve"> a stronger approach to compliance including further audits of PWC</w:t>
      </w:r>
      <w:r w:rsidR="00D24A4D">
        <w:t>,</w:t>
      </w:r>
      <w:r w:rsidR="004441D3">
        <w:t xml:space="preserve"> and that the </w:t>
      </w:r>
      <w:r w:rsidR="00226B96">
        <w:t>PWC Board</w:t>
      </w:r>
      <w:r w:rsidR="004441D3">
        <w:t xml:space="preserve"> would be required to provide an annual declaration confirming it maintained robust and effective compliance programs. </w:t>
      </w:r>
    </w:p>
    <w:p w:rsidR="004441D3" w:rsidRDefault="004441D3" w:rsidP="004441D3">
      <w:pPr>
        <w:pStyle w:val="ListParagraph"/>
        <w:numPr>
          <w:ilvl w:val="0"/>
          <w:numId w:val="36"/>
        </w:numPr>
        <w:spacing w:before="200" w:after="200"/>
        <w:ind w:hanging="709"/>
        <w:contextualSpacing w:val="0"/>
      </w:pPr>
      <w:r>
        <w:t>In early 2015, new Compliance Framework and Reporting Guidelines w</w:t>
      </w:r>
      <w:r w:rsidR="00BB1C4D">
        <w:t xml:space="preserve">ere </w:t>
      </w:r>
      <w:r>
        <w:t>introduced which require</w:t>
      </w:r>
      <w:r w:rsidR="003C0428">
        <w:t>d</w:t>
      </w:r>
      <w:r>
        <w:t xml:space="preserve">, amongst other things, an annual declaration from the </w:t>
      </w:r>
      <w:r w:rsidR="00226B96">
        <w:t>PWC Board</w:t>
      </w:r>
      <w:r>
        <w:t xml:space="preserve"> and reporting of all regulatory breaches not just material breaches. </w:t>
      </w:r>
    </w:p>
    <w:p w:rsidR="00F72B1F" w:rsidRDefault="003C0428" w:rsidP="00CA194F">
      <w:pPr>
        <w:pStyle w:val="ListParagraph"/>
        <w:numPr>
          <w:ilvl w:val="0"/>
          <w:numId w:val="36"/>
        </w:numPr>
        <w:spacing w:before="200" w:after="200"/>
        <w:ind w:hanging="709"/>
        <w:contextualSpacing w:val="0"/>
      </w:pPr>
      <w:r>
        <w:t>PWC</w:t>
      </w:r>
      <w:r w:rsidR="0099636E">
        <w:t>’s</w:t>
      </w:r>
      <w:r>
        <w:t xml:space="preserve"> annual compliance report </w:t>
      </w:r>
      <w:r w:rsidR="00226B96">
        <w:t xml:space="preserve">for 2014-15 </w:t>
      </w:r>
      <w:r>
        <w:t>identified nine breaches of regulatory obligations, seven of which related to the 2014-15 financial year and two related to 2015-16.</w:t>
      </w:r>
      <w:r w:rsidR="00F72B1F">
        <w:t xml:space="preserve"> Eight of the breaches reported by PWC were not initially voluntarily reported by PWC and, in relation to the three material breaches, PWC did not report the breaches to the Commission in a timeframe that would reasonably be considered appropriate in accordance with the Commission’s Compliance Framework and Reporting Guidelines. </w:t>
      </w:r>
    </w:p>
    <w:p w:rsidR="00B3351C" w:rsidRDefault="00694E05" w:rsidP="00CA194F">
      <w:pPr>
        <w:pStyle w:val="ListParagraph"/>
        <w:numPr>
          <w:ilvl w:val="0"/>
          <w:numId w:val="36"/>
        </w:numPr>
        <w:spacing w:before="200" w:after="200"/>
        <w:ind w:hanging="709"/>
        <w:contextualSpacing w:val="0"/>
      </w:pPr>
      <w:r>
        <w:t xml:space="preserve">As a result of the Commission’s concern with PWC’s lack of appropriate compliance processes and systems, the </w:t>
      </w:r>
      <w:r w:rsidR="00B42487">
        <w:t xml:space="preserve">Commission </w:t>
      </w:r>
      <w:r w:rsidR="00B3351C">
        <w:t>appoint</w:t>
      </w:r>
      <w:r>
        <w:t>ed</w:t>
      </w:r>
      <w:r w:rsidR="00B3351C">
        <w:t xml:space="preserve"> an external auditor in accordance with clause 11.4 of PWC’s network licence to review PWC’s compliance with its network licence</w:t>
      </w:r>
      <w:r w:rsidR="003E5EA7">
        <w:t xml:space="preserve"> and the breach of the </w:t>
      </w:r>
      <w:r>
        <w:t xml:space="preserve">2014 </w:t>
      </w:r>
      <w:r w:rsidR="003E5EA7">
        <w:t>NPD.</w:t>
      </w:r>
    </w:p>
    <w:p w:rsidR="00485ED2" w:rsidRDefault="007937A2" w:rsidP="00CA194F">
      <w:pPr>
        <w:pStyle w:val="ListParagraph"/>
        <w:numPr>
          <w:ilvl w:val="0"/>
          <w:numId w:val="36"/>
        </w:numPr>
        <w:spacing w:before="200" w:after="200"/>
        <w:ind w:hanging="709"/>
        <w:contextualSpacing w:val="0"/>
      </w:pPr>
      <w:r>
        <w:lastRenderedPageBreak/>
        <w:t>P</w:t>
      </w:r>
      <w:r w:rsidR="00694E05">
        <w:t>rice</w:t>
      </w:r>
      <w:r>
        <w:t>w</w:t>
      </w:r>
      <w:r w:rsidR="00694E05">
        <w:t>aterhouse</w:t>
      </w:r>
      <w:r>
        <w:t>C</w:t>
      </w:r>
      <w:r w:rsidR="00694E05">
        <w:t xml:space="preserve">oopers (PwC) </w:t>
      </w:r>
      <w:r>
        <w:t xml:space="preserve">Australia was engaged for the purposes of assessing, in combination with other information obtained by the Commission, the current </w:t>
      </w:r>
      <w:r w:rsidR="00226B96">
        <w:t xml:space="preserve">compliance </w:t>
      </w:r>
      <w:r>
        <w:t>processes at PWC. Th</w:t>
      </w:r>
      <w:r w:rsidR="003E5EA7">
        <w:t xml:space="preserve">is </w:t>
      </w:r>
      <w:r>
        <w:t>report provides the Commission’s conclusions in relation to PWC’s compliance with the 2014 NPD and PWC’s identification and reporting of compliance breaches.</w:t>
      </w:r>
    </w:p>
    <w:p w:rsidR="006D170F" w:rsidRPr="008023D4" w:rsidRDefault="006D170F" w:rsidP="00CA194F">
      <w:pPr>
        <w:pStyle w:val="ListParagraph"/>
        <w:numPr>
          <w:ilvl w:val="0"/>
          <w:numId w:val="36"/>
        </w:numPr>
        <w:spacing w:before="200" w:after="200"/>
        <w:ind w:hanging="709"/>
        <w:contextualSpacing w:val="0"/>
        <w:rPr>
          <w:szCs w:val="22"/>
        </w:rPr>
      </w:pPr>
      <w:r w:rsidRPr="008023D4">
        <w:rPr>
          <w:szCs w:val="22"/>
        </w:rPr>
        <w:t xml:space="preserve">PwC Australia’s final report identifies </w:t>
      </w:r>
      <w:r w:rsidR="006D7889" w:rsidRPr="008023D4">
        <w:rPr>
          <w:szCs w:val="22"/>
        </w:rPr>
        <w:t>120</w:t>
      </w:r>
      <w:r w:rsidRPr="008023D4">
        <w:rPr>
          <w:szCs w:val="22"/>
        </w:rPr>
        <w:t> </w:t>
      </w:r>
      <w:r w:rsidR="006D7889" w:rsidRPr="008023D4">
        <w:rPr>
          <w:szCs w:val="22"/>
        </w:rPr>
        <w:t xml:space="preserve">recommended actions. Of these, 10 relate to issues around the compliance strategy, primarily around approval and finalisation of existing documents, policies and strategies. The remaining issues </w:t>
      </w:r>
      <w:r w:rsidRPr="008023D4">
        <w:rPr>
          <w:szCs w:val="22"/>
        </w:rPr>
        <w:t xml:space="preserve">relate to </w:t>
      </w:r>
      <w:r w:rsidR="006D7889" w:rsidRPr="008023D4">
        <w:rPr>
          <w:szCs w:val="22"/>
        </w:rPr>
        <w:t>implementation, monitoring of the effectiveness of the strategy</w:t>
      </w:r>
      <w:r w:rsidRPr="008023D4">
        <w:rPr>
          <w:szCs w:val="22"/>
        </w:rPr>
        <w:t xml:space="preserve"> </w:t>
      </w:r>
      <w:r w:rsidR="006D7889" w:rsidRPr="008023D4">
        <w:rPr>
          <w:szCs w:val="22"/>
        </w:rPr>
        <w:t>and continual improvements.</w:t>
      </w:r>
      <w:r w:rsidR="008023D4" w:rsidRPr="008023D4">
        <w:rPr>
          <w:szCs w:val="22"/>
        </w:rPr>
        <w:t xml:space="preserve"> </w:t>
      </w:r>
      <w:r w:rsidRPr="008023D4">
        <w:rPr>
          <w:szCs w:val="22"/>
        </w:rPr>
        <w:t xml:space="preserve">PwC Australia’s report was provided to PWC for management comment and these comments have been included in the final report. </w:t>
      </w:r>
    </w:p>
    <w:p w:rsidR="00B57BEC" w:rsidRDefault="00B57BEC" w:rsidP="00CA194F">
      <w:pPr>
        <w:pStyle w:val="ListParagraph"/>
        <w:numPr>
          <w:ilvl w:val="0"/>
          <w:numId w:val="36"/>
        </w:numPr>
        <w:spacing w:before="200" w:after="200"/>
        <w:ind w:hanging="709"/>
        <w:contextualSpacing w:val="0"/>
      </w:pPr>
      <w:r>
        <w:t>In March 2016, PWC advised that it had breached the parameters of the 2014 NPD in relation to new service establishment fees for the connection of customers. PWC advised that it would refund 594 domestic customers</w:t>
      </w:r>
      <w:r w:rsidR="00694E05">
        <w:t xml:space="preserve"> ($223,619) </w:t>
      </w:r>
      <w:r>
        <w:t xml:space="preserve">and would charge a further 194 developer customers a ‘quoted service charge’ rather than an alternative control charge. </w:t>
      </w:r>
    </w:p>
    <w:p w:rsidR="00B57BEC" w:rsidRDefault="00B57BEC" w:rsidP="00CA194F">
      <w:pPr>
        <w:pStyle w:val="ListParagraph"/>
        <w:numPr>
          <w:ilvl w:val="0"/>
          <w:numId w:val="36"/>
        </w:numPr>
        <w:spacing w:before="200" w:after="200"/>
        <w:ind w:hanging="709"/>
        <w:contextualSpacing w:val="0"/>
      </w:pPr>
      <w:r>
        <w:t xml:space="preserve">The Commission advised </w:t>
      </w:r>
      <w:r w:rsidR="00D862EC">
        <w:t xml:space="preserve">PWC </w:t>
      </w:r>
      <w:r>
        <w:t xml:space="preserve">in May 2016 that it was comfortable with the proposed approach to refund 594 domestic customers but was concerned </w:t>
      </w:r>
      <w:r w:rsidR="00B561C0">
        <w:t xml:space="preserve">with the </w:t>
      </w:r>
      <w:r>
        <w:t xml:space="preserve">approach </w:t>
      </w:r>
      <w:r w:rsidR="00B561C0">
        <w:t xml:space="preserve">in relation to </w:t>
      </w:r>
      <w:r>
        <w:t>developer</w:t>
      </w:r>
      <w:r w:rsidR="00B561C0">
        <w:t xml:space="preserve"> customers and considered this </w:t>
      </w:r>
      <w:r>
        <w:t>no</w:t>
      </w:r>
      <w:r w:rsidR="00B561C0">
        <w:t>n-</w:t>
      </w:r>
      <w:r>
        <w:t>compliant with the 2014</w:t>
      </w:r>
      <w:r w:rsidR="00B561C0">
        <w:t> </w:t>
      </w:r>
      <w:r>
        <w:t xml:space="preserve">NPD. </w:t>
      </w:r>
    </w:p>
    <w:p w:rsidR="00CA194F" w:rsidRDefault="00E45E05" w:rsidP="00CA194F">
      <w:pPr>
        <w:pStyle w:val="ListParagraph"/>
        <w:numPr>
          <w:ilvl w:val="0"/>
          <w:numId w:val="36"/>
        </w:numPr>
        <w:spacing w:before="200" w:after="200"/>
        <w:ind w:hanging="709"/>
        <w:contextualSpacing w:val="0"/>
      </w:pPr>
      <w:r>
        <w:t xml:space="preserve">In a meeting </w:t>
      </w:r>
      <w:r w:rsidR="00CC7A23">
        <w:t xml:space="preserve">in </w:t>
      </w:r>
      <w:r>
        <w:t xml:space="preserve">November 2016 and a letter dated December 2016, PWC advised the Commission that </w:t>
      </w:r>
      <w:r w:rsidR="00694E05">
        <w:t xml:space="preserve">it would </w:t>
      </w:r>
      <w:r w:rsidR="00CA194F">
        <w:t xml:space="preserve">refund </w:t>
      </w:r>
      <w:r w:rsidR="00694E05">
        <w:t>126</w:t>
      </w:r>
      <w:r w:rsidR="00CA194F">
        <w:t xml:space="preserve"> developer customers</w:t>
      </w:r>
      <w:r w:rsidR="00694E05">
        <w:t xml:space="preserve"> ($524,117)</w:t>
      </w:r>
      <w:r w:rsidR="00CA194F">
        <w:t xml:space="preserve"> and </w:t>
      </w:r>
      <w:r>
        <w:t>wa</w:t>
      </w:r>
      <w:r w:rsidR="00CA194F">
        <w:t xml:space="preserve">s in discussion </w:t>
      </w:r>
      <w:r w:rsidR="00B54CC2">
        <w:t xml:space="preserve">with Jacana Energy for the refunds to be made. PWC also advised that its billing system had been amended to ensure the charge was no longer applied. </w:t>
      </w:r>
      <w:r w:rsidR="00CA194F">
        <w:t xml:space="preserve"> </w:t>
      </w:r>
    </w:p>
    <w:p w:rsidR="004C6DBF" w:rsidRDefault="00761AC5" w:rsidP="00CA194F">
      <w:pPr>
        <w:pStyle w:val="ListParagraph"/>
        <w:numPr>
          <w:ilvl w:val="0"/>
          <w:numId w:val="36"/>
        </w:numPr>
        <w:spacing w:before="200" w:after="200"/>
        <w:ind w:hanging="709"/>
        <w:contextualSpacing w:val="0"/>
      </w:pPr>
      <w:r>
        <w:t>The Commission is concerned that PwC Australia was unable</w:t>
      </w:r>
      <w:r w:rsidR="00B42487">
        <w:t>, despite significant effort,</w:t>
      </w:r>
      <w:r>
        <w:t xml:space="preserve"> to reconcile the fee-based or quoted service lists provided to PWC’s financial statements. </w:t>
      </w:r>
      <w:r w:rsidR="00A210A8">
        <w:t>The list of customer transactions</w:t>
      </w:r>
      <w:r w:rsidR="00B42487">
        <w:t xml:space="preserve"> provided by PWC</w:t>
      </w:r>
      <w:r w:rsidR="00A210A8">
        <w:t xml:space="preserve"> varied from 6 834 to 10 385 entries. The Commission is not confident that </w:t>
      </w:r>
      <w:r w:rsidR="00B54CC2">
        <w:t xml:space="preserve">PWC has appropriately verified </w:t>
      </w:r>
      <w:r w:rsidR="00A210A8">
        <w:t xml:space="preserve">all the customers inappropriately charged the new standard connection charge. </w:t>
      </w:r>
      <w:r w:rsidR="00070EF8">
        <w:t xml:space="preserve">The Commission supports PwC Australia’s finding and that PWC perform validations to confirm the completeness and accuracy of fee and quoted service transactions. </w:t>
      </w:r>
      <w:r w:rsidR="004C6DBF">
        <w:t>The Commission understands that PWC is working with Jacana Energy to verify the customer transactions and will refund the relevant customers accordingly.</w:t>
      </w:r>
    </w:p>
    <w:p w:rsidR="005149B8" w:rsidRDefault="00CA194F" w:rsidP="005149B8">
      <w:pPr>
        <w:pStyle w:val="ListParagraph"/>
        <w:numPr>
          <w:ilvl w:val="0"/>
          <w:numId w:val="36"/>
        </w:numPr>
        <w:spacing w:before="200" w:after="200"/>
        <w:ind w:hanging="709"/>
        <w:contextualSpacing w:val="0"/>
      </w:pPr>
      <w:r>
        <w:t>A common theme in the findin</w:t>
      </w:r>
      <w:r w:rsidR="005149B8">
        <w:t xml:space="preserve">gs from PwC Australia is a lack of documentation available in relation to PWC’s compliance processes. PwC Australia noted that while PWC asserted that discussions </w:t>
      </w:r>
      <w:r w:rsidR="00F61DBD">
        <w:t xml:space="preserve">had </w:t>
      </w:r>
      <w:r w:rsidR="005149B8">
        <w:t>take</w:t>
      </w:r>
      <w:r w:rsidR="00F61DBD">
        <w:t>n</w:t>
      </w:r>
      <w:r w:rsidR="005149B8">
        <w:t xml:space="preserve"> place on non-compliances reported, there was no clear evidence that the </w:t>
      </w:r>
      <w:r w:rsidR="00B42487">
        <w:t>Audit and Risk Management Committee (</w:t>
      </w:r>
      <w:r w:rsidR="005149B8">
        <w:t>ARMC</w:t>
      </w:r>
      <w:r w:rsidR="00B42487">
        <w:t>)</w:t>
      </w:r>
      <w:r w:rsidR="005149B8">
        <w:t xml:space="preserve"> or </w:t>
      </w:r>
      <w:r w:rsidR="00B42487">
        <w:t>Executive Leadership Team (</w:t>
      </w:r>
      <w:r w:rsidR="005149B8">
        <w:t>ELT</w:t>
      </w:r>
      <w:r w:rsidR="00B42487">
        <w:t>)</w:t>
      </w:r>
      <w:r w:rsidR="005149B8">
        <w:t xml:space="preserve"> were consulted. Of the nine instances of non-compliances identified in PWC’s annual compliance report </w:t>
      </w:r>
      <w:r w:rsidR="00F61DBD">
        <w:t xml:space="preserve">for </w:t>
      </w:r>
      <w:r w:rsidR="005149B8">
        <w:t>2014-15, none had been reported to the ARMC and none had bee</w:t>
      </w:r>
      <w:r w:rsidR="001347DE">
        <w:t>n</w:t>
      </w:r>
      <w:r w:rsidR="005149B8">
        <w:t xml:space="preserve"> formally recorded in PWC’s GRACE</w:t>
      </w:r>
      <w:r w:rsidR="00CC7A23">
        <w:t> </w:t>
      </w:r>
      <w:r w:rsidR="005149B8">
        <w:t>system.</w:t>
      </w:r>
    </w:p>
    <w:p w:rsidR="00226B96" w:rsidRDefault="00226B96" w:rsidP="00226B96">
      <w:pPr>
        <w:pStyle w:val="ListParagraph"/>
        <w:spacing w:before="200" w:after="200"/>
        <w:ind w:left="644"/>
        <w:contextualSpacing w:val="0"/>
      </w:pPr>
    </w:p>
    <w:p w:rsidR="00B5491E" w:rsidRDefault="00226B96" w:rsidP="00B5491E">
      <w:pPr>
        <w:pStyle w:val="ListParagraph"/>
        <w:numPr>
          <w:ilvl w:val="0"/>
          <w:numId w:val="36"/>
        </w:numPr>
        <w:spacing w:before="200" w:after="200"/>
        <w:ind w:hanging="709"/>
        <w:contextualSpacing w:val="0"/>
      </w:pPr>
      <w:r>
        <w:lastRenderedPageBreak/>
        <w:t>A</w:t>
      </w:r>
      <w:r w:rsidR="00B5491E">
        <w:t xml:space="preserve"> common management response provided by PWC to the PwC Australia findings and recommendations was:</w:t>
      </w:r>
    </w:p>
    <w:p w:rsidR="00B5491E" w:rsidRDefault="00B5491E" w:rsidP="00B5491E">
      <w:pPr>
        <w:pStyle w:val="ListParagraph"/>
        <w:spacing w:before="200" w:after="200"/>
        <w:ind w:left="644"/>
        <w:contextualSpacing w:val="0"/>
        <w:rPr>
          <w:i/>
        </w:rPr>
      </w:pPr>
      <w:r w:rsidRPr="008E18CF">
        <w:rPr>
          <w:i/>
        </w:rPr>
        <w:t>“PWC accepts the intent of this recommendation and is commencing a broad-based review of the corporation’s compliance strategy, through which these recommendations will be considered. A plan/roadmap for the review is to be presented to the Audit and Risk Management Committee (ARMC) for consideration at its October 2016 meeting.”</w:t>
      </w:r>
    </w:p>
    <w:p w:rsidR="00B5491E" w:rsidRDefault="00B5491E" w:rsidP="00B5491E">
      <w:pPr>
        <w:pStyle w:val="ListParagraph"/>
        <w:numPr>
          <w:ilvl w:val="0"/>
          <w:numId w:val="36"/>
        </w:numPr>
        <w:spacing w:before="200" w:after="200"/>
        <w:ind w:hanging="709"/>
        <w:contextualSpacing w:val="0"/>
        <w:rPr>
          <w:szCs w:val="22"/>
        </w:rPr>
      </w:pPr>
      <w:r>
        <w:rPr>
          <w:szCs w:val="22"/>
        </w:rPr>
        <w:t xml:space="preserve">The Commission notes that the findings and recommendations of the PwC Australia review were primarily focused on issues related to implementation and review/finalisation of existing compliance strategies, policies and procedures. PWC must ensure that any review results in actual implementation and that there is a focus on compliance with PWC’s own strategies, policies and procedures. </w:t>
      </w:r>
    </w:p>
    <w:p w:rsidR="00B54CC2" w:rsidRDefault="00B54CC2" w:rsidP="00B54CC2">
      <w:pPr>
        <w:pStyle w:val="ListParagraph"/>
        <w:numPr>
          <w:ilvl w:val="0"/>
          <w:numId w:val="36"/>
        </w:numPr>
        <w:spacing w:before="200" w:after="200"/>
        <w:ind w:hanging="709"/>
        <w:contextualSpacing w:val="0"/>
        <w:rPr>
          <w:szCs w:val="22"/>
        </w:rPr>
      </w:pPr>
      <w:r>
        <w:rPr>
          <w:szCs w:val="22"/>
        </w:rPr>
        <w:t xml:space="preserve">In December 2016, PWC advised the Commission that it had initiated a comprehensive review of the Corporation’s Compliance Framework to improve PWC’s compliance culture. </w:t>
      </w:r>
      <w:r w:rsidR="005D0D50">
        <w:rPr>
          <w:szCs w:val="22"/>
        </w:rPr>
        <w:t>The Commission is confident that there is sufficient information available for PWC from previous audits and reviews, including the review by PwC Australia</w:t>
      </w:r>
      <w:r w:rsidR="00D62829">
        <w:rPr>
          <w:szCs w:val="22"/>
        </w:rPr>
        <w:t>,</w:t>
      </w:r>
      <w:r w:rsidR="005D0D50">
        <w:rPr>
          <w:szCs w:val="22"/>
        </w:rPr>
        <w:t xml:space="preserve"> to </w:t>
      </w:r>
      <w:r w:rsidR="00D62829">
        <w:rPr>
          <w:szCs w:val="22"/>
        </w:rPr>
        <w:t>identify</w:t>
      </w:r>
      <w:r w:rsidR="005D0D50">
        <w:rPr>
          <w:szCs w:val="22"/>
        </w:rPr>
        <w:t xml:space="preserve"> what action is required. The Commission intends to review PWC’s progress towards implementing and maintaining an appropriate compliance framework again in late 2017. </w:t>
      </w:r>
    </w:p>
    <w:p w:rsidR="00CF24F8" w:rsidRDefault="00CF24F8" w:rsidP="00CF24F8">
      <w:pPr>
        <w:pStyle w:val="ListParagraph"/>
        <w:numPr>
          <w:ilvl w:val="0"/>
          <w:numId w:val="36"/>
        </w:numPr>
        <w:spacing w:before="200" w:after="200"/>
        <w:ind w:hanging="709"/>
        <w:contextualSpacing w:val="0"/>
        <w:rPr>
          <w:szCs w:val="22"/>
        </w:rPr>
      </w:pPr>
      <w:r>
        <w:rPr>
          <w:szCs w:val="22"/>
        </w:rPr>
        <w:t xml:space="preserve">PWC indicated in its management comments to the PwC Australia report that: </w:t>
      </w:r>
    </w:p>
    <w:p w:rsidR="00CF24F8" w:rsidRDefault="00CF24F8" w:rsidP="00CF24F8">
      <w:pPr>
        <w:pStyle w:val="ListParagraph"/>
        <w:spacing w:before="200" w:after="200"/>
        <w:ind w:left="644"/>
        <w:contextualSpacing w:val="0"/>
        <w:rPr>
          <w:i/>
        </w:rPr>
      </w:pPr>
      <w:r w:rsidRPr="0010385B">
        <w:rPr>
          <w:i/>
        </w:rPr>
        <w:t>“There are practical limitations to entering the 2014 NPD into the GRACE system as there are no specifically listed obligations contained in the determination.  Consultation with other DNSPs has also suggested that inputting a regulatory determination into a compliance tracking system is not common practice for similar practicality reasons. Therefore, PWC will consider this recommendation further during its actioning of 2.3.4-1 but does not commit to actioning of this particular recommendation.”</w:t>
      </w:r>
    </w:p>
    <w:p w:rsidR="00CF24F8" w:rsidRDefault="00CF24F8" w:rsidP="00CF24F8">
      <w:pPr>
        <w:pStyle w:val="ListParagraph"/>
        <w:numPr>
          <w:ilvl w:val="0"/>
          <w:numId w:val="36"/>
        </w:numPr>
        <w:spacing w:before="200" w:after="200"/>
        <w:ind w:hanging="709"/>
        <w:contextualSpacing w:val="0"/>
        <w:rPr>
          <w:szCs w:val="22"/>
        </w:rPr>
      </w:pPr>
      <w:r w:rsidRPr="00295F17">
        <w:rPr>
          <w:szCs w:val="22"/>
        </w:rPr>
        <w:t xml:space="preserve">The Commission </w:t>
      </w:r>
      <w:r w:rsidR="00CC7A23">
        <w:rPr>
          <w:szCs w:val="22"/>
        </w:rPr>
        <w:t>was</w:t>
      </w:r>
      <w:r w:rsidRPr="00295F17">
        <w:rPr>
          <w:szCs w:val="22"/>
        </w:rPr>
        <w:t xml:space="preserve"> concerned with PWC’s comment there are no obligations in the </w:t>
      </w:r>
      <w:r>
        <w:rPr>
          <w:szCs w:val="22"/>
        </w:rPr>
        <w:t>2014 NPD a</w:t>
      </w:r>
      <w:r w:rsidR="00991232">
        <w:rPr>
          <w:szCs w:val="22"/>
        </w:rPr>
        <w:t>s</w:t>
      </w:r>
      <w:r>
        <w:rPr>
          <w:szCs w:val="22"/>
        </w:rPr>
        <w:t xml:space="preserve"> this suggest</w:t>
      </w:r>
      <w:r w:rsidR="00991232">
        <w:rPr>
          <w:szCs w:val="22"/>
        </w:rPr>
        <w:t>ed</w:t>
      </w:r>
      <w:r>
        <w:rPr>
          <w:szCs w:val="22"/>
        </w:rPr>
        <w:t xml:space="preserve"> a lack of understanding of the regulatory nature of the 2014 NPD and the relevant legislative provisions governing the operations of PWC as the monopoly network service provider. Subsequent discussions with PWC in November 2016 indicated that PWC no longer considered this comment correct and were working to identify the compliance obligations related to the 2014 NPD.</w:t>
      </w:r>
    </w:p>
    <w:p w:rsidR="00CC7A23" w:rsidRDefault="00CC7A23" w:rsidP="00CC7A23">
      <w:pPr>
        <w:pStyle w:val="ListParagraph"/>
        <w:numPr>
          <w:ilvl w:val="0"/>
          <w:numId w:val="36"/>
        </w:numPr>
        <w:spacing w:before="200" w:after="200"/>
        <w:ind w:hanging="709"/>
        <w:contextualSpacing w:val="0"/>
        <w:rPr>
          <w:szCs w:val="22"/>
        </w:rPr>
      </w:pPr>
      <w:r>
        <w:rPr>
          <w:szCs w:val="22"/>
        </w:rPr>
        <w:t xml:space="preserve">It is imperative that </w:t>
      </w:r>
      <w:r w:rsidRPr="00295F17">
        <w:rPr>
          <w:szCs w:val="22"/>
        </w:rPr>
        <w:t xml:space="preserve">PWC identify and risk assess the obligations in the </w:t>
      </w:r>
      <w:r w:rsidRPr="00597E51">
        <w:rPr>
          <w:i/>
          <w:szCs w:val="22"/>
        </w:rPr>
        <w:t>Electricity Networks (Third Party Access) Act</w:t>
      </w:r>
      <w:r w:rsidRPr="00295F17">
        <w:rPr>
          <w:szCs w:val="22"/>
        </w:rPr>
        <w:t xml:space="preserve"> (sections 3A &amp; 3B), the Network Access Code and the </w:t>
      </w:r>
      <w:r>
        <w:rPr>
          <w:szCs w:val="22"/>
        </w:rPr>
        <w:t>2014 NPD</w:t>
      </w:r>
      <w:r w:rsidRPr="00295F17">
        <w:rPr>
          <w:szCs w:val="22"/>
        </w:rPr>
        <w:t xml:space="preserve">. </w:t>
      </w:r>
      <w:r w:rsidRPr="00822977">
        <w:rPr>
          <w:szCs w:val="22"/>
        </w:rPr>
        <w:t xml:space="preserve">The Commission </w:t>
      </w:r>
      <w:r>
        <w:rPr>
          <w:szCs w:val="22"/>
        </w:rPr>
        <w:t>understands from discussions with PWC that work is being undertaken to identify the obligations in the 2014 NPD.</w:t>
      </w:r>
    </w:p>
    <w:p w:rsidR="00226B96" w:rsidRDefault="00226B96">
      <w:pPr>
        <w:spacing w:before="0" w:after="0" w:line="240" w:lineRule="auto"/>
        <w:rPr>
          <w:szCs w:val="22"/>
          <w:lang w:val="en-US"/>
        </w:rPr>
      </w:pPr>
      <w:r>
        <w:rPr>
          <w:szCs w:val="22"/>
        </w:rPr>
        <w:br w:type="page"/>
      </w:r>
    </w:p>
    <w:p w:rsidR="00374D82" w:rsidRDefault="00374D82" w:rsidP="00374D82">
      <w:pPr>
        <w:pStyle w:val="ListParagraph"/>
        <w:numPr>
          <w:ilvl w:val="0"/>
          <w:numId w:val="36"/>
        </w:numPr>
        <w:spacing w:before="200" w:after="200"/>
        <w:ind w:hanging="709"/>
        <w:contextualSpacing w:val="0"/>
        <w:rPr>
          <w:szCs w:val="22"/>
        </w:rPr>
      </w:pPr>
      <w:r>
        <w:rPr>
          <w:szCs w:val="22"/>
        </w:rPr>
        <w:lastRenderedPageBreak/>
        <w:t>Clause 11.1 of PWC’s network licence requires it to establish and maintain a compliance process. The compliance process must include policies, procedures and systems under Clause 11.1.(b) for:</w:t>
      </w:r>
    </w:p>
    <w:p w:rsidR="00374D82" w:rsidRPr="008E18CF" w:rsidRDefault="00374D82" w:rsidP="00374D82">
      <w:pPr>
        <w:pStyle w:val="ListParagraph"/>
        <w:numPr>
          <w:ilvl w:val="1"/>
          <w:numId w:val="36"/>
        </w:numPr>
        <w:spacing w:before="200" w:after="200"/>
        <w:ind w:left="1134" w:hanging="425"/>
        <w:contextualSpacing w:val="0"/>
      </w:pPr>
      <w:r>
        <w:t>t</w:t>
      </w:r>
      <w:r w:rsidRPr="008E18CF">
        <w:t xml:space="preserve">raining of employees about the obligations of the licensee under this licence; </w:t>
      </w:r>
    </w:p>
    <w:p w:rsidR="00374D82" w:rsidRPr="008E18CF" w:rsidRDefault="00374D82" w:rsidP="00374D82">
      <w:pPr>
        <w:pStyle w:val="ListParagraph"/>
        <w:numPr>
          <w:ilvl w:val="1"/>
          <w:numId w:val="36"/>
        </w:numPr>
        <w:spacing w:before="200" w:after="200"/>
        <w:ind w:left="1134" w:hanging="425"/>
        <w:contextualSpacing w:val="0"/>
      </w:pPr>
      <w:r>
        <w:t>r</w:t>
      </w:r>
      <w:r w:rsidRPr="008E18CF">
        <w:t xml:space="preserve">egular internal audit by the licensee of its compliance with its obligations under this licence; </w:t>
      </w:r>
    </w:p>
    <w:p w:rsidR="00374D82" w:rsidRPr="008E18CF" w:rsidRDefault="00374D82" w:rsidP="00374D82">
      <w:pPr>
        <w:pStyle w:val="ListParagraph"/>
        <w:numPr>
          <w:ilvl w:val="1"/>
          <w:numId w:val="36"/>
        </w:numPr>
        <w:spacing w:before="200" w:after="200"/>
        <w:ind w:left="1134" w:hanging="425"/>
        <w:contextualSpacing w:val="0"/>
      </w:pPr>
      <w:r>
        <w:t>r</w:t>
      </w:r>
      <w:r w:rsidRPr="008E18CF">
        <w:t xml:space="preserve">egular reporting to, and consideration by, the </w:t>
      </w:r>
      <w:r>
        <w:t>b</w:t>
      </w:r>
      <w:r w:rsidRPr="008E18CF">
        <w:t xml:space="preserve">oard of the licensee concerning compliance with the obligations of the licensee under this licence; </w:t>
      </w:r>
    </w:p>
    <w:p w:rsidR="00374D82" w:rsidRPr="008E18CF" w:rsidRDefault="00374D82" w:rsidP="00374D82">
      <w:pPr>
        <w:pStyle w:val="ListParagraph"/>
        <w:numPr>
          <w:ilvl w:val="1"/>
          <w:numId w:val="36"/>
        </w:numPr>
        <w:spacing w:before="200" w:after="200"/>
        <w:ind w:left="1134" w:hanging="425"/>
        <w:contextualSpacing w:val="0"/>
      </w:pPr>
      <w:r>
        <w:t>d</w:t>
      </w:r>
      <w:r w:rsidRPr="008E18CF">
        <w:t>ealing with any complaints made by a customer or other third party to the licensee in connection with non-compliance by the licensee with its obligations under this licence; and</w:t>
      </w:r>
    </w:p>
    <w:p w:rsidR="00374D82" w:rsidRDefault="00374D82" w:rsidP="00374D82">
      <w:pPr>
        <w:pStyle w:val="ListParagraph"/>
        <w:numPr>
          <w:ilvl w:val="1"/>
          <w:numId w:val="36"/>
        </w:numPr>
        <w:spacing w:before="200" w:after="200"/>
        <w:ind w:left="1134" w:hanging="425"/>
        <w:contextualSpacing w:val="0"/>
      </w:pPr>
      <w:r>
        <w:t>d</w:t>
      </w:r>
      <w:r w:rsidRPr="008E18CF">
        <w:t xml:space="preserve">etecting and reporting to the Utilities Commission any material breach of the compliance procedures.   </w:t>
      </w:r>
    </w:p>
    <w:p w:rsidR="00374D82" w:rsidRPr="00581786" w:rsidRDefault="00374D82" w:rsidP="00374D82">
      <w:pPr>
        <w:pStyle w:val="ListParagraph"/>
        <w:numPr>
          <w:ilvl w:val="0"/>
          <w:numId w:val="36"/>
        </w:numPr>
        <w:spacing w:before="200" w:after="200"/>
        <w:ind w:hanging="709"/>
        <w:contextualSpacing w:val="0"/>
        <w:rPr>
          <w:szCs w:val="22"/>
        </w:rPr>
      </w:pPr>
      <w:r w:rsidRPr="00581786">
        <w:rPr>
          <w:szCs w:val="22"/>
        </w:rPr>
        <w:t xml:space="preserve">Based on the findings from the PwC Australia report and previous audits undertaken by the Commission, the Commission considers that PWC has breached clause 11.1 of its networks licence. </w:t>
      </w:r>
      <w:r>
        <w:rPr>
          <w:szCs w:val="22"/>
        </w:rPr>
        <w:t xml:space="preserve">The Commission considers that PWC has also breached the </w:t>
      </w:r>
      <w:r>
        <w:t>Compliance Framework and Reporting Guidelines.</w:t>
      </w:r>
    </w:p>
    <w:p w:rsidR="00374D82" w:rsidRPr="00B54CC2" w:rsidRDefault="00374D82" w:rsidP="00374D82">
      <w:pPr>
        <w:pStyle w:val="ListParagraph"/>
        <w:numPr>
          <w:ilvl w:val="0"/>
          <w:numId w:val="36"/>
        </w:numPr>
        <w:spacing w:before="200" w:after="200"/>
        <w:ind w:hanging="709"/>
        <w:contextualSpacing w:val="0"/>
        <w:rPr>
          <w:szCs w:val="22"/>
        </w:rPr>
      </w:pPr>
      <w:r w:rsidRPr="00B54CC2">
        <w:rPr>
          <w:szCs w:val="22"/>
        </w:rPr>
        <w:t xml:space="preserve">Section 31 of the </w:t>
      </w:r>
      <w:r w:rsidRPr="00B54CC2">
        <w:rPr>
          <w:i/>
          <w:szCs w:val="22"/>
        </w:rPr>
        <w:t>Electricity Reform Act</w:t>
      </w:r>
      <w:r w:rsidRPr="00B54CC2">
        <w:rPr>
          <w:szCs w:val="22"/>
        </w:rPr>
        <w:t xml:space="preserve"> (ERA) states that an electricity entity must not contravene a condition of its licence, and is subject to a civil penalty provision of a maximum of 2 500 penalty units, or a court order for payment to the Commission of any profit resulting from the contravention, and possible suspension or cancellation of its licence by the Commission in accordance with section 36(1)(b) of the ERA. The Commission considers the breach needs to be addressed by PWC as a priority. </w:t>
      </w:r>
    </w:p>
    <w:p w:rsidR="00F17832" w:rsidRPr="000E0170" w:rsidRDefault="00611AC7" w:rsidP="00F17832">
      <w:pPr>
        <w:pStyle w:val="ListParagraph"/>
        <w:numPr>
          <w:ilvl w:val="0"/>
          <w:numId w:val="36"/>
        </w:numPr>
        <w:spacing w:before="200" w:after="200"/>
        <w:ind w:hanging="709"/>
        <w:contextualSpacing w:val="0"/>
        <w:rPr>
          <w:szCs w:val="22"/>
        </w:rPr>
      </w:pPr>
      <w:r w:rsidRPr="000E0170">
        <w:rPr>
          <w:szCs w:val="22"/>
        </w:rPr>
        <w:t>The Commission will continue to monitor PWC’s compliance through regular audit and review</w:t>
      </w:r>
      <w:r w:rsidR="00BB1C4D">
        <w:rPr>
          <w:szCs w:val="22"/>
        </w:rPr>
        <w:t xml:space="preserve"> </w:t>
      </w:r>
      <w:r w:rsidRPr="000E0170">
        <w:rPr>
          <w:szCs w:val="22"/>
        </w:rPr>
        <w:t xml:space="preserve">and </w:t>
      </w:r>
      <w:r w:rsidR="00BB1C4D">
        <w:rPr>
          <w:szCs w:val="22"/>
        </w:rPr>
        <w:t xml:space="preserve">will </w:t>
      </w:r>
      <w:r w:rsidR="00B54CC2" w:rsidRPr="000E0170">
        <w:rPr>
          <w:szCs w:val="22"/>
        </w:rPr>
        <w:t xml:space="preserve">continue to </w:t>
      </w:r>
      <w:r w:rsidRPr="000E0170">
        <w:rPr>
          <w:szCs w:val="22"/>
        </w:rPr>
        <w:t xml:space="preserve">work with PWC to ensure that it complies with its regulatory obligations. </w:t>
      </w:r>
      <w:r w:rsidR="00F17832" w:rsidRPr="000E0170">
        <w:rPr>
          <w:szCs w:val="22"/>
        </w:rPr>
        <w:t xml:space="preserve">The Commission will consider exercising its enforcement powers if the actions and </w:t>
      </w:r>
      <w:r w:rsidR="00DC2713" w:rsidRPr="00DC2713">
        <w:rPr>
          <w:szCs w:val="22"/>
        </w:rPr>
        <w:t>behaviour</w:t>
      </w:r>
      <w:r w:rsidR="00F17832" w:rsidRPr="000E0170">
        <w:rPr>
          <w:szCs w:val="22"/>
        </w:rPr>
        <w:t xml:space="preserve"> of PWC towards regulatory compliance are not addressed </w:t>
      </w:r>
      <w:r w:rsidR="00366525" w:rsidRPr="000E0170">
        <w:rPr>
          <w:szCs w:val="22"/>
        </w:rPr>
        <w:t>with</w:t>
      </w:r>
      <w:r w:rsidR="00F17832" w:rsidRPr="000E0170">
        <w:rPr>
          <w:szCs w:val="22"/>
        </w:rPr>
        <w:t xml:space="preserve">in a reasonable period. </w:t>
      </w:r>
    </w:p>
    <w:p w:rsidR="00B54CC2" w:rsidRPr="00B54CC2" w:rsidRDefault="008E7175" w:rsidP="008E7175">
      <w:pPr>
        <w:pStyle w:val="ListParagraph"/>
        <w:numPr>
          <w:ilvl w:val="0"/>
          <w:numId w:val="36"/>
        </w:numPr>
        <w:spacing w:before="200" w:after="200"/>
        <w:ind w:hanging="709"/>
        <w:contextualSpacing w:val="0"/>
        <w:rPr>
          <w:szCs w:val="22"/>
        </w:rPr>
      </w:pPr>
      <w:r>
        <w:t xml:space="preserve">In the interests of transparency and as a mechanism to encourage compliance, the Commission will make this report (subject to confidential information included in the PwC Australia report being redacted) publicly available. </w:t>
      </w:r>
    </w:p>
    <w:p w:rsidR="007A568B" w:rsidRDefault="007A568B">
      <w:pPr>
        <w:spacing w:before="0" w:after="0" w:line="240" w:lineRule="auto"/>
        <w:rPr>
          <w:b/>
          <w:bCs/>
          <w:color w:val="31849B" w:themeColor="accent5" w:themeShade="BF"/>
          <w:sz w:val="36"/>
          <w:szCs w:val="36"/>
          <w:lang w:eastAsia="en-AU"/>
        </w:rPr>
      </w:pPr>
      <w:r>
        <w:rPr>
          <w:bCs/>
          <w:color w:val="31849B" w:themeColor="accent5" w:themeShade="BF"/>
          <w:sz w:val="36"/>
          <w:szCs w:val="36"/>
          <w:lang w:eastAsia="en-AU"/>
        </w:rPr>
        <w:br w:type="page"/>
      </w:r>
    </w:p>
    <w:p w:rsidR="007242D9" w:rsidRDefault="007242D9" w:rsidP="007242D9">
      <w:pPr>
        <w:pStyle w:val="UtilComHeading2"/>
        <w:spacing w:before="600" w:after="0"/>
        <w:ind w:left="2160" w:hanging="2160"/>
        <w:rPr>
          <w:bCs/>
          <w:color w:val="31849B" w:themeColor="accent5" w:themeShade="BF"/>
          <w:sz w:val="36"/>
          <w:szCs w:val="36"/>
          <w:lang w:eastAsia="en-AU"/>
        </w:rPr>
      </w:pPr>
      <w:bookmarkStart w:id="12" w:name="_Toc472078495"/>
    </w:p>
    <w:p w:rsidR="00DB3FE7" w:rsidRDefault="00564813" w:rsidP="007242D9">
      <w:pPr>
        <w:pStyle w:val="UtilComHeading2"/>
        <w:spacing w:before="0"/>
        <w:ind w:left="2160" w:hanging="2160"/>
        <w:rPr>
          <w:bCs/>
          <w:color w:val="31849B" w:themeColor="accent5" w:themeShade="BF"/>
          <w:sz w:val="36"/>
          <w:szCs w:val="36"/>
          <w:lang w:eastAsia="en-AU"/>
        </w:rPr>
      </w:pPr>
      <w:r w:rsidRPr="00293484">
        <w:rPr>
          <w:bCs/>
          <w:color w:val="31849B" w:themeColor="accent5" w:themeShade="BF"/>
          <w:sz w:val="36"/>
          <w:szCs w:val="36"/>
          <w:lang w:eastAsia="en-AU"/>
        </w:rPr>
        <w:t>C</w:t>
      </w:r>
      <w:r w:rsidR="00680690" w:rsidRPr="00293484">
        <w:rPr>
          <w:bCs/>
          <w:color w:val="31849B" w:themeColor="accent5" w:themeShade="BF"/>
          <w:sz w:val="36"/>
          <w:szCs w:val="36"/>
          <w:lang w:eastAsia="en-AU"/>
        </w:rPr>
        <w:t xml:space="preserve">hapter 2: </w:t>
      </w:r>
      <w:r w:rsidR="00CD6D6C" w:rsidRPr="00293484">
        <w:rPr>
          <w:bCs/>
          <w:color w:val="31849B" w:themeColor="accent5" w:themeShade="BF"/>
          <w:sz w:val="36"/>
          <w:szCs w:val="36"/>
          <w:lang w:eastAsia="en-AU"/>
        </w:rPr>
        <w:tab/>
      </w:r>
      <w:r w:rsidR="00680690" w:rsidRPr="00293484">
        <w:rPr>
          <w:bCs/>
          <w:color w:val="31849B" w:themeColor="accent5" w:themeShade="BF"/>
          <w:sz w:val="36"/>
          <w:szCs w:val="36"/>
          <w:lang w:eastAsia="en-AU"/>
        </w:rPr>
        <w:t>Background</w:t>
      </w:r>
      <w:bookmarkEnd w:id="12"/>
    </w:p>
    <w:p w:rsidR="00D24A4D" w:rsidRPr="00AA5D86" w:rsidRDefault="00D24A4D" w:rsidP="00AA5D86">
      <w:pPr>
        <w:pStyle w:val="TOC2"/>
      </w:pPr>
    </w:p>
    <w:p w:rsidR="00CB12A8" w:rsidRPr="004F7F24" w:rsidRDefault="00CB12A8" w:rsidP="00CB12A8">
      <w:pPr>
        <w:pStyle w:val="UtilComHeading3"/>
        <w:rPr>
          <w:color w:val="31849B" w:themeColor="accent5" w:themeShade="BF"/>
        </w:rPr>
      </w:pPr>
      <w:bookmarkStart w:id="13" w:name="_Toc472078496"/>
      <w:bookmarkStart w:id="14" w:name="_Toc442328899"/>
      <w:bookmarkEnd w:id="10"/>
      <w:r w:rsidRPr="004F7F24">
        <w:rPr>
          <w:color w:val="31849B" w:themeColor="accent5" w:themeShade="BF"/>
        </w:rPr>
        <w:t>Breach of the 2014-19 Network Price Determination</w:t>
      </w:r>
      <w:bookmarkEnd w:id="13"/>
      <w:r w:rsidRPr="004F7F24">
        <w:rPr>
          <w:color w:val="31849B" w:themeColor="accent5" w:themeShade="BF"/>
        </w:rPr>
        <w:t xml:space="preserve"> </w:t>
      </w:r>
    </w:p>
    <w:p w:rsidR="00467ABD" w:rsidRDefault="00E27A0F" w:rsidP="007937A2">
      <w:pPr>
        <w:pStyle w:val="ListParagraph"/>
        <w:numPr>
          <w:ilvl w:val="1"/>
          <w:numId w:val="10"/>
        </w:numPr>
        <w:spacing w:before="200" w:after="200"/>
        <w:ind w:left="709" w:hanging="709"/>
        <w:contextualSpacing w:val="0"/>
      </w:pPr>
      <w:r>
        <w:t>On 24 April 2014, the Commission’s Final Network Price Determination (NPD) was released, regulating network charges levied by the Power and Water Corporation (</w:t>
      </w:r>
      <w:r w:rsidR="00253394">
        <w:t>PWC</w:t>
      </w:r>
      <w:r>
        <w:t>) as the network service provider in the Northern Territory with respect to regulated networks for the 1 July 2014 to 30 June 2</w:t>
      </w:r>
      <w:r w:rsidR="00467ABD">
        <w:t xml:space="preserve">019 regulatory control period. </w:t>
      </w:r>
    </w:p>
    <w:p w:rsidR="00467ABD" w:rsidRDefault="00E27A0F" w:rsidP="007937A2">
      <w:pPr>
        <w:pStyle w:val="ListParagraph"/>
        <w:numPr>
          <w:ilvl w:val="1"/>
          <w:numId w:val="10"/>
        </w:numPr>
        <w:spacing w:before="200" w:after="200"/>
        <w:ind w:left="709" w:hanging="709"/>
        <w:contextualSpacing w:val="0"/>
      </w:pPr>
      <w:r>
        <w:t xml:space="preserve">The 2014 NPD regulates regulated network access services by setting a revenue cap on the provision of these services. Excluded network access services which the Commission has determined are not subject to effective competition and the costs of which cannot be satisfactorily included in the cost base for the purpose of calculating the revenue cap for regulated network access services, shall be provided on fair and reasonable terms. </w:t>
      </w:r>
    </w:p>
    <w:p w:rsidR="00467ABD" w:rsidRDefault="00E27A0F" w:rsidP="007937A2">
      <w:pPr>
        <w:pStyle w:val="ListParagraph"/>
        <w:numPr>
          <w:ilvl w:val="1"/>
          <w:numId w:val="10"/>
        </w:numPr>
        <w:spacing w:before="200" w:after="200"/>
        <w:ind w:left="709" w:hanging="709"/>
        <w:contextualSpacing w:val="0"/>
      </w:pPr>
      <w:r>
        <w:t>The 2014 NPD lists the services determined by the Commission to be ‘excluded network access services’ in Schedule 3. All network services not listed as ‘excluded network access services’ are</w:t>
      </w:r>
      <w:r w:rsidR="00253394">
        <w:t xml:space="preserve"> deemed to be</w:t>
      </w:r>
      <w:r>
        <w:t xml:space="preserve"> ‘regu</w:t>
      </w:r>
      <w:r w:rsidR="00253394">
        <w:t xml:space="preserve">lated network access services’ and incorporated in the standard control service charges. </w:t>
      </w:r>
    </w:p>
    <w:p w:rsidR="00467ABD" w:rsidRDefault="00E27A0F" w:rsidP="007937A2">
      <w:pPr>
        <w:pStyle w:val="ListParagraph"/>
        <w:numPr>
          <w:ilvl w:val="1"/>
          <w:numId w:val="10"/>
        </w:numPr>
        <w:spacing w:before="200" w:after="200"/>
        <w:ind w:left="709" w:hanging="709"/>
        <w:contextualSpacing w:val="0"/>
      </w:pPr>
      <w:r>
        <w:t xml:space="preserve">In early February 2016, </w:t>
      </w:r>
      <w:r w:rsidR="00874EFB">
        <w:t xml:space="preserve">the Commission was made aware of </w:t>
      </w:r>
      <w:r>
        <w:t xml:space="preserve">a possible breach </w:t>
      </w:r>
      <w:r w:rsidR="00253394">
        <w:t xml:space="preserve">by PWC </w:t>
      </w:r>
      <w:r>
        <w:t>of the 2014 NPD</w:t>
      </w:r>
      <w:r w:rsidR="00253394">
        <w:t xml:space="preserve"> in relation to standard network connections by Jacana Energy. </w:t>
      </w:r>
      <w:r w:rsidR="007629A8">
        <w:t xml:space="preserve">On further enquiry, </w:t>
      </w:r>
      <w:r>
        <w:t xml:space="preserve">the Commission became aware that </w:t>
      </w:r>
      <w:r w:rsidR="00253394">
        <w:t>PWC</w:t>
      </w:r>
      <w:r>
        <w:t xml:space="preserve"> had charged customers for standard metering connections as an excluded service (</w:t>
      </w:r>
      <w:r w:rsidR="00253394">
        <w:t>PWC</w:t>
      </w:r>
      <w:r>
        <w:t xml:space="preserve"> refer to such charges as ‘alternative control services’) up until October 2015. </w:t>
      </w:r>
      <w:r w:rsidR="009D7170">
        <w:t xml:space="preserve">On 10 March 2016, </w:t>
      </w:r>
      <w:r w:rsidR="00253394">
        <w:t>PWC</w:t>
      </w:r>
      <w:r>
        <w:t xml:space="preserve"> wrote to the Commission and advised that it had “breached the parameters of the 2014</w:t>
      </w:r>
      <w:r w:rsidR="00A0272B">
        <w:t> </w:t>
      </w:r>
      <w:r w:rsidR="00467ABD">
        <w:t>NPD”.</w:t>
      </w:r>
    </w:p>
    <w:p w:rsidR="00467ABD" w:rsidRDefault="00E27A0F" w:rsidP="007937A2">
      <w:pPr>
        <w:pStyle w:val="ListParagraph"/>
        <w:numPr>
          <w:ilvl w:val="1"/>
          <w:numId w:val="10"/>
        </w:numPr>
        <w:spacing w:before="200" w:after="200"/>
        <w:ind w:left="709" w:hanging="709"/>
        <w:contextualSpacing w:val="0"/>
      </w:pPr>
      <w:r>
        <w:t xml:space="preserve">Clause 11.1 </w:t>
      </w:r>
      <w:r w:rsidR="005D6199">
        <w:t xml:space="preserve">of </w:t>
      </w:r>
      <w:r w:rsidR="00253394">
        <w:t>PWC</w:t>
      </w:r>
      <w:r w:rsidR="005D6199">
        <w:t xml:space="preserve">’s network licence </w:t>
      </w:r>
      <w:r>
        <w:t xml:space="preserve">requires </w:t>
      </w:r>
      <w:r w:rsidR="005D6199">
        <w:t xml:space="preserve">it </w:t>
      </w:r>
      <w:r>
        <w:t xml:space="preserve">to establish and maintain a compliance process. In addition, </w:t>
      </w:r>
      <w:r w:rsidR="00F71BDB">
        <w:t>c</w:t>
      </w:r>
      <w:r>
        <w:t xml:space="preserve">lause 11.5 requires that </w:t>
      </w:r>
      <w:r w:rsidR="00253394">
        <w:t>PWC</w:t>
      </w:r>
      <w:r>
        <w:t xml:space="preserve"> must report any material breach of its obligations under the licence to the Commission as soon as reasonably possible after becoming aware that the breach has occurred, and must advise of the remedial action that is being und</w:t>
      </w:r>
      <w:r w:rsidR="00467ABD">
        <w:t xml:space="preserve">ertaken to rectify the breach. </w:t>
      </w:r>
    </w:p>
    <w:p w:rsidR="00E27A0F" w:rsidRDefault="00E27A0F" w:rsidP="007937A2">
      <w:pPr>
        <w:pStyle w:val="ListParagraph"/>
        <w:numPr>
          <w:ilvl w:val="1"/>
          <w:numId w:val="10"/>
        </w:numPr>
        <w:spacing w:before="200" w:after="100"/>
        <w:ind w:left="709" w:hanging="709"/>
        <w:contextualSpacing w:val="0"/>
      </w:pPr>
      <w:r>
        <w:t>The Commission’s Compliance Framework and Reporting Guidelines</w:t>
      </w:r>
      <w:r w:rsidR="00226B96">
        <w:rPr>
          <w:rStyle w:val="FootnoteReference"/>
        </w:rPr>
        <w:footnoteReference w:id="3"/>
      </w:r>
      <w:r>
        <w:t xml:space="preserve"> note that the Commission aims to foster a culture of compliance by granting licences on the condition that regulated entities:</w:t>
      </w:r>
    </w:p>
    <w:p w:rsidR="00E27A0F" w:rsidRDefault="00E27A0F" w:rsidP="007937A2">
      <w:pPr>
        <w:pStyle w:val="ListParagraph"/>
        <w:numPr>
          <w:ilvl w:val="0"/>
          <w:numId w:val="37"/>
        </w:numPr>
        <w:spacing w:before="100" w:after="100"/>
        <w:ind w:left="1134" w:hanging="425"/>
        <w:contextualSpacing w:val="0"/>
      </w:pPr>
      <w:r>
        <w:t>establish a compliance process that is maintained, regularly updated and auditable;</w:t>
      </w:r>
    </w:p>
    <w:p w:rsidR="00E27A0F" w:rsidRDefault="00E27A0F" w:rsidP="007937A2">
      <w:pPr>
        <w:pStyle w:val="ListParagraph"/>
        <w:numPr>
          <w:ilvl w:val="0"/>
          <w:numId w:val="37"/>
        </w:numPr>
        <w:spacing w:before="100" w:after="100"/>
        <w:ind w:left="1134" w:hanging="425"/>
        <w:contextualSpacing w:val="0"/>
      </w:pPr>
      <w:r>
        <w:t>report on identified material breaches;</w:t>
      </w:r>
    </w:p>
    <w:p w:rsidR="00E27A0F" w:rsidRDefault="00E27A0F" w:rsidP="007937A2">
      <w:pPr>
        <w:pStyle w:val="ListParagraph"/>
        <w:numPr>
          <w:ilvl w:val="0"/>
          <w:numId w:val="37"/>
        </w:numPr>
        <w:spacing w:before="100" w:after="100"/>
        <w:ind w:left="1134" w:hanging="425"/>
        <w:contextualSpacing w:val="0"/>
      </w:pPr>
      <w:r>
        <w:t xml:space="preserve">undertake external compliance audits; and </w:t>
      </w:r>
    </w:p>
    <w:p w:rsidR="00E27A0F" w:rsidRDefault="00E27A0F" w:rsidP="007937A2">
      <w:pPr>
        <w:pStyle w:val="ListParagraph"/>
        <w:numPr>
          <w:ilvl w:val="0"/>
          <w:numId w:val="37"/>
        </w:numPr>
        <w:spacing w:before="100" w:after="100"/>
        <w:ind w:left="1134" w:hanging="425"/>
        <w:contextualSpacing w:val="0"/>
      </w:pPr>
      <w:r>
        <w:lastRenderedPageBreak/>
        <w:t xml:space="preserve">submit an Annual Compliance Report to the Commission in accordance with </w:t>
      </w:r>
      <w:r w:rsidR="007937A2">
        <w:t>c</w:t>
      </w:r>
      <w:r>
        <w:t>lause 11.2 of the licence.</w:t>
      </w:r>
    </w:p>
    <w:p w:rsidR="00E27A0F" w:rsidRDefault="00E27A0F" w:rsidP="007937A2">
      <w:pPr>
        <w:pStyle w:val="ListParagraph"/>
        <w:numPr>
          <w:ilvl w:val="1"/>
          <w:numId w:val="10"/>
        </w:numPr>
        <w:spacing w:before="200" w:after="100"/>
        <w:ind w:left="709" w:hanging="709"/>
        <w:contextualSpacing w:val="0"/>
      </w:pPr>
      <w:r>
        <w:t>The Commission considers a breach to be material when an event has the following attributes:</w:t>
      </w:r>
    </w:p>
    <w:p w:rsidR="00E27A0F" w:rsidRDefault="00E27A0F" w:rsidP="007937A2">
      <w:pPr>
        <w:pStyle w:val="ListParagraph"/>
        <w:numPr>
          <w:ilvl w:val="0"/>
          <w:numId w:val="37"/>
        </w:numPr>
        <w:spacing w:before="100" w:after="100"/>
        <w:ind w:left="1134" w:hanging="425"/>
        <w:contextualSpacing w:val="0"/>
      </w:pPr>
      <w:r>
        <w:t xml:space="preserve">incident adversely affects (financially and/or service provision) customers; </w:t>
      </w:r>
    </w:p>
    <w:p w:rsidR="00E27A0F" w:rsidRDefault="00E27A0F" w:rsidP="007937A2">
      <w:pPr>
        <w:pStyle w:val="ListParagraph"/>
        <w:numPr>
          <w:ilvl w:val="0"/>
          <w:numId w:val="37"/>
        </w:numPr>
        <w:spacing w:before="100" w:after="100"/>
        <w:ind w:left="1134" w:hanging="425"/>
        <w:contextualSpacing w:val="0"/>
      </w:pPr>
      <w:r>
        <w:t xml:space="preserve">a significant number of customers are affected; </w:t>
      </w:r>
    </w:p>
    <w:p w:rsidR="00E27A0F" w:rsidRDefault="00E27A0F" w:rsidP="007937A2">
      <w:pPr>
        <w:pStyle w:val="ListParagraph"/>
        <w:numPr>
          <w:ilvl w:val="0"/>
          <w:numId w:val="37"/>
        </w:numPr>
        <w:spacing w:before="100" w:after="100"/>
        <w:ind w:left="1134" w:hanging="425"/>
        <w:contextualSpacing w:val="0"/>
      </w:pPr>
      <w:r>
        <w:t xml:space="preserve">regulated entity’s ability to provide services is compromised; or </w:t>
      </w:r>
    </w:p>
    <w:p w:rsidR="00E27A0F" w:rsidRPr="00467ABD" w:rsidRDefault="00E27A0F" w:rsidP="007937A2">
      <w:pPr>
        <w:pStyle w:val="ListParagraph"/>
        <w:numPr>
          <w:ilvl w:val="0"/>
          <w:numId w:val="37"/>
        </w:numPr>
        <w:spacing w:before="100" w:after="100"/>
        <w:ind w:left="1134" w:hanging="425"/>
        <w:contextualSpacing w:val="0"/>
      </w:pPr>
      <w:r w:rsidRPr="00467ABD">
        <w:t>public h</w:t>
      </w:r>
      <w:r w:rsidR="00467ABD" w:rsidRPr="00467ABD">
        <w:t>ealth and safety is threatened.</w:t>
      </w:r>
    </w:p>
    <w:p w:rsidR="00467ABD" w:rsidRPr="00467ABD" w:rsidRDefault="00E27A0F" w:rsidP="007937A2">
      <w:pPr>
        <w:pStyle w:val="ListParagraph"/>
        <w:numPr>
          <w:ilvl w:val="1"/>
          <w:numId w:val="10"/>
        </w:numPr>
        <w:spacing w:before="200" w:after="200"/>
        <w:ind w:left="709" w:hanging="709"/>
        <w:contextualSpacing w:val="0"/>
      </w:pPr>
      <w:r w:rsidRPr="00467ABD">
        <w:t xml:space="preserve">The Commission considered it necessary to undertake a detailed review of </w:t>
      </w:r>
      <w:r w:rsidR="00253394" w:rsidRPr="00467ABD">
        <w:t>PWC</w:t>
      </w:r>
      <w:r w:rsidRPr="00467ABD">
        <w:t xml:space="preserve">’s compliance with the </w:t>
      </w:r>
      <w:r w:rsidR="00D713D4">
        <w:t xml:space="preserve">2014 </w:t>
      </w:r>
      <w:r w:rsidRPr="00467ABD">
        <w:t xml:space="preserve">NPD and </w:t>
      </w:r>
      <w:r w:rsidR="00253394" w:rsidRPr="00467ABD">
        <w:t>PWC</w:t>
      </w:r>
      <w:r w:rsidRPr="00467ABD">
        <w:t xml:space="preserve">’s approach to identification and reporting of the breach.  </w:t>
      </w:r>
    </w:p>
    <w:p w:rsidR="00467ABD" w:rsidRPr="00467ABD" w:rsidRDefault="00E27A0F" w:rsidP="007937A2">
      <w:pPr>
        <w:pStyle w:val="ListParagraph"/>
        <w:numPr>
          <w:ilvl w:val="1"/>
          <w:numId w:val="10"/>
        </w:numPr>
        <w:spacing w:before="200" w:after="200"/>
        <w:ind w:left="709" w:hanging="709"/>
        <w:contextualSpacing w:val="0"/>
      </w:pPr>
      <w:r w:rsidRPr="00467ABD">
        <w:t>On 1 July 2015, regulation of network pricing and access, including administration and enforcement of the 2014 NPD, was transferred to the Australian Energy Regulator (AER). The Commission’s review related to excluded network service charges between 1 July 2014 to 30 June 2015</w:t>
      </w:r>
      <w:r w:rsidR="005D6199" w:rsidRPr="00467ABD">
        <w:t xml:space="preserve"> </w:t>
      </w:r>
      <w:r w:rsidRPr="00467ABD">
        <w:t xml:space="preserve">and </w:t>
      </w:r>
      <w:r w:rsidR="00253394" w:rsidRPr="00467ABD">
        <w:t>PWC</w:t>
      </w:r>
      <w:r w:rsidRPr="00467ABD">
        <w:t xml:space="preserve">’s identification and reporting of associated compliance breaches to date. </w:t>
      </w:r>
      <w:r w:rsidR="006F5666" w:rsidRPr="00467ABD">
        <w:t xml:space="preserve">The Commission consulted with the AER in undertaking the review. </w:t>
      </w:r>
    </w:p>
    <w:p w:rsidR="00253394" w:rsidRPr="00467ABD" w:rsidRDefault="00253394" w:rsidP="007937A2">
      <w:pPr>
        <w:pStyle w:val="ListParagraph"/>
        <w:numPr>
          <w:ilvl w:val="1"/>
          <w:numId w:val="10"/>
        </w:numPr>
        <w:spacing w:before="200" w:after="200"/>
        <w:ind w:left="709" w:hanging="709"/>
        <w:contextualSpacing w:val="0"/>
      </w:pPr>
      <w:r w:rsidRPr="00467ABD">
        <w:t xml:space="preserve">In December 2015, PWC submitted its first Annual Compliance Report to the Commission. The Annual Compliance Report did not identify the breach of the 2014 NPD. </w:t>
      </w:r>
    </w:p>
    <w:p w:rsidR="00E27A0F" w:rsidRPr="004F7F24" w:rsidRDefault="00CB12A8" w:rsidP="00467ABD">
      <w:pPr>
        <w:pStyle w:val="UtilComHeading3"/>
        <w:spacing w:before="200" w:line="300" w:lineRule="exact"/>
        <w:rPr>
          <w:color w:val="31849B" w:themeColor="accent5" w:themeShade="BF"/>
        </w:rPr>
      </w:pPr>
      <w:bookmarkStart w:id="15" w:name="_Toc472078497"/>
      <w:r w:rsidRPr="004F7F24">
        <w:rPr>
          <w:color w:val="31849B" w:themeColor="accent5" w:themeShade="BF"/>
        </w:rPr>
        <w:t>Specified Procedures conducted by PricewaterhouseCoopers</w:t>
      </w:r>
      <w:r w:rsidR="00DB5FFC" w:rsidRPr="004F7F24">
        <w:rPr>
          <w:color w:val="31849B" w:themeColor="accent5" w:themeShade="BF"/>
        </w:rPr>
        <w:t xml:space="preserve"> (</w:t>
      </w:r>
      <w:r w:rsidR="00D713D4" w:rsidRPr="004F7F24">
        <w:rPr>
          <w:color w:val="31849B" w:themeColor="accent5" w:themeShade="BF"/>
        </w:rPr>
        <w:t>P</w:t>
      </w:r>
      <w:r w:rsidR="00D713D4">
        <w:rPr>
          <w:color w:val="31849B" w:themeColor="accent5" w:themeShade="BF"/>
        </w:rPr>
        <w:t>w</w:t>
      </w:r>
      <w:r w:rsidR="00D713D4" w:rsidRPr="004F7F24">
        <w:rPr>
          <w:color w:val="31849B" w:themeColor="accent5" w:themeShade="BF"/>
        </w:rPr>
        <w:t>C</w:t>
      </w:r>
      <w:r w:rsidR="00DB5FFC" w:rsidRPr="004F7F24">
        <w:rPr>
          <w:color w:val="31849B" w:themeColor="accent5" w:themeShade="BF"/>
        </w:rPr>
        <w:t>) Australia</w:t>
      </w:r>
      <w:bookmarkEnd w:id="15"/>
    </w:p>
    <w:p w:rsidR="00E27A0F" w:rsidRDefault="00363A6B" w:rsidP="007937A2">
      <w:pPr>
        <w:pStyle w:val="ListParagraph"/>
        <w:numPr>
          <w:ilvl w:val="1"/>
          <w:numId w:val="10"/>
        </w:numPr>
        <w:spacing w:before="200" w:after="0"/>
        <w:ind w:left="709" w:hanging="709"/>
      </w:pPr>
      <w:r>
        <w:t xml:space="preserve">Clause 11.4 of </w:t>
      </w:r>
      <w:r w:rsidR="00253394">
        <w:t>PWC</w:t>
      </w:r>
      <w:r w:rsidR="00E27A0F">
        <w:t xml:space="preserve">’s network licence allows the Commission, upon reasonable notice to a licensee, </w:t>
      </w:r>
      <w:r w:rsidR="00A61DE8">
        <w:t xml:space="preserve">to </w:t>
      </w:r>
      <w:r w:rsidR="00E27A0F">
        <w:t xml:space="preserve">appoint an independent auditor to undertake an audit of the licensee’s compliance with any of its obligations under the licence. The Commission nominates the standards and requirements and the auditor will report in accordance with those standards and requirements. The licensee must cooperate with any reasonable request made by the auditor in undertaking the audit. </w:t>
      </w:r>
    </w:p>
    <w:p w:rsidR="00E27A0F" w:rsidRDefault="00E27A0F" w:rsidP="007937A2">
      <w:pPr>
        <w:pStyle w:val="ListParagraph"/>
        <w:numPr>
          <w:ilvl w:val="1"/>
          <w:numId w:val="10"/>
        </w:numPr>
        <w:spacing w:before="200" w:after="0"/>
        <w:ind w:left="709" w:hanging="709"/>
        <w:contextualSpacing w:val="0"/>
      </w:pPr>
      <w:r>
        <w:t xml:space="preserve">In May 2016 the Commission provided notice that </w:t>
      </w:r>
      <w:r w:rsidR="00DB5FFC">
        <w:t xml:space="preserve">PwC </w:t>
      </w:r>
      <w:r w:rsidR="00FC625B">
        <w:t>Australia had</w:t>
      </w:r>
      <w:r>
        <w:t xml:space="preserve"> been appointed to undertake a specified procedures review related to the 2014 NPD and </w:t>
      </w:r>
      <w:r w:rsidR="00253394">
        <w:t>PWC</w:t>
      </w:r>
      <w:r>
        <w:t xml:space="preserve">’s electricity network licence. </w:t>
      </w:r>
      <w:r w:rsidR="00DB5FFC">
        <w:t>The scope of review is provided at Attachment A.</w:t>
      </w:r>
    </w:p>
    <w:p w:rsidR="009A6942" w:rsidRDefault="00363A6B" w:rsidP="007937A2">
      <w:pPr>
        <w:pStyle w:val="ListParagraph"/>
        <w:numPr>
          <w:ilvl w:val="1"/>
          <w:numId w:val="10"/>
        </w:numPr>
        <w:spacing w:before="200" w:after="0"/>
        <w:ind w:left="709" w:hanging="709"/>
        <w:contextualSpacing w:val="0"/>
      </w:pPr>
      <w:r>
        <w:t xml:space="preserve">PwC </w:t>
      </w:r>
      <w:r w:rsidR="00DB5FFC">
        <w:t xml:space="preserve">Australia </w:t>
      </w:r>
      <w:r>
        <w:t xml:space="preserve">conducted a review, in parts one and two respectively, </w:t>
      </w:r>
      <w:r w:rsidR="00D713D4">
        <w:t xml:space="preserve">of </w:t>
      </w:r>
      <w:r w:rsidR="00253394">
        <w:t>PWC</w:t>
      </w:r>
      <w:r>
        <w:t>’s compliance with</w:t>
      </w:r>
      <w:r w:rsidR="009A6942">
        <w:t xml:space="preserve"> the following</w:t>
      </w:r>
      <w:r>
        <w:t xml:space="preserve">: </w:t>
      </w:r>
    </w:p>
    <w:p w:rsidR="00363A6B" w:rsidRDefault="00363A6B" w:rsidP="00363A6B">
      <w:pPr>
        <w:pStyle w:val="ListParagraph"/>
        <w:spacing w:before="200" w:after="0"/>
        <w:ind w:left="567"/>
      </w:pPr>
    </w:p>
    <w:p w:rsidR="00A0272B" w:rsidRPr="003E4556" w:rsidRDefault="00363A6B" w:rsidP="00A0272B">
      <w:pPr>
        <w:pStyle w:val="ListParagraph"/>
        <w:spacing w:before="200" w:after="0"/>
        <w:ind w:left="567"/>
        <w:rPr>
          <w:b/>
          <w:color w:val="31849B" w:themeColor="accent5" w:themeShade="BF"/>
        </w:rPr>
      </w:pPr>
      <w:r w:rsidRPr="003E4556">
        <w:rPr>
          <w:b/>
          <w:color w:val="31849B" w:themeColor="accent5" w:themeShade="BF"/>
        </w:rPr>
        <w:t xml:space="preserve">Part 1 </w:t>
      </w:r>
    </w:p>
    <w:p w:rsidR="00363A6B" w:rsidRPr="00A0272B" w:rsidRDefault="00A0272B" w:rsidP="007937A2">
      <w:pPr>
        <w:pStyle w:val="ListParagraph"/>
        <w:numPr>
          <w:ilvl w:val="0"/>
          <w:numId w:val="34"/>
        </w:numPr>
        <w:spacing w:before="200" w:after="0"/>
        <w:ind w:left="1134" w:hanging="425"/>
        <w:contextualSpacing w:val="0"/>
        <w:rPr>
          <w:b/>
        </w:rPr>
      </w:pPr>
      <w:r w:rsidRPr="00A0272B">
        <w:t>P</w:t>
      </w:r>
      <w:r w:rsidR="00363A6B">
        <w:t xml:space="preserve">wC Australia reviewed </w:t>
      </w:r>
      <w:r w:rsidR="00253394">
        <w:t>PWC</w:t>
      </w:r>
      <w:r w:rsidR="00363A6B">
        <w:t xml:space="preserve">’s level of compliance with the 2014 NPD, specifically related to </w:t>
      </w:r>
      <w:r w:rsidR="00D713D4">
        <w:t xml:space="preserve">charges for </w:t>
      </w:r>
      <w:r w:rsidR="00363A6B">
        <w:t>excluded network access services that were levied from 1</w:t>
      </w:r>
      <w:r>
        <w:t> </w:t>
      </w:r>
      <w:r w:rsidR="00363A6B">
        <w:t>July 2014 to 30</w:t>
      </w:r>
      <w:r w:rsidR="00DB5FFC">
        <w:t> </w:t>
      </w:r>
      <w:r w:rsidR="00363A6B">
        <w:t xml:space="preserve">June 2015. </w:t>
      </w:r>
    </w:p>
    <w:p w:rsidR="00363A6B" w:rsidRDefault="00363A6B" w:rsidP="007937A2">
      <w:pPr>
        <w:pStyle w:val="ListParagraph"/>
        <w:numPr>
          <w:ilvl w:val="0"/>
          <w:numId w:val="34"/>
        </w:numPr>
        <w:spacing w:before="200" w:after="0"/>
        <w:ind w:left="1134" w:hanging="425"/>
        <w:contextualSpacing w:val="0"/>
      </w:pPr>
      <w:r>
        <w:lastRenderedPageBreak/>
        <w:t xml:space="preserve">PwC Australia undertook sample testing of network charges levied by </w:t>
      </w:r>
      <w:r w:rsidR="00253394">
        <w:t>PWC</w:t>
      </w:r>
      <w:r>
        <w:t xml:space="preserve"> during the period of 1 July 2014 to 30 June 2015 to determine </w:t>
      </w:r>
      <w:r w:rsidR="00253394">
        <w:t>PWC</w:t>
      </w:r>
      <w:r>
        <w:t xml:space="preserve">’s level of compliance with the 2014 NPD. </w:t>
      </w:r>
    </w:p>
    <w:p w:rsidR="00363A6B" w:rsidRPr="003E4556" w:rsidRDefault="00363A6B" w:rsidP="00363A6B">
      <w:pPr>
        <w:pStyle w:val="ListParagraph"/>
        <w:spacing w:before="200" w:after="0"/>
        <w:ind w:left="567"/>
        <w:rPr>
          <w:color w:val="31849B" w:themeColor="accent5" w:themeShade="BF"/>
        </w:rPr>
      </w:pPr>
    </w:p>
    <w:p w:rsidR="00A0272B" w:rsidRPr="003E4556" w:rsidRDefault="00363A6B" w:rsidP="003B6A94">
      <w:pPr>
        <w:spacing w:before="0" w:after="0" w:line="240" w:lineRule="auto"/>
        <w:rPr>
          <w:b/>
          <w:color w:val="31849B" w:themeColor="accent5" w:themeShade="BF"/>
        </w:rPr>
      </w:pPr>
      <w:r w:rsidRPr="003E4556">
        <w:rPr>
          <w:b/>
          <w:color w:val="31849B" w:themeColor="accent5" w:themeShade="BF"/>
        </w:rPr>
        <w:t>Part 2</w:t>
      </w:r>
      <w:r w:rsidR="00A0272B" w:rsidRPr="003E4556">
        <w:rPr>
          <w:b/>
          <w:color w:val="31849B" w:themeColor="accent5" w:themeShade="BF"/>
        </w:rPr>
        <w:t xml:space="preserve"> </w:t>
      </w:r>
    </w:p>
    <w:p w:rsidR="00363A6B" w:rsidRDefault="00363A6B" w:rsidP="007937A2">
      <w:pPr>
        <w:pStyle w:val="ListParagraph"/>
        <w:numPr>
          <w:ilvl w:val="0"/>
          <w:numId w:val="34"/>
        </w:numPr>
        <w:spacing w:before="200" w:after="0"/>
        <w:ind w:left="1134" w:hanging="425"/>
        <w:contextualSpacing w:val="0"/>
      </w:pPr>
      <w:r>
        <w:t xml:space="preserve">PwC Australia undertook a rigorous examination of whether </w:t>
      </w:r>
      <w:r w:rsidR="00253394">
        <w:t>PWC</w:t>
      </w:r>
      <w:r>
        <w:t xml:space="preserve"> had appropriate procedures in place to ensure compliance with the 2014 NPD (including internal audits and regular reporting to the </w:t>
      </w:r>
      <w:r w:rsidR="00226B96">
        <w:t>PWC Board</w:t>
      </w:r>
      <w:r>
        <w:t xml:space="preserve">) and whether </w:t>
      </w:r>
      <w:r w:rsidR="00253394">
        <w:t>PWC</w:t>
      </w:r>
      <w:r>
        <w:t xml:space="preserve"> reporting the material breach of its obligations by way of letter to the Commission dated 10 March 2016 was 'as soon as reasonably possible' after </w:t>
      </w:r>
      <w:r w:rsidR="00253394">
        <w:t>PWC</w:t>
      </w:r>
      <w:r>
        <w:t xml:space="preserve"> became aware of the breach.</w:t>
      </w:r>
    </w:p>
    <w:p w:rsidR="00363A6B" w:rsidRDefault="00363A6B" w:rsidP="007937A2">
      <w:pPr>
        <w:pStyle w:val="ListParagraph"/>
        <w:numPr>
          <w:ilvl w:val="1"/>
          <w:numId w:val="10"/>
        </w:numPr>
        <w:spacing w:before="200" w:after="200"/>
        <w:ind w:left="709" w:hanging="709"/>
        <w:contextualSpacing w:val="0"/>
      </w:pPr>
      <w:r w:rsidRPr="00363A6B">
        <w:t xml:space="preserve">The review had regard to the compliance obligations in </w:t>
      </w:r>
      <w:r w:rsidR="00253394">
        <w:t>PWC</w:t>
      </w:r>
      <w:r w:rsidRPr="00363A6B">
        <w:t>’s network licence and the Commission’s Compliance Framework and Reporting Guidelines. The review was also based on observations and evidence presented, including interviews with</w:t>
      </w:r>
      <w:r w:rsidR="007D5182">
        <w:t xml:space="preserve"> the</w:t>
      </w:r>
      <w:r w:rsidRPr="00363A6B">
        <w:t xml:space="preserve"> licensee</w:t>
      </w:r>
      <w:r w:rsidR="007D5182">
        <w:t>’s</w:t>
      </w:r>
      <w:r w:rsidRPr="00363A6B">
        <w:t xml:space="preserve"> management and personnel and perusal of correspondence and relevant documentation.  </w:t>
      </w:r>
    </w:p>
    <w:p w:rsidR="00363A6B" w:rsidRDefault="00363A6B" w:rsidP="00363A6B">
      <w:pPr>
        <w:spacing w:before="200" w:after="0"/>
      </w:pPr>
    </w:p>
    <w:p w:rsidR="00363A6B" w:rsidRDefault="00363A6B" w:rsidP="00DB3FE7">
      <w:pPr>
        <w:pStyle w:val="NumberLevel1"/>
        <w:tabs>
          <w:tab w:val="num" w:pos="2559"/>
        </w:tabs>
        <w:spacing w:before="700"/>
        <w:ind w:left="431" w:hanging="431"/>
        <w:sectPr w:rsidR="00363A6B" w:rsidSect="008320EB">
          <w:pgSz w:w="11906" w:h="16838"/>
          <w:pgMar w:top="1389" w:right="1416" w:bottom="851" w:left="1440" w:header="708" w:footer="672" w:gutter="0"/>
          <w:pgNumType w:start="1"/>
          <w:cols w:space="708"/>
          <w:titlePg/>
          <w:docGrid w:linePitch="360"/>
        </w:sectPr>
      </w:pPr>
      <w:bookmarkStart w:id="16" w:name="_Toc442328915"/>
      <w:bookmarkEnd w:id="14"/>
    </w:p>
    <w:p w:rsidR="008059FC" w:rsidRPr="00293484" w:rsidRDefault="0051247F" w:rsidP="00AF483C">
      <w:pPr>
        <w:pStyle w:val="UtilComHeading2"/>
        <w:spacing w:before="700"/>
        <w:ind w:left="2160" w:hanging="2160"/>
        <w:rPr>
          <w:bCs/>
          <w:color w:val="31849B" w:themeColor="accent5" w:themeShade="BF"/>
          <w:sz w:val="36"/>
          <w:szCs w:val="36"/>
          <w:lang w:eastAsia="en-AU"/>
        </w:rPr>
      </w:pPr>
      <w:bookmarkStart w:id="17" w:name="_Toc472078498"/>
      <w:r w:rsidRPr="00293484">
        <w:rPr>
          <w:bCs/>
          <w:color w:val="31849B" w:themeColor="accent5" w:themeShade="BF"/>
          <w:sz w:val="36"/>
          <w:szCs w:val="36"/>
          <w:lang w:eastAsia="en-AU"/>
        </w:rPr>
        <w:lastRenderedPageBreak/>
        <w:t>C</w:t>
      </w:r>
      <w:r w:rsidR="00680690" w:rsidRPr="00293484">
        <w:rPr>
          <w:bCs/>
          <w:color w:val="31849B" w:themeColor="accent5" w:themeShade="BF"/>
          <w:sz w:val="36"/>
          <w:szCs w:val="36"/>
          <w:lang w:eastAsia="en-AU"/>
        </w:rPr>
        <w:t xml:space="preserve">hapter </w:t>
      </w:r>
      <w:r w:rsidR="00513438" w:rsidRPr="00293484">
        <w:rPr>
          <w:bCs/>
          <w:color w:val="31849B" w:themeColor="accent5" w:themeShade="BF"/>
          <w:sz w:val="36"/>
          <w:szCs w:val="36"/>
          <w:lang w:eastAsia="en-AU"/>
        </w:rPr>
        <w:t>3</w:t>
      </w:r>
      <w:r w:rsidR="00680690" w:rsidRPr="00293484">
        <w:rPr>
          <w:bCs/>
          <w:color w:val="31849B" w:themeColor="accent5" w:themeShade="BF"/>
          <w:sz w:val="36"/>
          <w:szCs w:val="36"/>
          <w:lang w:eastAsia="en-AU"/>
        </w:rPr>
        <w:t xml:space="preserve">:  </w:t>
      </w:r>
      <w:r w:rsidR="00CD6D6C" w:rsidRPr="00293484">
        <w:rPr>
          <w:bCs/>
          <w:color w:val="31849B" w:themeColor="accent5" w:themeShade="BF"/>
          <w:sz w:val="36"/>
          <w:szCs w:val="36"/>
          <w:lang w:eastAsia="en-AU"/>
        </w:rPr>
        <w:tab/>
      </w:r>
      <w:r w:rsidR="001C4C25">
        <w:rPr>
          <w:bCs/>
          <w:color w:val="31849B" w:themeColor="accent5" w:themeShade="BF"/>
          <w:sz w:val="36"/>
          <w:szCs w:val="36"/>
          <w:lang w:eastAsia="en-AU"/>
        </w:rPr>
        <w:t xml:space="preserve">Key Findings – </w:t>
      </w:r>
      <w:r w:rsidR="00DB5FFC" w:rsidRPr="00293484">
        <w:rPr>
          <w:bCs/>
          <w:color w:val="31849B" w:themeColor="accent5" w:themeShade="BF"/>
          <w:sz w:val="36"/>
          <w:szCs w:val="36"/>
          <w:lang w:eastAsia="en-AU"/>
        </w:rPr>
        <w:t>PwC Australia</w:t>
      </w:r>
      <w:r w:rsidR="003B3022" w:rsidRPr="00293484">
        <w:rPr>
          <w:bCs/>
          <w:color w:val="31849B" w:themeColor="accent5" w:themeShade="BF"/>
          <w:sz w:val="36"/>
          <w:szCs w:val="36"/>
          <w:lang w:eastAsia="en-AU"/>
        </w:rPr>
        <w:t xml:space="preserve"> Report of </w:t>
      </w:r>
      <w:r w:rsidR="008059FC" w:rsidRPr="00293484">
        <w:rPr>
          <w:bCs/>
          <w:color w:val="31849B" w:themeColor="accent5" w:themeShade="BF"/>
          <w:sz w:val="36"/>
          <w:szCs w:val="36"/>
          <w:lang w:eastAsia="en-AU"/>
        </w:rPr>
        <w:t xml:space="preserve">Specified Procedures to </w:t>
      </w:r>
      <w:r w:rsidR="003B3022" w:rsidRPr="00293484">
        <w:rPr>
          <w:bCs/>
          <w:color w:val="31849B" w:themeColor="accent5" w:themeShade="BF"/>
          <w:sz w:val="36"/>
          <w:szCs w:val="36"/>
          <w:lang w:eastAsia="en-AU"/>
        </w:rPr>
        <w:t>the Utilities Commission</w:t>
      </w:r>
      <w:bookmarkEnd w:id="17"/>
      <w:r w:rsidR="00D24A4D">
        <w:rPr>
          <w:bCs/>
          <w:color w:val="31849B" w:themeColor="accent5" w:themeShade="BF"/>
          <w:sz w:val="36"/>
          <w:szCs w:val="36"/>
          <w:lang w:eastAsia="en-AU"/>
        </w:rPr>
        <w:br/>
      </w:r>
      <w:r w:rsidR="003B3022" w:rsidRPr="00293484">
        <w:rPr>
          <w:bCs/>
          <w:color w:val="31849B" w:themeColor="accent5" w:themeShade="BF"/>
          <w:sz w:val="36"/>
          <w:szCs w:val="36"/>
          <w:lang w:eastAsia="en-AU"/>
        </w:rPr>
        <w:t xml:space="preserve"> </w:t>
      </w:r>
    </w:p>
    <w:p w:rsidR="00945E7F" w:rsidRPr="00DF4CE3" w:rsidRDefault="00B31FAB" w:rsidP="00945E7F">
      <w:pPr>
        <w:pStyle w:val="UtilComHeading3"/>
        <w:rPr>
          <w:color w:val="31849B" w:themeColor="accent5" w:themeShade="BF"/>
          <w:sz w:val="28"/>
          <w:szCs w:val="28"/>
        </w:rPr>
      </w:pPr>
      <w:bookmarkStart w:id="18" w:name="_Toc472078499"/>
      <w:r w:rsidRPr="00DF4CE3">
        <w:rPr>
          <w:color w:val="31849B" w:themeColor="accent5" w:themeShade="BF"/>
          <w:sz w:val="28"/>
          <w:szCs w:val="28"/>
        </w:rPr>
        <w:t>Part 1 – Compliance with Network Price Determination</w:t>
      </w:r>
      <w:bookmarkEnd w:id="18"/>
      <w:r w:rsidRPr="00DF4CE3">
        <w:rPr>
          <w:color w:val="31849B" w:themeColor="accent5" w:themeShade="BF"/>
          <w:sz w:val="28"/>
          <w:szCs w:val="28"/>
        </w:rPr>
        <w:t xml:space="preserve"> </w:t>
      </w:r>
      <w:r w:rsidR="00945E7F" w:rsidRPr="00DF4CE3">
        <w:rPr>
          <w:color w:val="31849B" w:themeColor="accent5" w:themeShade="BF"/>
          <w:sz w:val="28"/>
          <w:szCs w:val="28"/>
        </w:rPr>
        <w:t xml:space="preserve"> </w:t>
      </w:r>
    </w:p>
    <w:p w:rsidR="009428C0" w:rsidRPr="003F591D" w:rsidRDefault="008059FC" w:rsidP="009428C0">
      <w:pPr>
        <w:spacing w:before="200" w:after="200"/>
        <w:rPr>
          <w:b/>
          <w:color w:val="31849B" w:themeColor="accent5" w:themeShade="BF"/>
        </w:rPr>
      </w:pPr>
      <w:r w:rsidRPr="003F591D">
        <w:rPr>
          <w:b/>
          <w:color w:val="31849B" w:themeColor="accent5" w:themeShade="BF"/>
        </w:rPr>
        <w:t>Treatment of Service Establishment – New Infrastructure for developers is yet to be finalised</w:t>
      </w:r>
    </w:p>
    <w:p w:rsidR="00945E7F" w:rsidRDefault="00DB5FFC" w:rsidP="00991851">
      <w:pPr>
        <w:pStyle w:val="ListParagraph"/>
        <w:numPr>
          <w:ilvl w:val="0"/>
          <w:numId w:val="13"/>
        </w:numPr>
        <w:spacing w:before="200" w:after="200"/>
        <w:ind w:left="709" w:hanging="720"/>
        <w:contextualSpacing w:val="0"/>
      </w:pPr>
      <w:r>
        <w:t>PwC Australia</w:t>
      </w:r>
      <w:r w:rsidR="00945E7F">
        <w:t xml:space="preserve"> found that as of September 2016, </w:t>
      </w:r>
      <w:r w:rsidR="00253394">
        <w:t>PWC</w:t>
      </w:r>
      <w:r w:rsidR="00945E7F">
        <w:t xml:space="preserve"> has not reached a position on the treatment of new service establishment fees for ‘developer’ customers charged for standard metering connections as an excluded service. </w:t>
      </w:r>
    </w:p>
    <w:p w:rsidR="00E71195" w:rsidRDefault="008059FC" w:rsidP="00485ED2">
      <w:pPr>
        <w:pStyle w:val="ListParagraph"/>
        <w:numPr>
          <w:ilvl w:val="0"/>
          <w:numId w:val="13"/>
        </w:numPr>
        <w:spacing w:before="200" w:after="200"/>
        <w:ind w:left="709" w:hanging="720"/>
        <w:contextualSpacing w:val="0"/>
      </w:pPr>
      <w:r>
        <w:t>PWC had</w:t>
      </w:r>
      <w:r w:rsidR="00D94C69">
        <w:t xml:space="preserve"> previously</w:t>
      </w:r>
      <w:r>
        <w:t xml:space="preserve"> advised that approximately $461,000 in new service establishment fees had been charged to</w:t>
      </w:r>
      <w:r w:rsidR="00E71195">
        <w:t xml:space="preserve"> a total of 81</w:t>
      </w:r>
      <w:r>
        <w:t xml:space="preserve"> developers</w:t>
      </w:r>
      <w:r w:rsidR="00E71195">
        <w:t>.</w:t>
      </w:r>
      <w:r w:rsidR="00D94C69">
        <w:t xml:space="preserve"> </w:t>
      </w:r>
      <w:r w:rsidR="00E71195">
        <w:t>PWC had claimed that it would re-invoice developers a ‘quoted service fee’</w:t>
      </w:r>
      <w:r w:rsidR="00467ABD">
        <w:t xml:space="preserve">. The </w:t>
      </w:r>
      <w:r>
        <w:t xml:space="preserve">Commission has </w:t>
      </w:r>
      <w:r w:rsidR="00467ABD">
        <w:t xml:space="preserve">previously advised PWC that </w:t>
      </w:r>
      <w:r w:rsidR="00945E7F">
        <w:t>developers cannot be charged a fee for new connections</w:t>
      </w:r>
      <w:r w:rsidR="00E71195">
        <w:t xml:space="preserve"> (either fee-based or quoted service fee)</w:t>
      </w:r>
      <w:r w:rsidR="00945E7F">
        <w:t xml:space="preserve"> unless the service provided is above or below standard. </w:t>
      </w:r>
    </w:p>
    <w:p w:rsidR="00BB1C4D" w:rsidRDefault="00E71195" w:rsidP="00BB1C4D">
      <w:pPr>
        <w:pStyle w:val="ListParagraph"/>
        <w:numPr>
          <w:ilvl w:val="0"/>
          <w:numId w:val="13"/>
        </w:numPr>
        <w:spacing w:before="200" w:after="200"/>
        <w:ind w:left="709" w:hanging="720"/>
        <w:contextualSpacing w:val="0"/>
      </w:pPr>
      <w:r>
        <w:t>PwC Australia noted that there appeared to be no timeframe and accountability assigned for resolving the breach.</w:t>
      </w:r>
      <w:r w:rsidR="00ED53CE" w:rsidRPr="00ED53CE">
        <w:t xml:space="preserve"> </w:t>
      </w:r>
      <w:r w:rsidR="00BB1C4D">
        <w:t xml:space="preserve">In December 2016, PWC advised the Commission that it would refund 126 developer customers ($524,117) and is in discussion with Jacana Energy for the refunds to be made. PWC also advised that its billing system had been amended to ensure the charge was no longer applied.  </w:t>
      </w:r>
    </w:p>
    <w:p w:rsidR="00095476" w:rsidRDefault="00095476" w:rsidP="00D94C69">
      <w:pPr>
        <w:pStyle w:val="ListParagraph"/>
        <w:numPr>
          <w:ilvl w:val="0"/>
          <w:numId w:val="13"/>
        </w:numPr>
        <w:spacing w:before="200" w:after="200"/>
        <w:ind w:left="709" w:hanging="720"/>
        <w:contextualSpacing w:val="0"/>
      </w:pPr>
      <w:r>
        <w:t>Sampling</w:t>
      </w:r>
      <w:r w:rsidR="006F65C8">
        <w:t xml:space="preserve"> undertaken by </w:t>
      </w:r>
      <w:r w:rsidR="00DB5FFC">
        <w:t>PwC Australia</w:t>
      </w:r>
      <w:r>
        <w:t xml:space="preserve"> indicated there were material amounts of up to $500,000 charged to a customer for the provision, construction and maintenan</w:t>
      </w:r>
      <w:r w:rsidR="00ED53CE">
        <w:t xml:space="preserve">ce of ‘standard’ street lights </w:t>
      </w:r>
      <w:r>
        <w:t>with no evidence that formal approval to apply a quoted service rather than</w:t>
      </w:r>
      <w:r w:rsidR="00ED53CE">
        <w:t xml:space="preserve"> a fee-based service was sought.</w:t>
      </w:r>
      <w:r w:rsidR="00CC7A23">
        <w:t xml:space="preserve"> </w:t>
      </w:r>
      <w:r w:rsidR="00284F2F">
        <w:t>This issue needs to be reviewed by PWC to ensure the charges applied did not exceed what would have been applied as a fee-based service</w:t>
      </w:r>
      <w:r w:rsidR="00580BDF">
        <w:t xml:space="preserve"> and</w:t>
      </w:r>
      <w:r w:rsidR="00284F2F">
        <w:t xml:space="preserve"> processes put in place to document the approval and classification of services. </w:t>
      </w:r>
    </w:p>
    <w:p w:rsidR="009428C0" w:rsidRPr="003F591D" w:rsidRDefault="00D94C69" w:rsidP="009428C0">
      <w:pPr>
        <w:spacing w:before="200" w:after="200"/>
        <w:rPr>
          <w:b/>
          <w:color w:val="31849B" w:themeColor="accent5" w:themeShade="BF"/>
        </w:rPr>
      </w:pPr>
      <w:r w:rsidRPr="003F591D">
        <w:rPr>
          <w:b/>
          <w:color w:val="31849B" w:themeColor="accent5" w:themeShade="BF"/>
        </w:rPr>
        <w:t>Lack of</w:t>
      </w:r>
      <w:r w:rsidR="009428C0" w:rsidRPr="003F591D">
        <w:rPr>
          <w:b/>
          <w:color w:val="31849B" w:themeColor="accent5" w:themeShade="BF"/>
        </w:rPr>
        <w:t xml:space="preserve"> documentation </w:t>
      </w:r>
      <w:r w:rsidRPr="003F591D">
        <w:rPr>
          <w:b/>
          <w:color w:val="31849B" w:themeColor="accent5" w:themeShade="BF"/>
        </w:rPr>
        <w:t>to clearly articulate PWC’s assessment of ‘standard’ and ‘above’ or ‘non-standard’ services</w:t>
      </w:r>
      <w:r w:rsidR="009428C0" w:rsidRPr="003F591D">
        <w:rPr>
          <w:b/>
          <w:color w:val="31849B" w:themeColor="accent5" w:themeShade="BF"/>
        </w:rPr>
        <w:t xml:space="preserve"> </w:t>
      </w:r>
    </w:p>
    <w:p w:rsidR="00D94C69" w:rsidRDefault="00DB5FFC" w:rsidP="00C9763E">
      <w:pPr>
        <w:pStyle w:val="ListParagraph"/>
        <w:numPr>
          <w:ilvl w:val="0"/>
          <w:numId w:val="13"/>
        </w:numPr>
        <w:spacing w:before="200" w:after="200"/>
        <w:ind w:left="709" w:hanging="720"/>
        <w:contextualSpacing w:val="0"/>
      </w:pPr>
      <w:r>
        <w:t>PwC Australia</w:t>
      </w:r>
      <w:r w:rsidR="000E4AF5">
        <w:t xml:space="preserve"> found that there is no documentation on what constitutes a ‘standard’ and ‘non-standard’ metering connection (which ultimately determines wh</w:t>
      </w:r>
      <w:r w:rsidR="00406AB3">
        <w:t>ether</w:t>
      </w:r>
      <w:r w:rsidR="000E4AF5">
        <w:t xml:space="preserve"> </w:t>
      </w:r>
      <w:r w:rsidR="00253394">
        <w:t>PWC</w:t>
      </w:r>
      <w:r w:rsidR="000E4AF5">
        <w:t xml:space="preserve"> can charge</w:t>
      </w:r>
      <w:r w:rsidR="00406AB3">
        <w:t xml:space="preserve"> an additional fee for a non-standard service</w:t>
      </w:r>
      <w:r w:rsidR="000E4AF5">
        <w:t xml:space="preserve">). </w:t>
      </w:r>
    </w:p>
    <w:p w:rsidR="000E4AF5" w:rsidRDefault="00253394" w:rsidP="00C9763E">
      <w:pPr>
        <w:pStyle w:val="ListParagraph"/>
        <w:numPr>
          <w:ilvl w:val="0"/>
          <w:numId w:val="13"/>
        </w:numPr>
        <w:spacing w:before="200" w:after="200"/>
        <w:ind w:left="709" w:hanging="720"/>
        <w:contextualSpacing w:val="0"/>
      </w:pPr>
      <w:r>
        <w:t>PWC</w:t>
      </w:r>
      <w:r w:rsidR="000E4AF5">
        <w:t xml:space="preserve"> asserts that it is familiar with the definitions as part of daily operations</w:t>
      </w:r>
      <w:r w:rsidR="00397C65">
        <w:t>. H</w:t>
      </w:r>
      <w:r w:rsidR="00ED53CE">
        <w:t xml:space="preserve">owever </w:t>
      </w:r>
      <w:r w:rsidR="00485ED2">
        <w:t xml:space="preserve">PwC Australia noted that the </w:t>
      </w:r>
      <w:r w:rsidR="000E4AF5">
        <w:t xml:space="preserve">business rules are not formally documented. </w:t>
      </w:r>
      <w:r w:rsidR="00C9763E">
        <w:t>Sampling indicates multiple instances where the process for quoting and approving charging customers for a non-standard quoted service ha</w:t>
      </w:r>
      <w:r w:rsidR="00397C65">
        <w:t>s</w:t>
      </w:r>
      <w:r w:rsidR="00C9763E">
        <w:t xml:space="preserve"> not been documented or defined. </w:t>
      </w:r>
    </w:p>
    <w:p w:rsidR="00406AB3" w:rsidRDefault="00406AB3" w:rsidP="009B1853">
      <w:pPr>
        <w:pStyle w:val="ListParagraph"/>
        <w:numPr>
          <w:ilvl w:val="0"/>
          <w:numId w:val="13"/>
        </w:numPr>
        <w:spacing w:before="200" w:after="200"/>
        <w:ind w:left="709" w:hanging="720"/>
        <w:contextualSpacing w:val="0"/>
      </w:pPr>
      <w:r w:rsidRPr="00406AB3">
        <w:t xml:space="preserve">The Commission notes that </w:t>
      </w:r>
      <w:r>
        <w:t>there is</w:t>
      </w:r>
      <w:r w:rsidRPr="00406AB3">
        <w:t xml:space="preserve"> a lack </w:t>
      </w:r>
      <w:r w:rsidR="00742C31">
        <w:t>of an effective control, and an</w:t>
      </w:r>
      <w:r w:rsidRPr="00406AB3">
        <w:t xml:space="preserve"> inability to place any reliance on </w:t>
      </w:r>
      <w:r w:rsidR="00253394">
        <w:t>PWC</w:t>
      </w:r>
      <w:r w:rsidRPr="00406AB3">
        <w:t xml:space="preserve">’s ability to comply with the </w:t>
      </w:r>
      <w:r w:rsidR="008D6143">
        <w:t xml:space="preserve">2014 </w:t>
      </w:r>
      <w:r w:rsidR="009115B6">
        <w:t>NPD</w:t>
      </w:r>
      <w:r w:rsidRPr="00406AB3">
        <w:t xml:space="preserve"> in res</w:t>
      </w:r>
      <w:r>
        <w:t>pect of service classifications.</w:t>
      </w:r>
      <w:r w:rsidRPr="00406AB3">
        <w:t xml:space="preserve"> The lack of evidence or documentation of a systematic process</w:t>
      </w:r>
      <w:r w:rsidR="009115B6">
        <w:t xml:space="preserve"> on the </w:t>
      </w:r>
      <w:r w:rsidR="009115B6">
        <w:lastRenderedPageBreak/>
        <w:t xml:space="preserve">service classification (that is, </w:t>
      </w:r>
      <w:r w:rsidRPr="00406AB3">
        <w:t>determining whether a charge is ‘standard’ or ‘non-standard’</w:t>
      </w:r>
      <w:r w:rsidR="009115B6">
        <w:t xml:space="preserve">) </w:t>
      </w:r>
      <w:r w:rsidRPr="00406AB3">
        <w:t xml:space="preserve">has a pervasive effect on </w:t>
      </w:r>
      <w:r w:rsidR="00253394">
        <w:t>PWC</w:t>
      </w:r>
      <w:r w:rsidRPr="00406AB3">
        <w:t xml:space="preserve">’s compliance with the </w:t>
      </w:r>
      <w:r w:rsidR="008D6143">
        <w:t xml:space="preserve">2014 </w:t>
      </w:r>
      <w:r w:rsidRPr="00406AB3">
        <w:t xml:space="preserve">NPD, and this might indicate the need to investigate if there have been any further breaches in addition to the samples tested by </w:t>
      </w:r>
      <w:r w:rsidR="00DB5FFC">
        <w:t>PwC Australia</w:t>
      </w:r>
      <w:r w:rsidRPr="00406AB3">
        <w:t xml:space="preserve">. </w:t>
      </w:r>
    </w:p>
    <w:p w:rsidR="00C3415B" w:rsidRDefault="00C3415B" w:rsidP="00C9763E">
      <w:pPr>
        <w:pStyle w:val="UtilComHeading3"/>
        <w:rPr>
          <w:color w:val="31849B" w:themeColor="accent5" w:themeShade="BF"/>
          <w:sz w:val="28"/>
          <w:szCs w:val="28"/>
        </w:rPr>
      </w:pPr>
      <w:bookmarkStart w:id="19" w:name="_Toc472078500"/>
    </w:p>
    <w:p w:rsidR="00B31FAB" w:rsidRPr="00DF4CE3" w:rsidRDefault="00C9763E" w:rsidP="00C9763E">
      <w:pPr>
        <w:pStyle w:val="UtilComHeading3"/>
        <w:rPr>
          <w:color w:val="31849B" w:themeColor="accent5" w:themeShade="BF"/>
          <w:sz w:val="28"/>
          <w:szCs w:val="28"/>
        </w:rPr>
      </w:pPr>
      <w:r w:rsidRPr="00DF4CE3">
        <w:rPr>
          <w:color w:val="31849B" w:themeColor="accent5" w:themeShade="BF"/>
          <w:sz w:val="28"/>
          <w:szCs w:val="28"/>
        </w:rPr>
        <w:t xml:space="preserve">Part 2 – </w:t>
      </w:r>
      <w:r w:rsidR="00253394" w:rsidRPr="00DF4CE3">
        <w:rPr>
          <w:color w:val="31849B" w:themeColor="accent5" w:themeShade="BF"/>
          <w:sz w:val="28"/>
          <w:szCs w:val="28"/>
        </w:rPr>
        <w:t>PWC</w:t>
      </w:r>
      <w:r w:rsidRPr="00DF4CE3">
        <w:rPr>
          <w:color w:val="31849B" w:themeColor="accent5" w:themeShade="BF"/>
          <w:sz w:val="28"/>
          <w:szCs w:val="28"/>
        </w:rPr>
        <w:t>’s Compliance Proc</w:t>
      </w:r>
      <w:r w:rsidR="00922D50" w:rsidRPr="00DF4CE3">
        <w:rPr>
          <w:color w:val="31849B" w:themeColor="accent5" w:themeShade="BF"/>
          <w:sz w:val="28"/>
          <w:szCs w:val="28"/>
        </w:rPr>
        <w:t>edures</w:t>
      </w:r>
      <w:bookmarkEnd w:id="19"/>
      <w:r w:rsidR="00922D50" w:rsidRPr="00DF4CE3">
        <w:rPr>
          <w:color w:val="31849B" w:themeColor="accent5" w:themeShade="BF"/>
          <w:sz w:val="28"/>
          <w:szCs w:val="28"/>
        </w:rPr>
        <w:t xml:space="preserve"> </w:t>
      </w:r>
    </w:p>
    <w:p w:rsidR="007A67E9" w:rsidRPr="003F591D" w:rsidRDefault="00922D50" w:rsidP="007A67E9">
      <w:pPr>
        <w:spacing w:before="200" w:after="200"/>
        <w:rPr>
          <w:b/>
          <w:i/>
          <w:color w:val="31849B" w:themeColor="accent5" w:themeShade="BF"/>
        </w:rPr>
      </w:pPr>
      <w:r w:rsidRPr="003F591D">
        <w:rPr>
          <w:b/>
          <w:color w:val="31849B" w:themeColor="accent5" w:themeShade="BF"/>
        </w:rPr>
        <w:t>Compliance roadmap has not been finalised</w:t>
      </w:r>
    </w:p>
    <w:p w:rsidR="007A67E9" w:rsidRDefault="00DB5FFC" w:rsidP="007937A2">
      <w:pPr>
        <w:pStyle w:val="ListParagraph"/>
        <w:numPr>
          <w:ilvl w:val="0"/>
          <w:numId w:val="13"/>
        </w:numPr>
        <w:spacing w:before="200" w:after="200"/>
        <w:ind w:left="709" w:hanging="709"/>
        <w:contextualSpacing w:val="0"/>
      </w:pPr>
      <w:r>
        <w:t>PwC Australia</w:t>
      </w:r>
      <w:r w:rsidR="009E0B56">
        <w:t xml:space="preserve"> found that </w:t>
      </w:r>
      <w:r w:rsidR="00253394">
        <w:t>PWC</w:t>
      </w:r>
      <w:r w:rsidR="008C4E63">
        <w:t xml:space="preserve"> maintains two obligation registers and that </w:t>
      </w:r>
      <w:r w:rsidR="00C3415B">
        <w:t xml:space="preserve">neither </w:t>
      </w:r>
      <w:r w:rsidR="008C4E63">
        <w:t>registers w</w:t>
      </w:r>
      <w:r w:rsidR="00C3415B">
        <w:t xml:space="preserve">as </w:t>
      </w:r>
      <w:r w:rsidR="008C4E63">
        <w:t xml:space="preserve">complete. PwC Australia noted that there was no clearly defined process </w:t>
      </w:r>
      <w:r w:rsidR="009E0B56">
        <w:t xml:space="preserve">for the management of compliance obligations </w:t>
      </w:r>
      <w:r w:rsidR="008C4E63">
        <w:t xml:space="preserve">and no formal process to periodically review the completeness of obligations, identification of </w:t>
      </w:r>
      <w:r w:rsidR="008C4E63" w:rsidRPr="00FC61EA">
        <w:t>control owners or monitoring mechanisms</w:t>
      </w:r>
      <w:r w:rsidR="008C4E63">
        <w:t>.</w:t>
      </w:r>
    </w:p>
    <w:p w:rsidR="008C4E63" w:rsidRDefault="008C4E63" w:rsidP="007937A2">
      <w:pPr>
        <w:pStyle w:val="ListParagraph"/>
        <w:numPr>
          <w:ilvl w:val="0"/>
          <w:numId w:val="13"/>
        </w:numPr>
        <w:spacing w:before="200" w:after="200"/>
        <w:ind w:left="709" w:hanging="709"/>
        <w:contextualSpacing w:val="0"/>
      </w:pPr>
      <w:r>
        <w:t>PwC Australia noted that PWC needs to consider its proposed compliance management strategy in light of the review and prior audit findings, update policies and procedures</w:t>
      </w:r>
      <w:r w:rsidR="00D24A4D">
        <w:t>,</w:t>
      </w:r>
      <w:r>
        <w:t xml:space="preserve"> and clearly demonstrate how it manages compliance with obligations. </w:t>
      </w:r>
    </w:p>
    <w:p w:rsidR="00322E82" w:rsidRPr="003F591D" w:rsidRDefault="008C4E63" w:rsidP="00322E82">
      <w:pPr>
        <w:spacing w:before="200" w:after="200"/>
        <w:rPr>
          <w:b/>
          <w:i/>
          <w:color w:val="31849B" w:themeColor="accent5" w:themeShade="BF"/>
        </w:rPr>
      </w:pPr>
      <w:r w:rsidRPr="003F591D">
        <w:rPr>
          <w:b/>
          <w:color w:val="31849B" w:themeColor="accent5" w:themeShade="BF"/>
        </w:rPr>
        <w:t>B</w:t>
      </w:r>
      <w:r w:rsidR="00DB2757" w:rsidRPr="003F591D">
        <w:rPr>
          <w:b/>
          <w:color w:val="31849B" w:themeColor="accent5" w:themeShade="BF"/>
        </w:rPr>
        <w:t>reach reporting proc</w:t>
      </w:r>
      <w:r w:rsidRPr="003F591D">
        <w:rPr>
          <w:b/>
          <w:color w:val="31849B" w:themeColor="accent5" w:themeShade="BF"/>
        </w:rPr>
        <w:t xml:space="preserve">edure has not been formally documented </w:t>
      </w:r>
    </w:p>
    <w:p w:rsidR="0064753A" w:rsidRDefault="0064753A" w:rsidP="007937A2">
      <w:pPr>
        <w:pStyle w:val="ListParagraph"/>
        <w:numPr>
          <w:ilvl w:val="0"/>
          <w:numId w:val="13"/>
        </w:numPr>
        <w:spacing w:before="200" w:after="200"/>
        <w:ind w:left="709" w:hanging="709"/>
        <w:contextualSpacing w:val="0"/>
      </w:pPr>
      <w:r>
        <w:t xml:space="preserve">PwC Australia found that PWC </w:t>
      </w:r>
      <w:r w:rsidR="006C627A">
        <w:t xml:space="preserve">did not </w:t>
      </w:r>
      <w:r>
        <w:t>have a documented or defined approach to classifying material events</w:t>
      </w:r>
      <w:r w:rsidR="006C627A">
        <w:t xml:space="preserve"> </w:t>
      </w:r>
      <w:r>
        <w:t>or a formal policy or procedure outlining the process for reporting and escalating breaches externa</w:t>
      </w:r>
      <w:r w:rsidR="006C627A">
        <w:t xml:space="preserve">lly to the Commission and </w:t>
      </w:r>
      <w:r w:rsidR="00D24A4D">
        <w:t xml:space="preserve">that </w:t>
      </w:r>
      <w:r w:rsidR="006C627A">
        <w:t xml:space="preserve">roles and responsibilities had not been formally assigned. </w:t>
      </w:r>
    </w:p>
    <w:p w:rsidR="00322E82" w:rsidRDefault="006C627A" w:rsidP="007937A2">
      <w:pPr>
        <w:pStyle w:val="ListParagraph"/>
        <w:numPr>
          <w:ilvl w:val="0"/>
          <w:numId w:val="13"/>
        </w:numPr>
        <w:spacing w:before="200" w:after="200"/>
        <w:ind w:left="709" w:hanging="709"/>
        <w:contextualSpacing w:val="0"/>
      </w:pPr>
      <w:r>
        <w:t>PwC Australia no</w:t>
      </w:r>
      <w:r w:rsidR="00C3415B">
        <w:t>ted that PWC asserted that it tr</w:t>
      </w:r>
      <w:r>
        <w:t>eat</w:t>
      </w:r>
      <w:r w:rsidR="00C3415B">
        <w:t>s</w:t>
      </w:r>
      <w:r>
        <w:t xml:space="preserve"> all breaches as material for reporting but this approach had not been formally documented and agreed. PwC Australia noted that PWC should clarify with the Commission its process for determination of whether a breach is material and timeframes for reporting non-compliance events. </w:t>
      </w:r>
      <w:r w:rsidR="00322E82">
        <w:t xml:space="preserve"> </w:t>
      </w:r>
    </w:p>
    <w:p w:rsidR="001A602C" w:rsidRPr="003F591D" w:rsidRDefault="006C627A" w:rsidP="001A602C">
      <w:pPr>
        <w:spacing w:before="200" w:after="200"/>
        <w:rPr>
          <w:b/>
          <w:color w:val="31849B" w:themeColor="accent5" w:themeShade="BF"/>
        </w:rPr>
      </w:pPr>
      <w:r w:rsidRPr="003F591D">
        <w:rPr>
          <w:b/>
          <w:color w:val="31849B" w:themeColor="accent5" w:themeShade="BF"/>
        </w:rPr>
        <w:t xml:space="preserve">Process to prepare and approve Annual Compliance Reports needs to be developed </w:t>
      </w:r>
    </w:p>
    <w:p w:rsidR="00833D6A" w:rsidRPr="00A207B7" w:rsidRDefault="004A1457" w:rsidP="008F7F96">
      <w:pPr>
        <w:pStyle w:val="ListParagraph"/>
        <w:numPr>
          <w:ilvl w:val="0"/>
          <w:numId w:val="13"/>
        </w:numPr>
        <w:spacing w:before="200" w:after="200"/>
        <w:ind w:left="709" w:hanging="720"/>
        <w:contextualSpacing w:val="0"/>
        <w:rPr>
          <w:color w:val="000000" w:themeColor="text1"/>
        </w:rPr>
      </w:pPr>
      <w:r w:rsidRPr="008F7F96">
        <w:t xml:space="preserve">Following a number of audits in 2014 and 2015 which highlighted concern regarding licensees’ </w:t>
      </w:r>
      <w:r w:rsidRPr="004A1457">
        <w:t>compliance processes</w:t>
      </w:r>
      <w:r>
        <w:t xml:space="preserve">, the Commission </w:t>
      </w:r>
      <w:r w:rsidR="00DE24C6">
        <w:t xml:space="preserve">introduced </w:t>
      </w:r>
      <w:r>
        <w:t>new Compliance Framework and Reporting Guidelines in 2</w:t>
      </w:r>
      <w:r w:rsidR="00F50C0E" w:rsidRPr="008F7F96">
        <w:t>015</w:t>
      </w:r>
      <w:r w:rsidRPr="008F7F96">
        <w:t xml:space="preserve"> which, among other things, </w:t>
      </w:r>
      <w:r w:rsidR="00F50C0E" w:rsidRPr="008F7F96">
        <w:t xml:space="preserve">imposed an annual compliance reporting requirement on all licensees and an annual declaration from the Board of Directors as a mechanism for elevating the importance of compliance. </w:t>
      </w:r>
      <w:r w:rsidRPr="008F7F96">
        <w:t>The new Guidelines are consistent with requirements imposed on licensee</w:t>
      </w:r>
      <w:r w:rsidR="008D6143" w:rsidRPr="008F7F96">
        <w:t>s</w:t>
      </w:r>
      <w:r w:rsidRPr="008F7F96">
        <w:t xml:space="preserve"> in other jurisdictions </w:t>
      </w:r>
      <w:r w:rsidR="00DE24C6" w:rsidRPr="008F7F96">
        <w:t>and relevant national standards</w:t>
      </w:r>
      <w:r w:rsidR="00C3415B">
        <w:rPr>
          <w:rStyle w:val="FootnoteReference"/>
        </w:rPr>
        <w:footnoteReference w:id="4"/>
      </w:r>
      <w:r w:rsidR="00D24A4D" w:rsidRPr="008F7F96">
        <w:t>,</w:t>
      </w:r>
      <w:r w:rsidR="00DE24C6" w:rsidRPr="008F7F96">
        <w:t xml:space="preserve"> and no more than the Commission would reasonably expect be required by senior management and the Board of a licensee as part of good governance arrangements.</w:t>
      </w:r>
      <w:r w:rsidR="00DE24C6" w:rsidRPr="00A207B7">
        <w:rPr>
          <w:color w:val="000000" w:themeColor="text1"/>
        </w:rPr>
        <w:t xml:space="preserve"> </w:t>
      </w:r>
      <w:r w:rsidRPr="00A207B7">
        <w:rPr>
          <w:color w:val="000000" w:themeColor="text1"/>
        </w:rPr>
        <w:t xml:space="preserve"> </w:t>
      </w:r>
      <w:r w:rsidR="00833D6A" w:rsidRPr="00A207B7">
        <w:rPr>
          <w:color w:val="000000" w:themeColor="text1"/>
        </w:rPr>
        <w:br w:type="page"/>
      </w:r>
    </w:p>
    <w:p w:rsidR="004A1457" w:rsidRPr="004A1457" w:rsidRDefault="004A1457" w:rsidP="007937A2">
      <w:pPr>
        <w:pStyle w:val="ListParagraph"/>
        <w:numPr>
          <w:ilvl w:val="0"/>
          <w:numId w:val="13"/>
        </w:numPr>
        <w:spacing w:before="200" w:after="200"/>
        <w:ind w:left="709" w:hanging="709"/>
        <w:contextualSpacing w:val="0"/>
      </w:pPr>
      <w:r>
        <w:rPr>
          <w:color w:val="000000" w:themeColor="text1"/>
        </w:rPr>
        <w:lastRenderedPageBreak/>
        <w:t>The new Guidelines strengthened compliance reporting requirements</w:t>
      </w:r>
      <w:r w:rsidR="00BC413E">
        <w:rPr>
          <w:color w:val="000000" w:themeColor="text1"/>
        </w:rPr>
        <w:t xml:space="preserve">. This was a result of </w:t>
      </w:r>
      <w:r w:rsidR="00FD6567">
        <w:rPr>
          <w:color w:val="000000" w:themeColor="text1"/>
        </w:rPr>
        <w:t xml:space="preserve">what the Commission considered to be material breaches not reported by PWC over the past several years, including system security obligations identified as part of the 12 March 2014 System Black incident investigation. </w:t>
      </w:r>
    </w:p>
    <w:p w:rsidR="00CB2575" w:rsidRPr="00CB2575" w:rsidRDefault="00F50C0E" w:rsidP="007937A2">
      <w:pPr>
        <w:pStyle w:val="ListParagraph"/>
        <w:numPr>
          <w:ilvl w:val="0"/>
          <w:numId w:val="13"/>
        </w:numPr>
        <w:spacing w:before="200" w:after="200"/>
        <w:ind w:left="709" w:hanging="709"/>
        <w:contextualSpacing w:val="0"/>
        <w:rPr>
          <w:color w:val="000000" w:themeColor="text1"/>
        </w:rPr>
      </w:pPr>
      <w:r w:rsidRPr="004A1457">
        <w:t xml:space="preserve">PwC Australia noted that </w:t>
      </w:r>
      <w:r w:rsidR="00253394" w:rsidRPr="004A1457">
        <w:t>PWC</w:t>
      </w:r>
      <w:r w:rsidR="00FD6567">
        <w:t>’s breach reporting process had not been formally documented and c</w:t>
      </w:r>
      <w:r w:rsidR="00FC61EA" w:rsidRPr="004A1457">
        <w:t>ompliance status reports submitted to the ELT and ARMC d</w:t>
      </w:r>
      <w:r w:rsidR="00CB2575">
        <w:t>id n</w:t>
      </w:r>
      <w:r w:rsidR="00FC61EA" w:rsidRPr="004A1457">
        <w:t xml:space="preserve">ot include listings of compliance breaches identified, those under investigation, those reported to the Commission or statement that no issues have been identified. </w:t>
      </w:r>
    </w:p>
    <w:p w:rsidR="00FC61EA" w:rsidRDefault="00DE24C6" w:rsidP="007937A2">
      <w:pPr>
        <w:pStyle w:val="ListParagraph"/>
        <w:numPr>
          <w:ilvl w:val="0"/>
          <w:numId w:val="13"/>
        </w:numPr>
        <w:spacing w:before="200" w:after="200"/>
        <w:ind w:left="709" w:hanging="709"/>
        <w:contextualSpacing w:val="0"/>
      </w:pPr>
      <w:r>
        <w:rPr>
          <w:color w:val="000000" w:themeColor="text1"/>
        </w:rPr>
        <w:t>P</w:t>
      </w:r>
      <w:r>
        <w:t xml:space="preserve">WC’s first Annual Compliance Report in 2015 identified nine breaches of which none were formally reported to the ARMC or formally recorded in GRACE for action. The breach of the </w:t>
      </w:r>
      <w:r w:rsidR="008D6143">
        <w:t xml:space="preserve">2014 </w:t>
      </w:r>
      <w:r>
        <w:t xml:space="preserve">NPD originally identified in October 2015 was not included as a breach in the Annual Compliance Report. </w:t>
      </w:r>
      <w:r w:rsidR="00CB2575">
        <w:t xml:space="preserve">PwC Australia noted that </w:t>
      </w:r>
      <w:r w:rsidR="00253394" w:rsidRPr="004A1457">
        <w:t>PWC</w:t>
      </w:r>
      <w:r w:rsidR="00FC61EA" w:rsidRPr="004A1457">
        <w:t xml:space="preserve"> management assert</w:t>
      </w:r>
      <w:r w:rsidR="00CB2575">
        <w:t>ed</w:t>
      </w:r>
      <w:r w:rsidR="00FC61EA" w:rsidRPr="004A1457">
        <w:t xml:space="preserve"> discussions took place in 2015, however</w:t>
      </w:r>
      <w:r w:rsidR="00FC61EA" w:rsidRPr="00CB2575">
        <w:rPr>
          <w:color w:val="000000" w:themeColor="text1"/>
        </w:rPr>
        <w:t xml:space="preserve"> there was no documentation to evidence </w:t>
      </w:r>
      <w:r w:rsidR="00BC413E">
        <w:rPr>
          <w:color w:val="000000" w:themeColor="text1"/>
        </w:rPr>
        <w:t xml:space="preserve">that the </w:t>
      </w:r>
      <w:r w:rsidR="00FC61EA" w:rsidRPr="00CB2575">
        <w:rPr>
          <w:color w:val="000000" w:themeColor="text1"/>
        </w:rPr>
        <w:t xml:space="preserve">ARMC or ELT were consulted. </w:t>
      </w:r>
    </w:p>
    <w:p w:rsidR="00322E82" w:rsidRPr="00D3593A" w:rsidRDefault="00D862EC" w:rsidP="00D3593A">
      <w:pPr>
        <w:spacing w:before="200" w:after="200"/>
        <w:rPr>
          <w:b/>
          <w:color w:val="31849B" w:themeColor="accent5" w:themeShade="BF"/>
        </w:rPr>
      </w:pPr>
      <w:r>
        <w:rPr>
          <w:b/>
          <w:color w:val="31849B" w:themeColor="accent5" w:themeShade="BF"/>
        </w:rPr>
        <w:t>B</w:t>
      </w:r>
      <w:r w:rsidR="00D3593A">
        <w:rPr>
          <w:b/>
          <w:color w:val="31849B" w:themeColor="accent5" w:themeShade="BF"/>
        </w:rPr>
        <w:t>reach has not complied with PWC’s reporting procedures</w:t>
      </w:r>
    </w:p>
    <w:p w:rsidR="00B74090" w:rsidRDefault="00B74090" w:rsidP="007937A2">
      <w:pPr>
        <w:pStyle w:val="ListParagraph"/>
        <w:numPr>
          <w:ilvl w:val="0"/>
          <w:numId w:val="13"/>
        </w:numPr>
        <w:spacing w:before="200" w:after="200"/>
        <w:ind w:left="709" w:hanging="709"/>
        <w:contextualSpacing w:val="0"/>
      </w:pPr>
      <w:r>
        <w:t>PwC Australia noted that the PWC user guides require non-compliance regulatory events (breaches) to be entered in PWC’s GRACE system, risk assessment to be completed as soon as reasonably possible (within three business days) and an interim investigation report to be submitted within a maximum of 30 days (or reasons provided if this timeframe is extended).</w:t>
      </w:r>
    </w:p>
    <w:p w:rsidR="00B74090" w:rsidRDefault="00B74090" w:rsidP="007937A2">
      <w:pPr>
        <w:pStyle w:val="ListParagraph"/>
        <w:numPr>
          <w:ilvl w:val="0"/>
          <w:numId w:val="13"/>
        </w:numPr>
        <w:spacing w:before="200" w:after="200"/>
        <w:ind w:left="709" w:hanging="709"/>
        <w:contextualSpacing w:val="0"/>
      </w:pPr>
      <w:r>
        <w:t xml:space="preserve">PwC Australia noted that the breach of the </w:t>
      </w:r>
      <w:r w:rsidR="008D6143">
        <w:t xml:space="preserve">2014 </w:t>
      </w:r>
      <w:r>
        <w:t>NPD</w:t>
      </w:r>
      <w:r w:rsidR="00BC413E">
        <w:t xml:space="preserve"> </w:t>
      </w:r>
      <w:r>
        <w:t xml:space="preserve">had not been entered into GRACE and therefore the timeframes were not automatically tracked by the system. PwC noted that a formal register of actual or possible non-compliance issues was not systematically maintained within or outside of GRACE. </w:t>
      </w:r>
    </w:p>
    <w:p w:rsidR="00D24A4D" w:rsidRDefault="00D24A4D" w:rsidP="00C25269">
      <w:pPr>
        <w:pStyle w:val="ListParagraph"/>
        <w:spacing w:before="200" w:after="200"/>
        <w:ind w:left="709"/>
        <w:contextualSpacing w:val="0"/>
      </w:pPr>
    </w:p>
    <w:p w:rsidR="00D3593A" w:rsidRPr="00D3593A" w:rsidRDefault="00D3593A" w:rsidP="00D3593A">
      <w:pPr>
        <w:pStyle w:val="UtilComHeading3"/>
        <w:rPr>
          <w:color w:val="31849B" w:themeColor="accent5" w:themeShade="BF"/>
          <w:sz w:val="28"/>
          <w:szCs w:val="28"/>
        </w:rPr>
      </w:pPr>
      <w:bookmarkStart w:id="20" w:name="_Toc472078501"/>
      <w:r w:rsidRPr="00D3593A">
        <w:rPr>
          <w:color w:val="31849B" w:themeColor="accent5" w:themeShade="BF"/>
          <w:sz w:val="28"/>
          <w:szCs w:val="28"/>
        </w:rPr>
        <w:t xml:space="preserve">Other </w:t>
      </w:r>
      <w:r w:rsidR="00AF3A86">
        <w:rPr>
          <w:color w:val="31849B" w:themeColor="accent5" w:themeShade="BF"/>
          <w:sz w:val="28"/>
          <w:szCs w:val="28"/>
        </w:rPr>
        <w:t xml:space="preserve">issues </w:t>
      </w:r>
      <w:r w:rsidRPr="00D3593A">
        <w:rPr>
          <w:color w:val="31849B" w:themeColor="accent5" w:themeShade="BF"/>
          <w:sz w:val="28"/>
          <w:szCs w:val="28"/>
        </w:rPr>
        <w:t xml:space="preserve">noted in the report </w:t>
      </w:r>
      <w:r w:rsidR="00AF3A86">
        <w:rPr>
          <w:color w:val="31849B" w:themeColor="accent5" w:themeShade="BF"/>
          <w:sz w:val="28"/>
          <w:szCs w:val="28"/>
        </w:rPr>
        <w:t xml:space="preserve">of concern to </w:t>
      </w:r>
      <w:r w:rsidRPr="00D3593A">
        <w:rPr>
          <w:color w:val="31849B" w:themeColor="accent5" w:themeShade="BF"/>
          <w:sz w:val="28"/>
          <w:szCs w:val="28"/>
        </w:rPr>
        <w:t>the Commission</w:t>
      </w:r>
      <w:bookmarkEnd w:id="20"/>
    </w:p>
    <w:p w:rsidR="00467ABD" w:rsidRPr="003F591D" w:rsidRDefault="00467ABD" w:rsidP="00467ABD">
      <w:pPr>
        <w:spacing w:before="200" w:after="200"/>
        <w:rPr>
          <w:b/>
          <w:color w:val="31849B" w:themeColor="accent5" w:themeShade="BF"/>
        </w:rPr>
      </w:pPr>
      <w:r w:rsidRPr="003F591D">
        <w:rPr>
          <w:b/>
          <w:color w:val="31849B" w:themeColor="accent5" w:themeShade="BF"/>
        </w:rPr>
        <w:t xml:space="preserve">Transaction and customer data provided by PWC was not reliable  </w:t>
      </w:r>
    </w:p>
    <w:p w:rsidR="00467ABD" w:rsidRDefault="00467ABD" w:rsidP="007937A2">
      <w:pPr>
        <w:pStyle w:val="ListParagraph"/>
        <w:numPr>
          <w:ilvl w:val="0"/>
          <w:numId w:val="13"/>
        </w:numPr>
        <w:spacing w:before="200" w:after="200"/>
        <w:ind w:left="709" w:hanging="709"/>
        <w:contextualSpacing w:val="0"/>
      </w:pPr>
      <w:r>
        <w:t xml:space="preserve">PwC Australia was not able to reconcile fee-based or quoted service lists to PWC’s financial statements, nor confirm the completeness of the data. Data provided by PWC relating to charges within the 2014-15 period ranged from 6,834 transactions (provided in June 2016) to 10,385 transactions (provided in August 2016). </w:t>
      </w:r>
    </w:p>
    <w:p w:rsidR="00467ABD" w:rsidRDefault="00467ABD" w:rsidP="007937A2">
      <w:pPr>
        <w:pStyle w:val="ListParagraph"/>
        <w:numPr>
          <w:ilvl w:val="0"/>
          <w:numId w:val="13"/>
        </w:numPr>
        <w:spacing w:before="200" w:after="200"/>
        <w:ind w:left="709" w:hanging="709"/>
        <w:contextualSpacing w:val="0"/>
      </w:pPr>
      <w:r>
        <w:t>The Commission is concerned that PWC was unable to provide a verifiable list of charges applied during 2014-15 that reconciled to its financial statements</w:t>
      </w:r>
      <w:r w:rsidR="005C4445">
        <w:t xml:space="preserve"> or</w:t>
      </w:r>
      <w:r w:rsidR="00646589">
        <w:t>, at best,</w:t>
      </w:r>
      <w:r w:rsidR="005C4445">
        <w:t xml:space="preserve"> be verified internally. The </w:t>
      </w:r>
      <w:r>
        <w:t xml:space="preserve">multiple lists provided by PWC varied so significantly </w:t>
      </w:r>
      <w:r w:rsidR="00BC413E">
        <w:t xml:space="preserve">as to </w:t>
      </w:r>
      <w:r>
        <w:t>provide</w:t>
      </w:r>
      <w:r w:rsidR="00BC413E">
        <w:t xml:space="preserve"> limited</w:t>
      </w:r>
      <w:r>
        <w:t xml:space="preserve"> confidence in the completeness and accuracy of PWC’s data or that the overcharging of customers was isolated to the customers identified by PWC as having been overcharged.  </w:t>
      </w:r>
    </w:p>
    <w:p w:rsidR="00833D6A" w:rsidRDefault="00833D6A">
      <w:pPr>
        <w:spacing w:before="0" w:after="0" w:line="240" w:lineRule="auto"/>
        <w:rPr>
          <w:lang w:val="en-US"/>
        </w:rPr>
      </w:pPr>
      <w:r>
        <w:br w:type="page"/>
      </w:r>
    </w:p>
    <w:p w:rsidR="00467ABD" w:rsidRDefault="00467ABD" w:rsidP="007937A2">
      <w:pPr>
        <w:pStyle w:val="ListParagraph"/>
        <w:numPr>
          <w:ilvl w:val="0"/>
          <w:numId w:val="13"/>
        </w:numPr>
        <w:spacing w:before="200" w:after="200"/>
        <w:ind w:left="709" w:hanging="709"/>
        <w:contextualSpacing w:val="0"/>
      </w:pPr>
      <w:r>
        <w:lastRenderedPageBreak/>
        <w:t>PwC Australia</w:t>
      </w:r>
      <w:r w:rsidR="005C4445">
        <w:t xml:space="preserve"> recommended that </w:t>
      </w:r>
      <w:r>
        <w:t>PWC implement processes to ensure that system reports of excluded network access services are defined and documented in work instructions and that PWC perform report validations to confirm completeness and accuracy of the data for excluded network access services and to implement process to reconcile listings with PWC’s financial statements.</w:t>
      </w:r>
    </w:p>
    <w:p w:rsidR="005C4445" w:rsidRPr="005C4445" w:rsidRDefault="005C4445" w:rsidP="005C4445">
      <w:pPr>
        <w:spacing w:before="200" w:after="200"/>
        <w:rPr>
          <w:b/>
          <w:color w:val="31849B" w:themeColor="accent5" w:themeShade="BF"/>
        </w:rPr>
      </w:pPr>
      <w:r>
        <w:rPr>
          <w:b/>
          <w:color w:val="31849B" w:themeColor="accent5" w:themeShade="BF"/>
        </w:rPr>
        <w:t xml:space="preserve">Policies and procedures </w:t>
      </w:r>
      <w:r w:rsidRPr="005C4445">
        <w:rPr>
          <w:b/>
          <w:color w:val="31849B" w:themeColor="accent5" w:themeShade="BF"/>
        </w:rPr>
        <w:t>are not updated regularly</w:t>
      </w:r>
    </w:p>
    <w:p w:rsidR="00B74090" w:rsidRDefault="005C4445" w:rsidP="007937A2">
      <w:pPr>
        <w:pStyle w:val="ListParagraph"/>
        <w:numPr>
          <w:ilvl w:val="0"/>
          <w:numId w:val="13"/>
        </w:numPr>
        <w:spacing w:before="200" w:after="200"/>
        <w:ind w:left="709" w:hanging="709"/>
        <w:contextualSpacing w:val="0"/>
      </w:pPr>
      <w:r>
        <w:t>It was noted that f</w:t>
      </w:r>
      <w:r w:rsidR="00B74090">
        <w:t xml:space="preserve">ormal policies and procedures for compliance management and risk management </w:t>
      </w:r>
      <w:r>
        <w:t xml:space="preserve">had not been </w:t>
      </w:r>
      <w:r w:rsidR="00B74090">
        <w:t>reviewed and updated on an annual basis</w:t>
      </w:r>
      <w:r>
        <w:t xml:space="preserve"> and s</w:t>
      </w:r>
      <w:r w:rsidR="00B74090">
        <w:t>ome procedures ha</w:t>
      </w:r>
      <w:r>
        <w:t>d</w:t>
      </w:r>
      <w:r w:rsidR="00B74090">
        <w:t xml:space="preserve"> not been developed and</w:t>
      </w:r>
      <w:r>
        <w:t xml:space="preserve"> </w:t>
      </w:r>
      <w:r w:rsidR="00B74090">
        <w:t xml:space="preserve">or finalised. Training materials/guides are not documented for the processes of obligation identification, review and compliance management. </w:t>
      </w:r>
    </w:p>
    <w:p w:rsidR="005C4445" w:rsidRPr="005C4445" w:rsidRDefault="005C4445" w:rsidP="0007083A">
      <w:pPr>
        <w:spacing w:before="0" w:after="0" w:line="240" w:lineRule="auto"/>
        <w:rPr>
          <w:b/>
          <w:color w:val="31849B" w:themeColor="accent5" w:themeShade="BF"/>
        </w:rPr>
      </w:pPr>
      <w:r w:rsidRPr="005C4445">
        <w:rPr>
          <w:b/>
          <w:color w:val="31849B" w:themeColor="accent5" w:themeShade="BF"/>
        </w:rPr>
        <w:t>PWC’s register of compliance obligations is incomplete</w:t>
      </w:r>
    </w:p>
    <w:p w:rsidR="005C4445" w:rsidRDefault="005C4445" w:rsidP="007937A2">
      <w:pPr>
        <w:pStyle w:val="ListParagraph"/>
        <w:numPr>
          <w:ilvl w:val="0"/>
          <w:numId w:val="13"/>
        </w:numPr>
        <w:spacing w:before="200" w:after="200"/>
        <w:ind w:left="709" w:hanging="709"/>
        <w:contextualSpacing w:val="0"/>
      </w:pPr>
      <w:r>
        <w:t xml:space="preserve">In March 2016, the </w:t>
      </w:r>
      <w:r w:rsidRPr="00C279CE">
        <w:t xml:space="preserve">Commission </w:t>
      </w:r>
      <w:r>
        <w:t>undertook a high level gap analysis of PWC</w:t>
      </w:r>
      <w:r w:rsidR="00646589">
        <w:t>’</w:t>
      </w:r>
      <w:r>
        <w:t xml:space="preserve">s register of compliance obligations and </w:t>
      </w:r>
      <w:r w:rsidRPr="00C279CE">
        <w:t xml:space="preserve">identified </w:t>
      </w:r>
      <w:r>
        <w:t xml:space="preserve">a number of regulatory instruments that had not been included and areas where the adequacy of management controls for </w:t>
      </w:r>
      <w:r w:rsidR="00646589">
        <w:t xml:space="preserve">identified </w:t>
      </w:r>
      <w:r>
        <w:t xml:space="preserve">obligations was questionable.  </w:t>
      </w:r>
    </w:p>
    <w:p w:rsidR="00C279CE" w:rsidRDefault="005C4445" w:rsidP="007937A2">
      <w:pPr>
        <w:pStyle w:val="ListParagraph"/>
        <w:numPr>
          <w:ilvl w:val="0"/>
          <w:numId w:val="13"/>
        </w:numPr>
        <w:spacing w:before="200" w:after="200"/>
        <w:ind w:left="709" w:hanging="709"/>
        <w:contextualSpacing w:val="0"/>
      </w:pPr>
      <w:r>
        <w:t xml:space="preserve">PwC Australia noted that </w:t>
      </w:r>
      <w:r w:rsidR="00C279CE" w:rsidRPr="00C279CE">
        <w:t xml:space="preserve">analysis </w:t>
      </w:r>
      <w:r w:rsidR="0016766A">
        <w:t>provided by Commission had not been</w:t>
      </w:r>
      <w:r w:rsidR="00C279CE" w:rsidRPr="00C279CE">
        <w:t xml:space="preserve"> formally reviewed by </w:t>
      </w:r>
      <w:r w:rsidR="00253394">
        <w:t>PWC</w:t>
      </w:r>
      <w:r w:rsidR="00C279CE" w:rsidRPr="00C279CE">
        <w:t xml:space="preserve"> and there is not yet a clear plan to incorporate the analysis</w:t>
      </w:r>
      <w:r w:rsidR="0016766A">
        <w:t xml:space="preserve"> into its review of obligations.</w:t>
      </w:r>
      <w:r w:rsidR="0016766A" w:rsidRPr="0016766A">
        <w:t xml:space="preserve"> </w:t>
      </w:r>
      <w:r w:rsidR="0016766A">
        <w:t xml:space="preserve">Examples of significant obligations being omitted from GRACE include the Network Access Code, and the </w:t>
      </w:r>
      <w:r w:rsidR="008D6143">
        <w:t>2014 NPD</w:t>
      </w:r>
      <w:r w:rsidR="0016766A">
        <w:t>.</w:t>
      </w:r>
    </w:p>
    <w:p w:rsidR="0016766A" w:rsidRDefault="0016766A" w:rsidP="007937A2">
      <w:pPr>
        <w:pStyle w:val="ListParagraph"/>
        <w:numPr>
          <w:ilvl w:val="0"/>
          <w:numId w:val="13"/>
        </w:numPr>
        <w:spacing w:before="200" w:after="200"/>
        <w:ind w:left="709" w:hanging="709"/>
        <w:contextualSpacing w:val="0"/>
      </w:pPr>
      <w:r>
        <w:t>The Commission is concerned that there continues to be significant obligations omitted from PWC</w:t>
      </w:r>
      <w:r w:rsidR="00D24A4D">
        <w:t>’s</w:t>
      </w:r>
      <w:r>
        <w:t xml:space="preserve"> register of compliance obligations and a general lack of visibility, controls, and roles and responsibilities for control owners for these obligations. </w:t>
      </w:r>
    </w:p>
    <w:p w:rsidR="00927F0D" w:rsidRDefault="0016766A" w:rsidP="007937A2">
      <w:pPr>
        <w:pStyle w:val="ListParagraph"/>
        <w:numPr>
          <w:ilvl w:val="0"/>
          <w:numId w:val="13"/>
        </w:numPr>
        <w:spacing w:before="200" w:after="200"/>
        <w:ind w:left="709" w:hanging="709"/>
        <w:contextualSpacing w:val="0"/>
      </w:pPr>
      <w:r>
        <w:t>The Commission noted that while GRACE was PWC’s key framework for identification and assessment of compliance obligations, ma</w:t>
      </w:r>
      <w:r w:rsidR="00646589">
        <w:t>n</w:t>
      </w:r>
      <w:r>
        <w:t>y e</w:t>
      </w:r>
      <w:r w:rsidR="00927F0D">
        <w:t>mployees ha</w:t>
      </w:r>
      <w:r>
        <w:t>d</w:t>
      </w:r>
      <w:r w:rsidR="00927F0D">
        <w:t xml:space="preserve"> not com</w:t>
      </w:r>
      <w:r w:rsidR="00141B1D">
        <w:t>plete</w:t>
      </w:r>
      <w:r>
        <w:t>d mandatory GRACE training. PwC Australia noted the following number of PWC employees requiring training:</w:t>
      </w:r>
    </w:p>
    <w:p w:rsidR="00141B1D" w:rsidRPr="00141B1D" w:rsidRDefault="00141B1D" w:rsidP="007937A2">
      <w:pPr>
        <w:pStyle w:val="ListParagraph"/>
        <w:numPr>
          <w:ilvl w:val="0"/>
          <w:numId w:val="34"/>
        </w:numPr>
        <w:spacing w:before="200" w:after="0"/>
        <w:ind w:left="1134" w:hanging="425"/>
        <w:contextualSpacing w:val="0"/>
      </w:pPr>
      <w:r w:rsidRPr="00141B1D">
        <w:t>310 employees nominated for mandatory GRACE training have not yet completed</w:t>
      </w:r>
      <w:r w:rsidR="00D24A4D">
        <w:t xml:space="preserve"> the training</w:t>
      </w:r>
      <w:r w:rsidRPr="00141B1D">
        <w:t xml:space="preserve"> (</w:t>
      </w:r>
      <w:r>
        <w:t xml:space="preserve">it is </w:t>
      </w:r>
      <w:r w:rsidRPr="00141B1D">
        <w:t>likely more employees and contractors are not yet nominated for the training).</w:t>
      </w:r>
    </w:p>
    <w:p w:rsidR="00141B1D" w:rsidRPr="00141B1D" w:rsidRDefault="00BC413E" w:rsidP="007937A2">
      <w:pPr>
        <w:pStyle w:val="ListParagraph"/>
        <w:numPr>
          <w:ilvl w:val="0"/>
          <w:numId w:val="34"/>
        </w:numPr>
        <w:spacing w:before="200" w:after="0"/>
        <w:ind w:left="1134" w:hanging="425"/>
        <w:contextualSpacing w:val="0"/>
      </w:pPr>
      <w:r>
        <w:t xml:space="preserve">of the </w:t>
      </w:r>
      <w:r w:rsidR="00141B1D" w:rsidRPr="00141B1D">
        <w:t>19 employees nominated as control owners</w:t>
      </w:r>
      <w:r>
        <w:t xml:space="preserve">, </w:t>
      </w:r>
      <w:r w:rsidR="00141B1D" w:rsidRPr="00141B1D">
        <w:t>11 had not been recorded as complet</w:t>
      </w:r>
      <w:r w:rsidR="00D24A4D">
        <w:t>ing</w:t>
      </w:r>
      <w:r w:rsidR="00141B1D" w:rsidRPr="00141B1D">
        <w:t xml:space="preserve"> the training</w:t>
      </w:r>
      <w:r w:rsidR="00141B1D">
        <w:t>.</w:t>
      </w:r>
    </w:p>
    <w:p w:rsidR="00141B1D" w:rsidRDefault="00BC413E" w:rsidP="007937A2">
      <w:pPr>
        <w:pStyle w:val="ListParagraph"/>
        <w:numPr>
          <w:ilvl w:val="0"/>
          <w:numId w:val="34"/>
        </w:numPr>
        <w:spacing w:before="200" w:after="0"/>
        <w:ind w:left="1134" w:hanging="425"/>
        <w:contextualSpacing w:val="0"/>
      </w:pPr>
      <w:r>
        <w:t xml:space="preserve">of the </w:t>
      </w:r>
      <w:r w:rsidR="00141B1D" w:rsidRPr="00141B1D">
        <w:t>64 employees nominated as assessors in GRACE</w:t>
      </w:r>
      <w:r>
        <w:t xml:space="preserve">, </w:t>
      </w:r>
      <w:r w:rsidR="00141B1D" w:rsidRPr="00141B1D">
        <w:t>49 had not completed assessor training</w:t>
      </w:r>
      <w:r>
        <w:t xml:space="preserve">, </w:t>
      </w:r>
      <w:r w:rsidR="00141B1D" w:rsidRPr="00141B1D">
        <w:t>25 had not</w:t>
      </w:r>
      <w:r>
        <w:t xml:space="preserve"> completed basic GRACE training and </w:t>
      </w:r>
      <w:r w:rsidR="00141B1D" w:rsidRPr="00141B1D">
        <w:t>14 were not nominated as being required to complete GRACE training.</w:t>
      </w:r>
    </w:p>
    <w:bookmarkEnd w:id="16"/>
    <w:p w:rsidR="0016766A" w:rsidRDefault="0016766A" w:rsidP="007937A2">
      <w:pPr>
        <w:pStyle w:val="ListParagraph"/>
        <w:numPr>
          <w:ilvl w:val="0"/>
          <w:numId w:val="13"/>
        </w:numPr>
        <w:spacing w:before="200" w:after="200"/>
        <w:ind w:left="709" w:hanging="709"/>
        <w:contextualSpacing w:val="0"/>
      </w:pPr>
      <w:r>
        <w:t>Audits are listed as a control for a number of significant obligations</w:t>
      </w:r>
      <w:r w:rsidR="00BC413E">
        <w:t>,</w:t>
      </w:r>
      <w:r>
        <w:t xml:space="preserve"> however</w:t>
      </w:r>
      <w:r w:rsidR="00BC413E">
        <w:t>,</w:t>
      </w:r>
      <w:r>
        <w:t xml:space="preserve"> action plans in response to audit findings do not address root causes. Observations raised in </w:t>
      </w:r>
      <w:r w:rsidR="00646589">
        <w:t xml:space="preserve">previous </w:t>
      </w:r>
      <w:r>
        <w:t xml:space="preserve">audit reports </w:t>
      </w:r>
      <w:r w:rsidR="00646589">
        <w:t>were</w:t>
      </w:r>
      <w:r>
        <w:t xml:space="preserve"> not logged in GRACE. </w:t>
      </w:r>
      <w:r w:rsidR="00BC413E">
        <w:t xml:space="preserve">This </w:t>
      </w:r>
      <w:r>
        <w:t xml:space="preserve">indicates that controls are ineffective as they are not implemented. </w:t>
      </w:r>
    </w:p>
    <w:p w:rsidR="0002088E" w:rsidRDefault="0002088E" w:rsidP="00D23480">
      <w:pPr>
        <w:pStyle w:val="NumberLevel1"/>
        <w:spacing w:before="700"/>
        <w:sectPr w:rsidR="0002088E" w:rsidSect="00644666">
          <w:pgSz w:w="11907" w:h="16840" w:code="9"/>
          <w:pgMar w:top="1134" w:right="1134" w:bottom="993" w:left="1701" w:header="567" w:footer="567" w:gutter="0"/>
          <w:cols w:space="720"/>
          <w:titlePg/>
        </w:sectPr>
      </w:pPr>
    </w:p>
    <w:p w:rsidR="0002088E" w:rsidRDefault="0002088E" w:rsidP="0002088E">
      <w:pPr>
        <w:pStyle w:val="UtilComHeading2"/>
        <w:spacing w:before="700"/>
        <w:ind w:left="2160" w:hanging="2160"/>
        <w:rPr>
          <w:bCs/>
          <w:color w:val="31849B" w:themeColor="accent5" w:themeShade="BF"/>
          <w:sz w:val="36"/>
          <w:szCs w:val="36"/>
          <w:lang w:eastAsia="en-AU"/>
        </w:rPr>
      </w:pPr>
      <w:bookmarkStart w:id="21" w:name="_Toc472078502"/>
      <w:r w:rsidRPr="00293484">
        <w:rPr>
          <w:bCs/>
          <w:color w:val="31849B" w:themeColor="accent5" w:themeShade="BF"/>
          <w:sz w:val="36"/>
          <w:szCs w:val="36"/>
          <w:lang w:eastAsia="en-AU"/>
        </w:rPr>
        <w:lastRenderedPageBreak/>
        <w:t xml:space="preserve">Chapter </w:t>
      </w:r>
      <w:r>
        <w:rPr>
          <w:bCs/>
          <w:color w:val="31849B" w:themeColor="accent5" w:themeShade="BF"/>
          <w:sz w:val="36"/>
          <w:szCs w:val="36"/>
          <w:lang w:eastAsia="en-AU"/>
        </w:rPr>
        <w:t>4</w:t>
      </w:r>
      <w:r w:rsidRPr="00293484">
        <w:rPr>
          <w:bCs/>
          <w:color w:val="31849B" w:themeColor="accent5" w:themeShade="BF"/>
          <w:sz w:val="36"/>
          <w:szCs w:val="36"/>
          <w:lang w:eastAsia="en-AU"/>
        </w:rPr>
        <w:t xml:space="preserve">:  </w:t>
      </w:r>
      <w:r w:rsidRPr="00293484">
        <w:rPr>
          <w:bCs/>
          <w:color w:val="31849B" w:themeColor="accent5" w:themeShade="BF"/>
          <w:sz w:val="36"/>
          <w:szCs w:val="36"/>
          <w:lang w:eastAsia="en-AU"/>
        </w:rPr>
        <w:tab/>
        <w:t>P</w:t>
      </w:r>
      <w:r>
        <w:rPr>
          <w:bCs/>
          <w:color w:val="31849B" w:themeColor="accent5" w:themeShade="BF"/>
          <w:sz w:val="36"/>
          <w:szCs w:val="36"/>
          <w:lang w:eastAsia="en-AU"/>
        </w:rPr>
        <w:t xml:space="preserve">WC’s response to the </w:t>
      </w:r>
      <w:r w:rsidRPr="00293484">
        <w:rPr>
          <w:bCs/>
          <w:color w:val="31849B" w:themeColor="accent5" w:themeShade="BF"/>
          <w:sz w:val="36"/>
          <w:szCs w:val="36"/>
          <w:lang w:eastAsia="en-AU"/>
        </w:rPr>
        <w:t>PwC Australia Report</w:t>
      </w:r>
      <w:bookmarkEnd w:id="21"/>
      <w:r>
        <w:rPr>
          <w:bCs/>
          <w:color w:val="31849B" w:themeColor="accent5" w:themeShade="BF"/>
          <w:sz w:val="36"/>
          <w:szCs w:val="36"/>
          <w:lang w:eastAsia="en-AU"/>
        </w:rPr>
        <w:t xml:space="preserve"> </w:t>
      </w:r>
    </w:p>
    <w:p w:rsidR="000C4A94" w:rsidRPr="000C4A94" w:rsidRDefault="000C4A94" w:rsidP="00AF483C">
      <w:pPr>
        <w:pStyle w:val="TOC2"/>
      </w:pPr>
    </w:p>
    <w:p w:rsidR="00467ABD" w:rsidRDefault="007937A2" w:rsidP="007937A2">
      <w:pPr>
        <w:pStyle w:val="ListParagraph"/>
        <w:numPr>
          <w:ilvl w:val="0"/>
          <w:numId w:val="40"/>
        </w:numPr>
        <w:spacing w:before="200" w:after="200"/>
        <w:ind w:left="709" w:hanging="709"/>
        <w:contextualSpacing w:val="0"/>
      </w:pPr>
      <w:r>
        <w:t xml:space="preserve">As part of the review undertaken by PwC Australia, PWC was provided with an opportunity to respond </w:t>
      </w:r>
      <w:r w:rsidR="00D24A4D">
        <w:t xml:space="preserve">to </w:t>
      </w:r>
      <w:r>
        <w:t>the findings of the report and recommendations made by PwC Australia.</w:t>
      </w:r>
    </w:p>
    <w:p w:rsidR="00A226F5" w:rsidRDefault="0010385B" w:rsidP="00A226F5">
      <w:pPr>
        <w:pStyle w:val="ListParagraph"/>
        <w:numPr>
          <w:ilvl w:val="0"/>
          <w:numId w:val="40"/>
        </w:numPr>
        <w:spacing w:before="200" w:after="200"/>
        <w:ind w:left="709" w:hanging="709"/>
        <w:contextualSpacing w:val="0"/>
      </w:pPr>
      <w:r>
        <w:t>A</w:t>
      </w:r>
      <w:r w:rsidR="00A226F5">
        <w:t xml:space="preserve"> common management response provided by PWC to the PwC Australia findings and recommendations was:</w:t>
      </w:r>
    </w:p>
    <w:p w:rsidR="00A226F5" w:rsidRDefault="00A226F5" w:rsidP="00A226F5">
      <w:pPr>
        <w:pStyle w:val="ListParagraph"/>
        <w:spacing w:before="200" w:after="200"/>
        <w:ind w:left="644"/>
        <w:contextualSpacing w:val="0"/>
      </w:pPr>
      <w:r w:rsidRPr="008E18CF">
        <w:rPr>
          <w:i/>
        </w:rPr>
        <w:t>“PWC accepts the intent of this recommendation and is commencing a broad-based review of the corporation’s compliance strategy, through which these recommendations will be considered. A plan/roadmap for the review is to be presented to the Audit and Risk Management Committee (ARMC) for consideration at its October 2016 meeting.”</w:t>
      </w:r>
    </w:p>
    <w:p w:rsidR="00A226F5" w:rsidRDefault="00A226F5" w:rsidP="00A226F5">
      <w:pPr>
        <w:pStyle w:val="ListParagraph"/>
        <w:numPr>
          <w:ilvl w:val="0"/>
          <w:numId w:val="40"/>
        </w:numPr>
        <w:spacing w:before="200" w:after="200"/>
        <w:ind w:left="709" w:hanging="709"/>
        <w:contextualSpacing w:val="0"/>
        <w:rPr>
          <w:szCs w:val="22"/>
        </w:rPr>
      </w:pPr>
      <w:r>
        <w:rPr>
          <w:szCs w:val="22"/>
        </w:rPr>
        <w:t xml:space="preserve">The Commission notes that the findings and recommendations of the PwC Australia review were primarily focused on issues related to implementation and review/finalisation of existing compliance strategies, policies and procedures. PWC must ensure that any </w:t>
      </w:r>
      <w:r w:rsidR="0010385B">
        <w:rPr>
          <w:szCs w:val="22"/>
        </w:rPr>
        <w:t xml:space="preserve">further </w:t>
      </w:r>
      <w:r>
        <w:rPr>
          <w:szCs w:val="22"/>
        </w:rPr>
        <w:t xml:space="preserve">review results in implementation and that there is a focus on compliance with PWC’s own strategies, policies and procedures. </w:t>
      </w:r>
    </w:p>
    <w:p w:rsidR="00115194" w:rsidRDefault="005D0D50" w:rsidP="00A226F5">
      <w:pPr>
        <w:pStyle w:val="ListParagraph"/>
        <w:numPr>
          <w:ilvl w:val="0"/>
          <w:numId w:val="40"/>
        </w:numPr>
        <w:spacing w:before="200" w:after="200"/>
        <w:ind w:left="709" w:hanging="709"/>
        <w:contextualSpacing w:val="0"/>
        <w:rPr>
          <w:szCs w:val="22"/>
        </w:rPr>
      </w:pPr>
      <w:r>
        <w:rPr>
          <w:szCs w:val="22"/>
        </w:rPr>
        <w:t xml:space="preserve">The Commission is confident that there is sufficient information available for PWC from previous audits and reviews, including the review by PwC Australia to direct what action is required. </w:t>
      </w:r>
      <w:r w:rsidR="00115194">
        <w:rPr>
          <w:szCs w:val="22"/>
        </w:rPr>
        <w:t xml:space="preserve">The Commission intends to review PWC’s progress towards </w:t>
      </w:r>
      <w:r>
        <w:rPr>
          <w:szCs w:val="22"/>
        </w:rPr>
        <w:t>implementing and maintaining an appropriate</w:t>
      </w:r>
      <w:r w:rsidR="00115194">
        <w:rPr>
          <w:szCs w:val="22"/>
        </w:rPr>
        <w:t xml:space="preserve"> </w:t>
      </w:r>
      <w:r>
        <w:rPr>
          <w:szCs w:val="22"/>
        </w:rPr>
        <w:t xml:space="preserve">compliance framework </w:t>
      </w:r>
      <w:r w:rsidR="00115194">
        <w:rPr>
          <w:szCs w:val="22"/>
        </w:rPr>
        <w:t>in</w:t>
      </w:r>
      <w:r w:rsidR="00CC7A23">
        <w:rPr>
          <w:szCs w:val="22"/>
        </w:rPr>
        <w:t> 2016-17</w:t>
      </w:r>
      <w:r w:rsidR="00115194">
        <w:rPr>
          <w:szCs w:val="22"/>
        </w:rPr>
        <w:t>.</w:t>
      </w:r>
    </w:p>
    <w:p w:rsidR="007C7B53" w:rsidRDefault="00115194" w:rsidP="000009A3">
      <w:pPr>
        <w:pStyle w:val="ListParagraph"/>
        <w:numPr>
          <w:ilvl w:val="0"/>
          <w:numId w:val="40"/>
        </w:numPr>
        <w:spacing w:before="200" w:after="200"/>
        <w:ind w:left="709" w:hanging="709"/>
        <w:contextualSpacing w:val="0"/>
        <w:rPr>
          <w:szCs w:val="22"/>
        </w:rPr>
      </w:pPr>
      <w:r>
        <w:rPr>
          <w:szCs w:val="22"/>
        </w:rPr>
        <w:t xml:space="preserve">PWC </w:t>
      </w:r>
      <w:r w:rsidR="007C7B53">
        <w:rPr>
          <w:szCs w:val="22"/>
        </w:rPr>
        <w:t xml:space="preserve">also indicated in its management comments that: </w:t>
      </w:r>
    </w:p>
    <w:p w:rsidR="00295F17" w:rsidRDefault="007C7B53" w:rsidP="00295F17">
      <w:pPr>
        <w:pStyle w:val="ListParagraph"/>
        <w:spacing w:before="200" w:after="200"/>
        <w:ind w:left="644"/>
        <w:contextualSpacing w:val="0"/>
        <w:rPr>
          <w:i/>
        </w:rPr>
      </w:pPr>
      <w:r w:rsidRPr="0010385B">
        <w:rPr>
          <w:i/>
        </w:rPr>
        <w:t>“There are practical limitations to entering the 2014 NPD into the GRACE system as there are no specifically listed obligations contained in the determination.  Consultation with other DNSPs has also suggested that inputting a regulatory determination into a compliance tracking system is not common practice for similar practicality reasons. Therefore, PWC will consider this recommendation further during its actioning of</w:t>
      </w:r>
      <w:r w:rsidR="00A06C04">
        <w:rPr>
          <w:i/>
        </w:rPr>
        <w:t xml:space="preserve"> </w:t>
      </w:r>
      <w:r w:rsidR="00A06C04">
        <w:rPr>
          <w:i/>
        </w:rPr>
        <w:br/>
      </w:r>
      <w:r w:rsidRPr="0010385B">
        <w:rPr>
          <w:i/>
        </w:rPr>
        <w:t>2.3.4-1 but does not commit to actioning of this particular recommendation.”</w:t>
      </w:r>
    </w:p>
    <w:p w:rsidR="00CC7A23" w:rsidRDefault="00295F17" w:rsidP="00295F17">
      <w:pPr>
        <w:pStyle w:val="ListParagraph"/>
        <w:numPr>
          <w:ilvl w:val="0"/>
          <w:numId w:val="40"/>
        </w:numPr>
        <w:spacing w:before="200" w:after="200"/>
        <w:ind w:left="709" w:hanging="709"/>
        <w:contextualSpacing w:val="0"/>
        <w:rPr>
          <w:szCs w:val="22"/>
        </w:rPr>
      </w:pPr>
      <w:r w:rsidRPr="00CC7A23">
        <w:rPr>
          <w:szCs w:val="22"/>
        </w:rPr>
        <w:t xml:space="preserve">The Commission </w:t>
      </w:r>
      <w:r w:rsidR="00CC7A23" w:rsidRPr="00CC7A23">
        <w:rPr>
          <w:szCs w:val="22"/>
        </w:rPr>
        <w:t>was</w:t>
      </w:r>
      <w:r w:rsidRPr="00CC7A23">
        <w:rPr>
          <w:szCs w:val="22"/>
        </w:rPr>
        <w:t xml:space="preserve"> concerned with PWC’s comment there are no obligations in the </w:t>
      </w:r>
      <w:r w:rsidR="003B51AD" w:rsidRPr="00CC7A23">
        <w:rPr>
          <w:szCs w:val="22"/>
        </w:rPr>
        <w:t xml:space="preserve">2014 </w:t>
      </w:r>
      <w:r w:rsidRPr="00CC7A23">
        <w:rPr>
          <w:szCs w:val="22"/>
        </w:rPr>
        <w:t xml:space="preserve">NPD and this suggests a lack of understanding of the regulatory nature of the </w:t>
      </w:r>
      <w:r w:rsidR="003B51AD" w:rsidRPr="00CC7A23">
        <w:rPr>
          <w:szCs w:val="22"/>
        </w:rPr>
        <w:t xml:space="preserve">2014 </w:t>
      </w:r>
      <w:r w:rsidRPr="00CC7A23">
        <w:rPr>
          <w:szCs w:val="22"/>
        </w:rPr>
        <w:t xml:space="preserve">NPD and the relevant legislative provisions governing the operations of PWC as the monopoly network service provider. </w:t>
      </w:r>
      <w:r w:rsidR="00CC7A23">
        <w:rPr>
          <w:szCs w:val="22"/>
        </w:rPr>
        <w:t xml:space="preserve">The Commission </w:t>
      </w:r>
      <w:r w:rsidR="00CC7A23" w:rsidRPr="00CC7A23">
        <w:rPr>
          <w:szCs w:val="22"/>
        </w:rPr>
        <w:t>acknowledge</w:t>
      </w:r>
      <w:r w:rsidR="00CC7A23">
        <w:rPr>
          <w:szCs w:val="22"/>
        </w:rPr>
        <w:t>s</w:t>
      </w:r>
      <w:r w:rsidR="00CC7A23" w:rsidRPr="00CC7A23">
        <w:rPr>
          <w:szCs w:val="22"/>
        </w:rPr>
        <w:t xml:space="preserve"> </w:t>
      </w:r>
      <w:r w:rsidR="00CC7A23">
        <w:rPr>
          <w:szCs w:val="22"/>
        </w:rPr>
        <w:t xml:space="preserve">that at a meeting in November </w:t>
      </w:r>
      <w:r w:rsidR="00CC7A23" w:rsidRPr="00CC7A23">
        <w:rPr>
          <w:szCs w:val="22"/>
        </w:rPr>
        <w:t>2016</w:t>
      </w:r>
      <w:r w:rsidR="00CC7A23">
        <w:rPr>
          <w:szCs w:val="22"/>
        </w:rPr>
        <w:t xml:space="preserve">, PWC </w:t>
      </w:r>
      <w:r w:rsidR="00CC7A23" w:rsidRPr="00CC7A23">
        <w:rPr>
          <w:szCs w:val="22"/>
        </w:rPr>
        <w:t>confirmed that this was no longer</w:t>
      </w:r>
      <w:r w:rsidR="00CC7A23">
        <w:rPr>
          <w:szCs w:val="22"/>
        </w:rPr>
        <w:t xml:space="preserve"> its </w:t>
      </w:r>
      <w:r w:rsidR="00CC7A23" w:rsidRPr="00CC7A23">
        <w:rPr>
          <w:szCs w:val="22"/>
        </w:rPr>
        <w:t>view and PWC was working towards identifying the regulatory obligations contained in the 2014</w:t>
      </w:r>
      <w:r w:rsidR="00574604">
        <w:rPr>
          <w:szCs w:val="22"/>
        </w:rPr>
        <w:t> </w:t>
      </w:r>
      <w:r w:rsidR="00CC7A23" w:rsidRPr="00CC7A23">
        <w:rPr>
          <w:szCs w:val="22"/>
        </w:rPr>
        <w:t xml:space="preserve">NPD. </w:t>
      </w:r>
    </w:p>
    <w:p w:rsidR="00071A4E" w:rsidRDefault="00071A4E" w:rsidP="00071A4E">
      <w:pPr>
        <w:pStyle w:val="ListParagraph"/>
        <w:spacing w:before="200" w:after="200"/>
        <w:ind w:left="709"/>
        <w:contextualSpacing w:val="0"/>
        <w:rPr>
          <w:szCs w:val="22"/>
        </w:rPr>
      </w:pPr>
    </w:p>
    <w:p w:rsidR="00071A4E" w:rsidRDefault="00071A4E" w:rsidP="00071A4E">
      <w:pPr>
        <w:pStyle w:val="ListParagraph"/>
        <w:spacing w:before="200" w:after="200"/>
        <w:ind w:left="709"/>
        <w:contextualSpacing w:val="0"/>
        <w:rPr>
          <w:szCs w:val="22"/>
        </w:rPr>
      </w:pPr>
    </w:p>
    <w:p w:rsidR="00295F17" w:rsidRPr="00CC7A23" w:rsidRDefault="00295F17" w:rsidP="00295F17">
      <w:pPr>
        <w:pStyle w:val="ListParagraph"/>
        <w:numPr>
          <w:ilvl w:val="0"/>
          <w:numId w:val="40"/>
        </w:numPr>
        <w:spacing w:before="200" w:after="200"/>
        <w:ind w:left="709" w:hanging="709"/>
        <w:contextualSpacing w:val="0"/>
        <w:rPr>
          <w:szCs w:val="22"/>
        </w:rPr>
      </w:pPr>
      <w:r w:rsidRPr="00CC7A23">
        <w:rPr>
          <w:szCs w:val="22"/>
        </w:rPr>
        <w:lastRenderedPageBreak/>
        <w:t>The Commission</w:t>
      </w:r>
      <w:r w:rsidR="003B51AD" w:rsidRPr="00CC7A23">
        <w:rPr>
          <w:szCs w:val="22"/>
        </w:rPr>
        <w:t xml:space="preserve"> considers</w:t>
      </w:r>
      <w:r w:rsidRPr="00CC7A23">
        <w:rPr>
          <w:szCs w:val="22"/>
        </w:rPr>
        <w:t xml:space="preserve"> that it is imperative that PWC identify and risk assess the obligations in the </w:t>
      </w:r>
      <w:r w:rsidRPr="00CC7A23">
        <w:rPr>
          <w:i/>
          <w:szCs w:val="22"/>
        </w:rPr>
        <w:t>Electricity Networks (Third Party Access) Act</w:t>
      </w:r>
      <w:r w:rsidRPr="00CC7A23">
        <w:rPr>
          <w:szCs w:val="22"/>
        </w:rPr>
        <w:t xml:space="preserve"> (sections 3A &amp; 3B), the Network Access Code and the </w:t>
      </w:r>
      <w:r w:rsidR="003B51AD" w:rsidRPr="00CC7A23">
        <w:rPr>
          <w:szCs w:val="22"/>
        </w:rPr>
        <w:t xml:space="preserve">2014 </w:t>
      </w:r>
      <w:r w:rsidRPr="00CC7A23">
        <w:rPr>
          <w:szCs w:val="22"/>
        </w:rPr>
        <w:t xml:space="preserve">NPD. Examples of obligations in the </w:t>
      </w:r>
      <w:r w:rsidR="003B51AD" w:rsidRPr="00CC7A23">
        <w:rPr>
          <w:szCs w:val="22"/>
        </w:rPr>
        <w:t xml:space="preserve">2014 </w:t>
      </w:r>
      <w:r w:rsidRPr="00CC7A23">
        <w:rPr>
          <w:szCs w:val="22"/>
        </w:rPr>
        <w:t xml:space="preserve">NPD include: </w:t>
      </w:r>
    </w:p>
    <w:p w:rsidR="00295F17" w:rsidRPr="00295F17" w:rsidRDefault="00417BCF" w:rsidP="00295F17">
      <w:pPr>
        <w:pStyle w:val="ListParagraph"/>
        <w:numPr>
          <w:ilvl w:val="0"/>
          <w:numId w:val="43"/>
        </w:numPr>
        <w:spacing w:before="200" w:after="200"/>
        <w:ind w:left="1134" w:hanging="425"/>
        <w:contextualSpacing w:val="0"/>
        <w:rPr>
          <w:szCs w:val="22"/>
        </w:rPr>
      </w:pPr>
      <w:r>
        <w:rPr>
          <w:szCs w:val="22"/>
        </w:rPr>
        <w:t>c</w:t>
      </w:r>
      <w:r w:rsidR="00295F17" w:rsidRPr="00295F17">
        <w:rPr>
          <w:szCs w:val="22"/>
        </w:rPr>
        <w:t xml:space="preserve">lause 2.12.2 – PWC Networks must maintain an unders and overs account in accordance with Schedule 5 of the </w:t>
      </w:r>
      <w:r w:rsidR="003B078E">
        <w:rPr>
          <w:szCs w:val="22"/>
        </w:rPr>
        <w:t xml:space="preserve">2014 </w:t>
      </w:r>
      <w:r w:rsidR="00295F17" w:rsidRPr="00295F17">
        <w:rPr>
          <w:szCs w:val="22"/>
        </w:rPr>
        <w:t>NPD; and provide such information in relation to the balance of this account to the Commission as part of its annual pricing schedule proposal as the Commission considers is required in order to demonstrate and verify compliance by PWC Networks wit</w:t>
      </w:r>
      <w:r w:rsidR="004F0FDF">
        <w:rPr>
          <w:szCs w:val="22"/>
        </w:rPr>
        <w:t>h the requirements of this NPD;</w:t>
      </w:r>
    </w:p>
    <w:p w:rsidR="00295F17" w:rsidRPr="00295F17" w:rsidRDefault="004F0FDF" w:rsidP="00295F17">
      <w:pPr>
        <w:pStyle w:val="ListParagraph"/>
        <w:numPr>
          <w:ilvl w:val="0"/>
          <w:numId w:val="43"/>
        </w:numPr>
        <w:spacing w:before="200" w:after="200"/>
        <w:ind w:left="1134" w:hanging="425"/>
        <w:contextualSpacing w:val="0"/>
        <w:rPr>
          <w:szCs w:val="22"/>
        </w:rPr>
      </w:pPr>
      <w:r>
        <w:rPr>
          <w:szCs w:val="22"/>
        </w:rPr>
        <w:t>c</w:t>
      </w:r>
      <w:r w:rsidR="00295F17" w:rsidRPr="00295F17">
        <w:rPr>
          <w:szCs w:val="22"/>
        </w:rPr>
        <w:t>lause 2.12.3– PWC Networks must provide to the Commission a statement setting out its proposed reference tariffs for standard network access services that will apply during a regulatory year at least 60 days prior to the start of that regulatory year</w:t>
      </w:r>
      <w:r>
        <w:rPr>
          <w:szCs w:val="22"/>
        </w:rPr>
        <w:t>;</w:t>
      </w:r>
    </w:p>
    <w:p w:rsidR="00295F17" w:rsidRPr="00295F17" w:rsidRDefault="004F0FDF" w:rsidP="00295F17">
      <w:pPr>
        <w:pStyle w:val="ListParagraph"/>
        <w:numPr>
          <w:ilvl w:val="0"/>
          <w:numId w:val="43"/>
        </w:numPr>
        <w:spacing w:before="200" w:after="200"/>
        <w:ind w:left="1134" w:hanging="425"/>
        <w:contextualSpacing w:val="0"/>
        <w:rPr>
          <w:szCs w:val="22"/>
        </w:rPr>
      </w:pPr>
      <w:r>
        <w:rPr>
          <w:szCs w:val="22"/>
        </w:rPr>
        <w:t>t</w:t>
      </w:r>
      <w:r w:rsidR="00295F17" w:rsidRPr="00295F17">
        <w:rPr>
          <w:szCs w:val="22"/>
        </w:rPr>
        <w:t>here are various obligations PWC Networks must comply if seeking pass through events, including providing information to the Commission withi</w:t>
      </w:r>
      <w:r>
        <w:rPr>
          <w:szCs w:val="22"/>
        </w:rPr>
        <w:t>n various timeframes if sought; and</w:t>
      </w:r>
    </w:p>
    <w:p w:rsidR="00295F17" w:rsidRDefault="004F0FDF" w:rsidP="00295F17">
      <w:pPr>
        <w:pStyle w:val="ListParagraph"/>
        <w:numPr>
          <w:ilvl w:val="0"/>
          <w:numId w:val="43"/>
        </w:numPr>
        <w:spacing w:before="200" w:after="200"/>
        <w:ind w:left="1134" w:hanging="425"/>
        <w:contextualSpacing w:val="0"/>
        <w:rPr>
          <w:szCs w:val="22"/>
        </w:rPr>
      </w:pPr>
      <w:r>
        <w:rPr>
          <w:szCs w:val="22"/>
        </w:rPr>
        <w:t>c</w:t>
      </w:r>
      <w:r w:rsidR="00295F17" w:rsidRPr="00295F17">
        <w:rPr>
          <w:szCs w:val="22"/>
        </w:rPr>
        <w:t>lause 6.1.3 (Schedule 6) – obligations relating to assignment of new retail customers to a tariff class during the 2014-19 regulatory control period.</w:t>
      </w:r>
    </w:p>
    <w:p w:rsidR="00D24A4D" w:rsidRPr="00D24A4D" w:rsidRDefault="00D24A4D" w:rsidP="00C25269">
      <w:pPr>
        <w:pStyle w:val="ListParagraph"/>
        <w:numPr>
          <w:ilvl w:val="0"/>
          <w:numId w:val="40"/>
        </w:numPr>
        <w:ind w:left="709" w:hanging="709"/>
        <w:rPr>
          <w:szCs w:val="22"/>
        </w:rPr>
      </w:pPr>
      <w:r w:rsidRPr="00D24A4D">
        <w:rPr>
          <w:szCs w:val="22"/>
        </w:rPr>
        <w:t>The Commission understands from discussions with PWC that work is being undertaken to identify the obligations in the NPD.</w:t>
      </w:r>
      <w:r w:rsidR="00115194">
        <w:rPr>
          <w:szCs w:val="22"/>
        </w:rPr>
        <w:t xml:space="preserve"> The Commission intends to review PWC’s progress towards identifying its regulatory obligations as part of its overall approach to compliance again </w:t>
      </w:r>
      <w:r w:rsidR="008F7F96">
        <w:rPr>
          <w:szCs w:val="22"/>
        </w:rPr>
        <w:t>in 2016-17</w:t>
      </w:r>
      <w:r w:rsidR="00115194">
        <w:rPr>
          <w:szCs w:val="22"/>
        </w:rPr>
        <w:t xml:space="preserve">. </w:t>
      </w:r>
    </w:p>
    <w:p w:rsidR="00C25269" w:rsidRDefault="00C25269">
      <w:pPr>
        <w:sectPr w:rsidR="00C25269" w:rsidSect="00644666">
          <w:pgSz w:w="11907" w:h="16840" w:code="9"/>
          <w:pgMar w:top="1134" w:right="1134" w:bottom="993" w:left="1701" w:header="567" w:footer="567" w:gutter="0"/>
          <w:cols w:space="720"/>
          <w:titlePg/>
        </w:sectPr>
      </w:pPr>
    </w:p>
    <w:p w:rsidR="00C25269" w:rsidRDefault="00FE022C" w:rsidP="00AA5D86">
      <w:pPr>
        <w:pStyle w:val="UtilComHeading2"/>
        <w:spacing w:before="700"/>
        <w:ind w:left="2880" w:hanging="2880"/>
        <w:rPr>
          <w:bCs/>
          <w:color w:val="31849B" w:themeColor="accent5" w:themeShade="BF"/>
          <w:sz w:val="36"/>
          <w:szCs w:val="36"/>
          <w:lang w:eastAsia="en-AU"/>
        </w:rPr>
      </w:pPr>
      <w:bookmarkStart w:id="22" w:name="_Toc472078503"/>
      <w:r>
        <w:rPr>
          <w:bCs/>
          <w:color w:val="31849B" w:themeColor="accent5" w:themeShade="BF"/>
          <w:sz w:val="36"/>
          <w:szCs w:val="36"/>
          <w:lang w:eastAsia="en-AU"/>
        </w:rPr>
        <w:lastRenderedPageBreak/>
        <w:t>Appendix A</w:t>
      </w:r>
      <w:r w:rsidR="00C25269" w:rsidRPr="00293484">
        <w:rPr>
          <w:bCs/>
          <w:color w:val="31849B" w:themeColor="accent5" w:themeShade="BF"/>
          <w:sz w:val="36"/>
          <w:szCs w:val="36"/>
          <w:lang w:eastAsia="en-AU"/>
        </w:rPr>
        <w:t xml:space="preserve">:  </w:t>
      </w:r>
      <w:r w:rsidR="00C25269" w:rsidRPr="00293484">
        <w:rPr>
          <w:bCs/>
          <w:color w:val="31849B" w:themeColor="accent5" w:themeShade="BF"/>
          <w:sz w:val="36"/>
          <w:szCs w:val="36"/>
          <w:lang w:eastAsia="en-AU"/>
        </w:rPr>
        <w:tab/>
      </w:r>
      <w:r w:rsidR="00FF027C" w:rsidRPr="00293484">
        <w:rPr>
          <w:bCs/>
          <w:color w:val="31849B" w:themeColor="accent5" w:themeShade="BF"/>
          <w:sz w:val="36"/>
          <w:szCs w:val="36"/>
          <w:lang w:eastAsia="en-AU"/>
        </w:rPr>
        <w:t>PwC Australia Report of Specified Procedures to the Utilities Commission</w:t>
      </w:r>
      <w:bookmarkEnd w:id="22"/>
    </w:p>
    <w:p w:rsidR="007937A2" w:rsidRDefault="007937A2" w:rsidP="00AA5D86"/>
    <w:p w:rsidR="00CA0118" w:rsidRDefault="00CA0118" w:rsidP="00AA5D86">
      <w:r>
        <w:t xml:space="preserve">This appendix is contained as a separate document. </w:t>
      </w:r>
    </w:p>
    <w:sectPr w:rsidR="00CA0118" w:rsidSect="00644666">
      <w:pgSz w:w="11907" w:h="16840" w:code="9"/>
      <w:pgMar w:top="1134" w:right="1134" w:bottom="993"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43" w:rsidRDefault="00213C43">
      <w:r>
        <w:separator/>
      </w:r>
    </w:p>
    <w:p w:rsidR="00213C43" w:rsidRDefault="00213C43"/>
  </w:endnote>
  <w:endnote w:type="continuationSeparator" w:id="0">
    <w:p w:rsidR="00213C43" w:rsidRDefault="00213C43">
      <w:r>
        <w:continuationSeparator/>
      </w:r>
    </w:p>
    <w:p w:rsidR="00213C43" w:rsidRDefault="00213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Std Light">
    <w:altName w:val="Arial MT Std Light"/>
    <w:panose1 w:val="020B03020304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1C" w:rsidRPr="00EA0992" w:rsidRDefault="00B3351C" w:rsidP="00EA0992">
    <w:pPr>
      <w:pStyle w:val="Footer"/>
      <w:pBdr>
        <w:top w:val="single" w:sz="4" w:space="1" w:color="auto"/>
      </w:pBdr>
      <w:tabs>
        <w:tab w:val="clear" w:pos="4320"/>
        <w:tab w:val="clear" w:pos="8640"/>
        <w:tab w:val="right" w:pos="8505"/>
      </w:tabs>
      <w:rPr>
        <w:rFonts w:cs="Arial"/>
        <w:szCs w:val="18"/>
      </w:rPr>
    </w:pPr>
    <w:r w:rsidRPr="00EA0992">
      <w:rPr>
        <w:rFonts w:cs="Arial"/>
        <w:szCs w:val="18"/>
      </w:rPr>
      <w:fldChar w:fldCharType="begin"/>
    </w:r>
    <w:r w:rsidRPr="00EA0992">
      <w:rPr>
        <w:rFonts w:cs="Arial"/>
        <w:szCs w:val="18"/>
      </w:rPr>
      <w:instrText xml:space="preserve"> FILENAME </w:instrText>
    </w:r>
    <w:r w:rsidRPr="00EA0992">
      <w:rPr>
        <w:rFonts w:cs="Arial"/>
        <w:szCs w:val="18"/>
      </w:rPr>
      <w:fldChar w:fldCharType="separate"/>
    </w:r>
    <w:r w:rsidR="00035958">
      <w:rPr>
        <w:rFonts w:cs="Arial"/>
        <w:noProof/>
        <w:szCs w:val="18"/>
      </w:rPr>
      <w:t>UC-R-PWC-NPD-2014-19</w:t>
    </w:r>
    <w:r w:rsidRPr="00EA0992">
      <w:rPr>
        <w:rFonts w:cs="Arial"/>
        <w:szCs w:val="18"/>
      </w:rPr>
      <w:fldChar w:fldCharType="end"/>
    </w:r>
    <w:r w:rsidRPr="00EA0992">
      <w:rPr>
        <w:rFonts w:cs="Arial"/>
        <w:szCs w:val="18"/>
      </w:rPr>
      <w:tab/>
    </w:r>
    <w:r w:rsidRPr="00EA0992">
      <w:rPr>
        <w:rFonts w:cs="Arial"/>
        <w:szCs w:val="18"/>
      </w:rPr>
      <w:fldChar w:fldCharType="begin"/>
    </w:r>
    <w:r w:rsidRPr="00EA0992">
      <w:rPr>
        <w:rFonts w:cs="Arial"/>
        <w:szCs w:val="18"/>
      </w:rPr>
      <w:instrText xml:space="preserve"> DATE  \@ "MMMM yyyy" </w:instrText>
    </w:r>
    <w:r w:rsidRPr="00EA0992">
      <w:rPr>
        <w:rFonts w:cs="Arial"/>
        <w:szCs w:val="18"/>
      </w:rPr>
      <w:fldChar w:fldCharType="separate"/>
    </w:r>
    <w:r w:rsidR="00E875F8">
      <w:rPr>
        <w:rFonts w:cs="Arial"/>
        <w:noProof/>
        <w:szCs w:val="18"/>
      </w:rPr>
      <w:t>March 2017</w:t>
    </w:r>
    <w:r w:rsidRPr="00EA0992">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1C" w:rsidRDefault="00B3351C">
    <w:pPr>
      <w:framePr w:wrap="none" w:vAnchor="text" w:hAnchor="margin" w:xAlign="center" w:y="1"/>
    </w:pPr>
    <w:r>
      <w:fldChar w:fldCharType="begin"/>
    </w:r>
    <w:r>
      <w:instrText xml:space="preserve">PAGE  </w:instrText>
    </w:r>
    <w:r>
      <w:fldChar w:fldCharType="separate"/>
    </w:r>
    <w:r>
      <w:rPr>
        <w:noProof/>
      </w:rPr>
      <w:t>ii</w:t>
    </w:r>
    <w:r>
      <w:fldChar w:fldCharType="end"/>
    </w:r>
  </w:p>
  <w:p w:rsidR="00B3351C" w:rsidRDefault="00B3351C">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center" w:tblpY="14176"/>
      <w:tblOverlap w:val="never"/>
      <w:tblW w:w="8640" w:type="dxa"/>
      <w:tblCellMar>
        <w:left w:w="86" w:type="dxa"/>
        <w:right w:w="86" w:type="dxa"/>
      </w:tblCellMar>
      <w:tblLook w:val="0000" w:firstRow="0" w:lastRow="0" w:firstColumn="0" w:lastColumn="0" w:noHBand="0" w:noVBand="0"/>
    </w:tblPr>
    <w:tblGrid>
      <w:gridCol w:w="3234"/>
      <w:gridCol w:w="5406"/>
    </w:tblGrid>
    <w:tr w:rsidR="00B3351C" w:rsidRPr="00CD0BDF" w:rsidTr="00E630D5">
      <w:trPr>
        <w:trHeight w:val="848"/>
      </w:trPr>
      <w:tc>
        <w:tcPr>
          <w:tcW w:w="3234" w:type="dxa"/>
          <w:vAlign w:val="center"/>
        </w:tcPr>
        <w:p w:rsidR="00B3351C" w:rsidRPr="00CD0BDF" w:rsidRDefault="00B3351C" w:rsidP="00E630D5">
          <w:pPr>
            <w:pStyle w:val="CompanyInformation"/>
            <w:rPr>
              <w:rFonts w:cs="Arial"/>
            </w:rPr>
          </w:pPr>
          <w:r>
            <w:rPr>
              <w:rFonts w:cs="Arial"/>
              <w:noProof/>
              <w:lang w:eastAsia="en-AU"/>
            </w:rPr>
            <w:drawing>
              <wp:inline distT="0" distB="0" distL="0" distR="0" wp14:anchorId="3DE2E5D2" wp14:editId="4497812E">
                <wp:extent cx="1943100" cy="1028700"/>
                <wp:effectExtent l="0" t="0" r="0" b="0"/>
                <wp:docPr id="1" name="Picture 1" descr="UC_recolou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recolour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inline>
            </w:drawing>
          </w:r>
        </w:p>
      </w:tc>
      <w:tc>
        <w:tcPr>
          <w:tcW w:w="5406" w:type="dxa"/>
          <w:vAlign w:val="bottom"/>
        </w:tcPr>
        <w:p w:rsidR="00B3351C" w:rsidRPr="00BD2B44" w:rsidRDefault="00B3351C" w:rsidP="00E630D5">
          <w:pPr>
            <w:pStyle w:val="UtilComHeaderInfo"/>
          </w:pPr>
          <w:r>
            <w:t xml:space="preserve">Charles Darwin Centre, 19 The Mall </w:t>
          </w:r>
          <w:r w:rsidRPr="00BD2B44">
            <w:t>DARWIN NT 0800</w:t>
          </w:r>
        </w:p>
        <w:p w:rsidR="00B3351C" w:rsidRDefault="00B3351C" w:rsidP="00E630D5">
          <w:pPr>
            <w:pStyle w:val="UtilComHeaderInfo"/>
          </w:pPr>
          <w:r>
            <w:t xml:space="preserve">GPO Box 915 </w:t>
          </w:r>
          <w:r w:rsidRPr="00BD2B44">
            <w:t>DARWIN NT 0801</w:t>
          </w:r>
        </w:p>
        <w:p w:rsidR="00B3351C" w:rsidRDefault="00B3351C" w:rsidP="00E630D5">
          <w:pPr>
            <w:pStyle w:val="UtilComHeaderInfo"/>
          </w:pPr>
          <w:r w:rsidRPr="00874A60">
            <w:t xml:space="preserve">Email: </w:t>
          </w:r>
          <w:r w:rsidRPr="002D4390">
            <w:t>utilities.commission@nt.gov.au</w:t>
          </w:r>
        </w:p>
        <w:p w:rsidR="00B3351C" w:rsidRPr="00CD0BDF" w:rsidRDefault="00B3351C" w:rsidP="00E630D5">
          <w:pPr>
            <w:pStyle w:val="UtilComHeaderInfo"/>
            <w:rPr>
              <w:rFonts w:cs="Arial"/>
            </w:rPr>
          </w:pPr>
          <w:r>
            <w:t xml:space="preserve">Website: </w:t>
          </w:r>
          <w:r w:rsidRPr="00CD0BDF">
            <w:t>www.utilicom.nt.gov.au</w:t>
          </w:r>
        </w:p>
      </w:tc>
    </w:tr>
  </w:tbl>
  <w:p w:rsidR="00B3351C" w:rsidRDefault="00B3351C" w:rsidP="003C101A">
    <w:pPr>
      <w:pStyle w:val="Footer"/>
      <w:pBdr>
        <w:top w:val="single" w:sz="4" w:space="1" w:color="99CCFF"/>
      </w:pBdr>
      <w:spacing w:line="280" w:lineRule="atLea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EB" w:rsidRPr="00EA0992" w:rsidRDefault="008320EB" w:rsidP="008320EB">
    <w:pPr>
      <w:pStyle w:val="Footer"/>
      <w:pBdr>
        <w:top w:val="single" w:sz="4" w:space="1" w:color="99CCFF"/>
      </w:pBdr>
      <w:tabs>
        <w:tab w:val="clear" w:pos="4320"/>
        <w:tab w:val="clear" w:pos="8640"/>
        <w:tab w:val="right" w:pos="9072"/>
      </w:tabs>
      <w:spacing w:line="280" w:lineRule="exact"/>
      <w:rPr>
        <w:rFonts w:cs="Arial"/>
        <w:szCs w:val="18"/>
      </w:rPr>
    </w:pPr>
    <w:r>
      <w:t>Review of Power and Water Corporation’s Compliance with the 2014-19 NPD</w:t>
    </w:r>
    <w:r w:rsidRPr="00EA0992">
      <w:rPr>
        <w:rFonts w:cs="Arial"/>
        <w:szCs w:val="18"/>
      </w:rPr>
      <w:tab/>
    </w:r>
    <w:r w:rsidRPr="00EA0992">
      <w:rPr>
        <w:rFonts w:cs="Arial"/>
        <w:szCs w:val="18"/>
      </w:rPr>
      <w:fldChar w:fldCharType="begin"/>
    </w:r>
    <w:r w:rsidRPr="00EA0992">
      <w:rPr>
        <w:rFonts w:cs="Arial"/>
        <w:szCs w:val="18"/>
      </w:rPr>
      <w:instrText xml:space="preserve"> DATE  \@ "MMMM yyyy" </w:instrText>
    </w:r>
    <w:r w:rsidRPr="00EA0992">
      <w:rPr>
        <w:rFonts w:cs="Arial"/>
        <w:szCs w:val="18"/>
      </w:rPr>
      <w:fldChar w:fldCharType="separate"/>
    </w:r>
    <w:r w:rsidR="00E875F8">
      <w:rPr>
        <w:rFonts w:cs="Arial"/>
        <w:noProof/>
        <w:szCs w:val="18"/>
      </w:rPr>
      <w:t>March 2017</w:t>
    </w:r>
    <w:r w:rsidRPr="00EA0992">
      <w:rPr>
        <w:rFonts w:cs="Arial"/>
        <w:szCs w:val="18"/>
      </w:rPr>
      <w:fldChar w:fldCharType="end"/>
    </w:r>
  </w:p>
  <w:p w:rsidR="00B3351C" w:rsidRPr="00EA0992" w:rsidRDefault="00B3351C" w:rsidP="003C101A">
    <w:pPr>
      <w:pStyle w:val="Footer"/>
      <w:pBdr>
        <w:top w:val="single" w:sz="4" w:space="1" w:color="99CCFF"/>
      </w:pBdr>
      <w:tabs>
        <w:tab w:val="clear" w:pos="4320"/>
        <w:tab w:val="clear" w:pos="8640"/>
        <w:tab w:val="right" w:pos="9072"/>
      </w:tabs>
      <w:spacing w:line="280" w:lineRule="exact"/>
      <w:rPr>
        <w:rFonts w:cs="Arial"/>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1C" w:rsidRPr="00EA0992" w:rsidRDefault="00B3351C" w:rsidP="003C101A">
    <w:pPr>
      <w:pStyle w:val="Footer"/>
      <w:pBdr>
        <w:top w:val="single" w:sz="4" w:space="1" w:color="99CCFF"/>
      </w:pBdr>
      <w:tabs>
        <w:tab w:val="clear" w:pos="4320"/>
        <w:tab w:val="clear" w:pos="8640"/>
        <w:tab w:val="right" w:pos="9072"/>
      </w:tabs>
      <w:spacing w:line="280" w:lineRule="exact"/>
      <w:rPr>
        <w:rFonts w:cs="Arial"/>
        <w:szCs w:val="18"/>
      </w:rPr>
    </w:pPr>
    <w:r>
      <w:t>Review of Power and Water Corporation’s Compliance with the 2014-19 NPD</w:t>
    </w:r>
    <w:r w:rsidRPr="00EA0992">
      <w:rPr>
        <w:rFonts w:cs="Arial"/>
        <w:szCs w:val="18"/>
      </w:rPr>
      <w:tab/>
    </w:r>
    <w:r w:rsidR="008320EB">
      <w:rPr>
        <w:rFonts w:cs="Arial"/>
        <w:szCs w:val="18"/>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43" w:rsidRDefault="00213C43">
      <w:pPr>
        <w:spacing w:before="100" w:after="0" w:line="240" w:lineRule="auto"/>
      </w:pPr>
      <w:r>
        <w:separator/>
      </w:r>
    </w:p>
  </w:footnote>
  <w:footnote w:type="continuationSeparator" w:id="0">
    <w:p w:rsidR="00213C43" w:rsidRDefault="00213C43">
      <w:pPr>
        <w:spacing w:before="0" w:after="0" w:line="240" w:lineRule="auto"/>
      </w:pPr>
      <w:r>
        <w:continuationSeparator/>
      </w:r>
    </w:p>
    <w:p w:rsidR="00213C43" w:rsidRDefault="00213C43"/>
  </w:footnote>
  <w:footnote w:type="continuationNotice" w:id="1">
    <w:p w:rsidR="00213C43" w:rsidRDefault="00213C43">
      <w:pPr>
        <w:spacing w:before="0" w:after="0" w:line="240" w:lineRule="auto"/>
      </w:pPr>
    </w:p>
  </w:footnote>
  <w:footnote w:id="2">
    <w:p w:rsidR="00300AAC" w:rsidRDefault="00300AAC" w:rsidP="008320EB">
      <w:pPr>
        <w:pStyle w:val="FootnoteText"/>
        <w:tabs>
          <w:tab w:val="left" w:pos="284"/>
        </w:tabs>
        <w:spacing w:line="240" w:lineRule="auto"/>
        <w:ind w:left="284" w:hanging="284"/>
      </w:pPr>
      <w:r>
        <w:rPr>
          <w:rStyle w:val="FootnoteReference"/>
        </w:rPr>
        <w:footnoteRef/>
      </w:r>
      <w:r>
        <w:t xml:space="preserve"> </w:t>
      </w:r>
      <w:r w:rsidR="008320EB">
        <w:tab/>
      </w:r>
      <w:r w:rsidRPr="008320EB">
        <w:rPr>
          <w:sz w:val="20"/>
        </w:rPr>
        <w:t xml:space="preserve">Independent Investigation into the Darwin-Katherine System Black </w:t>
      </w:r>
      <w:r w:rsidR="008320EB" w:rsidRPr="008320EB">
        <w:rPr>
          <w:sz w:val="20"/>
        </w:rPr>
        <w:t xml:space="preserve">Incident </w:t>
      </w:r>
      <w:r w:rsidRPr="008320EB">
        <w:rPr>
          <w:sz w:val="20"/>
        </w:rPr>
        <w:t>12 March 2014</w:t>
      </w:r>
      <w:r w:rsidR="008320EB" w:rsidRPr="008320EB">
        <w:rPr>
          <w:sz w:val="20"/>
        </w:rPr>
        <w:t xml:space="preserve">, </w:t>
      </w:r>
      <w:hyperlink r:id="rId1" w:history="1">
        <w:r w:rsidR="008320EB" w:rsidRPr="008320EB">
          <w:rPr>
            <w:rStyle w:val="Hyperlink"/>
            <w:sz w:val="20"/>
          </w:rPr>
          <w:t>http://www.utilicom.nt.gov.au/Publications/ReportsAndPublications/Pages/2014.aspx</w:t>
        </w:r>
      </w:hyperlink>
    </w:p>
  </w:footnote>
  <w:footnote w:id="3">
    <w:p w:rsidR="00226B96" w:rsidRDefault="00226B96" w:rsidP="00226B96">
      <w:pPr>
        <w:pStyle w:val="FootnoteText"/>
        <w:spacing w:line="240" w:lineRule="auto"/>
        <w:ind w:left="284" w:hanging="284"/>
      </w:pPr>
      <w:r>
        <w:rPr>
          <w:rStyle w:val="FootnoteReference"/>
        </w:rPr>
        <w:footnoteRef/>
      </w:r>
      <w:r>
        <w:t xml:space="preserve"> </w:t>
      </w:r>
      <w:r>
        <w:tab/>
      </w:r>
      <w:r w:rsidRPr="00226B96">
        <w:rPr>
          <w:sz w:val="20"/>
        </w:rPr>
        <w:t xml:space="preserve">Compliance Framework and Reporting Guidelines, Final 1 February 2016, </w:t>
      </w:r>
      <w:hyperlink r:id="rId2" w:history="1">
        <w:r w:rsidRPr="00226B96">
          <w:rPr>
            <w:rStyle w:val="Hyperlink"/>
            <w:sz w:val="20"/>
          </w:rPr>
          <w:t>http://www.utilicom.nt.gov.au/PMS/Publications/UC-COM-REP-GDL-0216.pdf</w:t>
        </w:r>
      </w:hyperlink>
    </w:p>
  </w:footnote>
  <w:footnote w:id="4">
    <w:p w:rsidR="00C3415B" w:rsidRPr="00C3415B" w:rsidRDefault="00C3415B" w:rsidP="00C3415B">
      <w:pPr>
        <w:pStyle w:val="FootnoteText"/>
        <w:tabs>
          <w:tab w:val="left" w:pos="284"/>
        </w:tabs>
        <w:rPr>
          <w:sz w:val="20"/>
        </w:rPr>
      </w:pPr>
      <w:r>
        <w:rPr>
          <w:rStyle w:val="FootnoteReference"/>
        </w:rPr>
        <w:footnoteRef/>
      </w:r>
      <w:r>
        <w:t xml:space="preserve"> </w:t>
      </w:r>
      <w:r>
        <w:tab/>
      </w:r>
      <w:r w:rsidRPr="00C3415B">
        <w:rPr>
          <w:sz w:val="20"/>
        </w:rPr>
        <w:t>International Standard, 2015, Compliance management systems – Guidelines, ISO 19600:2015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1C" w:rsidRDefault="00B3351C" w:rsidP="00EA0992">
    <w:pPr>
      <w:pStyle w:val="Header"/>
      <w:pBdr>
        <w:bottom w:val="single" w:sz="4" w:space="1" w:color="auto"/>
      </w:pBdr>
      <w:jc w:val="center"/>
    </w:pP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1C" w:rsidRPr="003C101A" w:rsidRDefault="00B3351C" w:rsidP="00457A43">
    <w:pPr>
      <w:pBdr>
        <w:bottom w:val="single" w:sz="4" w:space="1" w:color="99CCFF"/>
      </w:pBdr>
      <w:jc w:val="center"/>
      <w:rPr>
        <w:sz w:val="18"/>
        <w:szCs w:val="18"/>
      </w:rPr>
    </w:pPr>
    <w:r w:rsidRPr="003C101A">
      <w:rPr>
        <w:sz w:val="18"/>
        <w:szCs w:val="18"/>
      </w:rPr>
      <w:fldChar w:fldCharType="begin"/>
    </w:r>
    <w:r w:rsidRPr="003C101A">
      <w:rPr>
        <w:sz w:val="18"/>
        <w:szCs w:val="18"/>
      </w:rPr>
      <w:instrText xml:space="preserve"> PAGE </w:instrText>
    </w:r>
    <w:r w:rsidRPr="003C101A">
      <w:rPr>
        <w:sz w:val="18"/>
        <w:szCs w:val="18"/>
      </w:rPr>
      <w:fldChar w:fldCharType="separate"/>
    </w:r>
    <w:r w:rsidR="00115194">
      <w:rPr>
        <w:noProof/>
        <w:sz w:val="18"/>
        <w:szCs w:val="18"/>
      </w:rPr>
      <w:t>iii</w:t>
    </w:r>
    <w:r w:rsidRPr="003C101A">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1C" w:rsidRPr="003C101A" w:rsidRDefault="00B3351C" w:rsidP="003C101A">
    <w:pPr>
      <w:pStyle w:val="Header"/>
      <w:pBdr>
        <w:bottom w:val="single" w:sz="4" w:space="1" w:color="99CCFF"/>
      </w:pBd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415725"/>
      <w:docPartObj>
        <w:docPartGallery w:val="Page Numbers (Top of Page)"/>
        <w:docPartUnique/>
      </w:docPartObj>
    </w:sdtPr>
    <w:sdtEndPr>
      <w:rPr>
        <w:noProof/>
      </w:rPr>
    </w:sdtEndPr>
    <w:sdtContent>
      <w:p w:rsidR="00B3351C" w:rsidRPr="00430301" w:rsidRDefault="00B3351C" w:rsidP="00430301">
        <w:pPr>
          <w:pStyle w:val="Header"/>
          <w:pBdr>
            <w:bottom w:val="single" w:sz="4" w:space="1" w:color="92CDDC" w:themeColor="accent5" w:themeTint="99"/>
          </w:pBdr>
          <w:jc w:val="center"/>
        </w:pPr>
        <w:r>
          <w:fldChar w:fldCharType="begin"/>
        </w:r>
        <w:r>
          <w:instrText xml:space="preserve"> PAGE   \* MERGEFORMAT </w:instrText>
        </w:r>
        <w:r>
          <w:fldChar w:fldCharType="separate"/>
        </w:r>
        <w:r w:rsidR="00E875F8">
          <w:rPr>
            <w:noProof/>
          </w:rPr>
          <w:t>i</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1C" w:rsidRPr="00B365BD" w:rsidRDefault="00E875F8" w:rsidP="00956F5B">
    <w:pPr>
      <w:pStyle w:val="Header"/>
      <w:pBdr>
        <w:bottom w:val="single" w:sz="4" w:space="2" w:color="B6DDE8" w:themeColor="accent5" w:themeTint="66"/>
      </w:pBdr>
      <w:jc w:val="center"/>
      <w:rPr>
        <w:sz w:val="20"/>
      </w:rPr>
    </w:pPr>
    <w:sdt>
      <w:sdtPr>
        <w:id w:val="-1256282072"/>
        <w:docPartObj>
          <w:docPartGallery w:val="Page Numbers (Top of Page)"/>
          <w:docPartUnique/>
        </w:docPartObj>
      </w:sdtPr>
      <w:sdtEndPr>
        <w:rPr>
          <w:noProof/>
          <w:sz w:val="20"/>
        </w:rPr>
      </w:sdtEndPr>
      <w:sdtContent>
        <w:r w:rsidR="00B3351C" w:rsidRPr="00B365BD">
          <w:rPr>
            <w:sz w:val="20"/>
          </w:rPr>
          <w:fldChar w:fldCharType="begin"/>
        </w:r>
        <w:r w:rsidR="00B3351C" w:rsidRPr="00B365BD">
          <w:rPr>
            <w:sz w:val="20"/>
          </w:rPr>
          <w:instrText xml:space="preserve"> PAGE   \* MERGEFORMAT </w:instrText>
        </w:r>
        <w:r w:rsidR="00B3351C" w:rsidRPr="00B365BD">
          <w:rPr>
            <w:sz w:val="20"/>
          </w:rPr>
          <w:fldChar w:fldCharType="separate"/>
        </w:r>
        <w:r>
          <w:rPr>
            <w:noProof/>
            <w:sz w:val="20"/>
          </w:rPr>
          <w:t>13</w:t>
        </w:r>
        <w:r w:rsidR="00B3351C" w:rsidRPr="00B365BD">
          <w:rPr>
            <w:noProof/>
            <w:sz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4141461"/>
    <w:multiLevelType w:val="hybridMultilevel"/>
    <w:tmpl w:val="A7CCAC68"/>
    <w:lvl w:ilvl="0" w:tplc="C3A62C14">
      <w:start w:val="1"/>
      <w:numFmt w:val="bullet"/>
      <w:pStyle w:val="MGBulletText"/>
      <w:lvlText w:val=""/>
      <w:lvlJc w:val="left"/>
      <w:pPr>
        <w:ind w:left="2138" w:hanging="360"/>
      </w:pPr>
      <w:rPr>
        <w:rFonts w:ascii="Symbol" w:hAnsi="Symbol" w:hint="default"/>
        <w:color w:val="005595"/>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11BB7385"/>
    <w:multiLevelType w:val="hybridMultilevel"/>
    <w:tmpl w:val="A5EAA248"/>
    <w:lvl w:ilvl="0" w:tplc="6D5CF61E">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A337A"/>
    <w:multiLevelType w:val="multilevel"/>
    <w:tmpl w:val="7932F926"/>
    <w:lvl w:ilvl="0">
      <w:start w:val="1"/>
      <w:numFmt w:val="decimal"/>
      <w:lvlText w:val="3.%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3D79A4"/>
    <w:multiLevelType w:val="hybridMultilevel"/>
    <w:tmpl w:val="BD0CFBBA"/>
    <w:lvl w:ilvl="0" w:tplc="51F81A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09136D"/>
    <w:multiLevelType w:val="hybridMultilevel"/>
    <w:tmpl w:val="6C243FDE"/>
    <w:lvl w:ilvl="0" w:tplc="DC10E84C">
      <w:start w:val="1"/>
      <w:numFmt w:val="bullet"/>
      <w:lvlText w:val=""/>
      <w:lvlJc w:val="left"/>
      <w:pPr>
        <w:ind w:left="1287" w:hanging="360"/>
      </w:pPr>
      <w:rPr>
        <w:rFonts w:ascii="Symbol" w:hAnsi="Symbol"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AA86792"/>
    <w:multiLevelType w:val="hybridMultilevel"/>
    <w:tmpl w:val="293A16E8"/>
    <w:lvl w:ilvl="0" w:tplc="5D16A83E">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B83A15"/>
    <w:multiLevelType w:val="hybridMultilevel"/>
    <w:tmpl w:val="671C110A"/>
    <w:lvl w:ilvl="0" w:tplc="DF1CB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1F123E65"/>
    <w:multiLevelType w:val="hybridMultilevel"/>
    <w:tmpl w:val="F982A508"/>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220C5B20"/>
    <w:multiLevelType w:val="hybridMultilevel"/>
    <w:tmpl w:val="37D8E8EE"/>
    <w:lvl w:ilvl="0" w:tplc="DC10E84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3A16F4"/>
    <w:multiLevelType w:val="hybridMultilevel"/>
    <w:tmpl w:val="EBD4C8E0"/>
    <w:lvl w:ilvl="0" w:tplc="89364B2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5E87DBC"/>
    <w:multiLevelType w:val="multilevel"/>
    <w:tmpl w:val="A2F6611E"/>
    <w:lvl w:ilvl="0">
      <w:start w:val="2"/>
      <w:numFmt w:val="decimal"/>
      <w:lvlText w:val="%1"/>
      <w:lvlJc w:val="left"/>
      <w:pPr>
        <w:tabs>
          <w:tab w:val="num" w:pos="450"/>
        </w:tabs>
        <w:ind w:left="450" w:hanging="450"/>
      </w:pPr>
      <w:rPr>
        <w:rFonts w:hint="default"/>
      </w:rPr>
    </w:lvl>
    <w:lvl w:ilvl="1">
      <w:start w:val="1"/>
      <w:numFmt w:val="decimal"/>
      <w:pStyle w:val="UtilComNumberItem2"/>
      <w:lvlText w:val="2.%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2" w15:restartNumberingAfterBreak="0">
    <w:nsid w:val="2A38529E"/>
    <w:multiLevelType w:val="hybridMultilevel"/>
    <w:tmpl w:val="69288C9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CA57733"/>
    <w:multiLevelType w:val="hybridMultilevel"/>
    <w:tmpl w:val="94D086EE"/>
    <w:lvl w:ilvl="0" w:tplc="D4FC680C">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33C7149B"/>
    <w:multiLevelType w:val="hybridMultilevel"/>
    <w:tmpl w:val="66EE53AC"/>
    <w:lvl w:ilvl="0" w:tplc="A8DA1F9A">
      <w:start w:val="1"/>
      <w:numFmt w:val="lowerRoman"/>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66EEB"/>
    <w:multiLevelType w:val="hybridMultilevel"/>
    <w:tmpl w:val="24261BD8"/>
    <w:lvl w:ilvl="0" w:tplc="692C3FF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39BC1FC9"/>
    <w:multiLevelType w:val="hybridMultilevel"/>
    <w:tmpl w:val="82AEB1C6"/>
    <w:lvl w:ilvl="0" w:tplc="35A207D0">
      <w:start w:val="1"/>
      <w:numFmt w:val="decimal"/>
      <w:lvlText w:val="1.%1"/>
      <w:lvlJc w:val="left"/>
      <w:pPr>
        <w:ind w:left="644" w:hanging="360"/>
      </w:pPr>
      <w:rPr>
        <w:rFonts w:ascii="Arial" w:hAnsi="Arial" w:cs="Arial" w:hint="default"/>
        <w:b w:val="0"/>
      </w:rPr>
    </w:lvl>
    <w:lvl w:ilvl="1" w:tplc="DC10E84C">
      <w:start w:val="1"/>
      <w:numFmt w:val="bullet"/>
      <w:lvlText w:val=""/>
      <w:lvlJc w:val="left"/>
      <w:pPr>
        <w:ind w:left="1429" w:hanging="360"/>
      </w:pPr>
      <w:rPr>
        <w:rFonts w:ascii="Symbol" w:hAnsi="Symbol" w:hint="default"/>
      </w:r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7" w15:restartNumberingAfterBreak="0">
    <w:nsid w:val="3CD73A7B"/>
    <w:multiLevelType w:val="hybridMultilevel"/>
    <w:tmpl w:val="717E8C14"/>
    <w:lvl w:ilvl="0" w:tplc="DC10E84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41686883"/>
    <w:multiLevelType w:val="multilevel"/>
    <w:tmpl w:val="B9629EE2"/>
    <w:lvl w:ilvl="0">
      <w:start w:val="1"/>
      <w:numFmt w:val="bullet"/>
      <w:pStyle w:val="UtilComBulletTex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9" w15:restartNumberingAfterBreak="0">
    <w:nsid w:val="431D6415"/>
    <w:multiLevelType w:val="multilevel"/>
    <w:tmpl w:val="7CBEE498"/>
    <w:lvl w:ilvl="0">
      <w:start w:val="1"/>
      <w:numFmt w:val="low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5D65B4"/>
    <w:multiLevelType w:val="hybridMultilevel"/>
    <w:tmpl w:val="0380A1A8"/>
    <w:lvl w:ilvl="0" w:tplc="C3EEF764">
      <w:start w:val="1"/>
      <w:numFmt w:val="lowerLetter"/>
      <w:lvlText w:val="(%1)"/>
      <w:lvlJc w:val="left"/>
      <w:pPr>
        <w:ind w:left="404" w:hanging="360"/>
      </w:pPr>
      <w:rPr>
        <w:rFonts w:hint="default"/>
      </w:rPr>
    </w:lvl>
    <w:lvl w:ilvl="1" w:tplc="0C090019" w:tentative="1">
      <w:start w:val="1"/>
      <w:numFmt w:val="lowerLetter"/>
      <w:lvlText w:val="%2."/>
      <w:lvlJc w:val="left"/>
      <w:pPr>
        <w:ind w:left="1124" w:hanging="360"/>
      </w:pPr>
    </w:lvl>
    <w:lvl w:ilvl="2" w:tplc="0C09001B" w:tentative="1">
      <w:start w:val="1"/>
      <w:numFmt w:val="lowerRoman"/>
      <w:lvlText w:val="%3."/>
      <w:lvlJc w:val="right"/>
      <w:pPr>
        <w:ind w:left="1844" w:hanging="180"/>
      </w:pPr>
    </w:lvl>
    <w:lvl w:ilvl="3" w:tplc="0C09000F" w:tentative="1">
      <w:start w:val="1"/>
      <w:numFmt w:val="decimal"/>
      <w:lvlText w:val="%4."/>
      <w:lvlJc w:val="left"/>
      <w:pPr>
        <w:ind w:left="2564" w:hanging="360"/>
      </w:pPr>
    </w:lvl>
    <w:lvl w:ilvl="4" w:tplc="0C090019" w:tentative="1">
      <w:start w:val="1"/>
      <w:numFmt w:val="lowerLetter"/>
      <w:lvlText w:val="%5."/>
      <w:lvlJc w:val="left"/>
      <w:pPr>
        <w:ind w:left="3284" w:hanging="360"/>
      </w:pPr>
    </w:lvl>
    <w:lvl w:ilvl="5" w:tplc="0C09001B" w:tentative="1">
      <w:start w:val="1"/>
      <w:numFmt w:val="lowerRoman"/>
      <w:lvlText w:val="%6."/>
      <w:lvlJc w:val="right"/>
      <w:pPr>
        <w:ind w:left="4004" w:hanging="180"/>
      </w:pPr>
    </w:lvl>
    <w:lvl w:ilvl="6" w:tplc="0C09000F" w:tentative="1">
      <w:start w:val="1"/>
      <w:numFmt w:val="decimal"/>
      <w:lvlText w:val="%7."/>
      <w:lvlJc w:val="left"/>
      <w:pPr>
        <w:ind w:left="4724" w:hanging="360"/>
      </w:pPr>
    </w:lvl>
    <w:lvl w:ilvl="7" w:tplc="0C090019" w:tentative="1">
      <w:start w:val="1"/>
      <w:numFmt w:val="lowerLetter"/>
      <w:lvlText w:val="%8."/>
      <w:lvlJc w:val="left"/>
      <w:pPr>
        <w:ind w:left="5444" w:hanging="360"/>
      </w:pPr>
    </w:lvl>
    <w:lvl w:ilvl="8" w:tplc="0C09001B" w:tentative="1">
      <w:start w:val="1"/>
      <w:numFmt w:val="lowerRoman"/>
      <w:lvlText w:val="%9."/>
      <w:lvlJc w:val="right"/>
      <w:pPr>
        <w:ind w:left="6164" w:hanging="180"/>
      </w:pPr>
    </w:lvl>
  </w:abstractNum>
  <w:abstractNum w:abstractNumId="21" w15:restartNumberingAfterBreak="0">
    <w:nsid w:val="4B1A77A3"/>
    <w:multiLevelType w:val="multilevel"/>
    <w:tmpl w:val="7932F926"/>
    <w:lvl w:ilvl="0">
      <w:start w:val="1"/>
      <w:numFmt w:val="decimal"/>
      <w:lvlText w:val="3.%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C4E03F9"/>
    <w:multiLevelType w:val="hybridMultilevel"/>
    <w:tmpl w:val="69348CE2"/>
    <w:lvl w:ilvl="0" w:tplc="AA04DD3C">
      <w:start w:val="1"/>
      <w:numFmt w:val="decimal"/>
      <w:lvlText w:val="1.%1"/>
      <w:lvlJc w:val="left"/>
      <w:pPr>
        <w:ind w:left="786" w:hanging="360"/>
      </w:pPr>
      <w:rPr>
        <w:rFonts w:hint="default"/>
      </w:rPr>
    </w:lvl>
    <w:lvl w:ilvl="1" w:tplc="A210B348">
      <w:start w:val="1"/>
      <w:numFmt w:val="decimal"/>
      <w:lvlText w:val="2.%2"/>
      <w:lvlJc w:val="left"/>
      <w:pPr>
        <w:ind w:left="36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6320DD"/>
    <w:multiLevelType w:val="hybridMultilevel"/>
    <w:tmpl w:val="FDE00E22"/>
    <w:lvl w:ilvl="0" w:tplc="AA04DD3C">
      <w:start w:val="1"/>
      <w:numFmt w:val="decimal"/>
      <w:lvlText w:val="1.%1"/>
      <w:lvlJc w:val="left"/>
      <w:pPr>
        <w:ind w:left="786" w:hanging="360"/>
      </w:pPr>
      <w:rPr>
        <w:rFonts w:hint="default"/>
      </w:rPr>
    </w:lvl>
    <w:lvl w:ilvl="1" w:tplc="DC10E84C">
      <w:start w:val="1"/>
      <w:numFmt w:val="bullet"/>
      <w:lvlText w:val=""/>
      <w:lvlJc w:val="left"/>
      <w:pPr>
        <w:ind w:left="644" w:hanging="360"/>
      </w:pPr>
      <w:rPr>
        <w:rFonts w:ascii="Symbol" w:hAnsi="Symbol" w:hint="default"/>
      </w:rPr>
    </w:lvl>
    <w:lvl w:ilvl="2" w:tplc="0C09001B">
      <w:start w:val="1"/>
      <w:numFmt w:val="lowerRoman"/>
      <w:lvlText w:val="%3."/>
      <w:lvlJc w:val="right"/>
      <w:pPr>
        <w:ind w:left="2160" w:hanging="180"/>
      </w:pPr>
    </w:lvl>
    <w:lvl w:ilvl="3" w:tplc="028871AC">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AE2671"/>
    <w:multiLevelType w:val="multilevel"/>
    <w:tmpl w:val="01708596"/>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5" w15:restartNumberingAfterBreak="0">
    <w:nsid w:val="51EC7FE9"/>
    <w:multiLevelType w:val="multilevel"/>
    <w:tmpl w:val="CC86D11E"/>
    <w:lvl w:ilvl="0">
      <w:start w:val="3"/>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6" w15:restartNumberingAfterBreak="0">
    <w:nsid w:val="539C56B9"/>
    <w:multiLevelType w:val="hybridMultilevel"/>
    <w:tmpl w:val="9AF29BE2"/>
    <w:lvl w:ilvl="0" w:tplc="DC10E84C">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7" w15:restartNumberingAfterBreak="0">
    <w:nsid w:val="5AE834C7"/>
    <w:multiLevelType w:val="multilevel"/>
    <w:tmpl w:val="5F5EFDF4"/>
    <w:lvl w:ilvl="0">
      <w:start w:val="2"/>
      <w:numFmt w:val="none"/>
      <w:lvlText w:val=""/>
      <w:lvlJc w:val="left"/>
      <w:pPr>
        <w:tabs>
          <w:tab w:val="num" w:pos="450"/>
        </w:tabs>
        <w:ind w:left="450" w:hanging="450"/>
      </w:pPr>
      <w:rPr>
        <w:rFonts w:hint="default"/>
      </w:rPr>
    </w:lvl>
    <w:lvl w:ilvl="1">
      <w:start w:val="1"/>
      <w:numFmt w:val="decimal"/>
      <w:pStyle w:val="31UtilComNumber"/>
      <w:lvlText w:val="3.%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28" w15:restartNumberingAfterBreak="0">
    <w:nsid w:val="5D51409C"/>
    <w:multiLevelType w:val="hybridMultilevel"/>
    <w:tmpl w:val="D2000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3F64D4"/>
    <w:multiLevelType w:val="hybridMultilevel"/>
    <w:tmpl w:val="EF287E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726976"/>
    <w:multiLevelType w:val="hybridMultilevel"/>
    <w:tmpl w:val="85383C82"/>
    <w:lvl w:ilvl="0" w:tplc="C85CF40C">
      <w:start w:val="1"/>
      <w:numFmt w:val="bullet"/>
      <w:pStyle w:val="Guideline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75164A"/>
    <w:multiLevelType w:val="hybridMultilevel"/>
    <w:tmpl w:val="73E0B740"/>
    <w:lvl w:ilvl="0" w:tplc="DC10E84C">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15:restartNumberingAfterBreak="0">
    <w:nsid w:val="6AD77E53"/>
    <w:multiLevelType w:val="hybridMultilevel"/>
    <w:tmpl w:val="1B3C29A6"/>
    <w:lvl w:ilvl="0" w:tplc="AA04DD3C">
      <w:start w:val="1"/>
      <w:numFmt w:val="decimal"/>
      <w:lvlText w:val="1.%1"/>
      <w:lvlJc w:val="left"/>
      <w:pPr>
        <w:ind w:left="786" w:hanging="360"/>
      </w:pPr>
      <w:rPr>
        <w:rFonts w:hint="default"/>
      </w:rPr>
    </w:lvl>
    <w:lvl w:ilvl="1" w:tplc="0C090017">
      <w:start w:val="1"/>
      <w:numFmt w:val="lowerLetter"/>
      <w:lvlText w:val="%2)"/>
      <w:lvlJc w:val="left"/>
      <w:pPr>
        <w:ind w:left="644" w:hanging="360"/>
      </w:pPr>
      <w:rPr>
        <w:rFonts w:hint="default"/>
      </w:rPr>
    </w:lvl>
    <w:lvl w:ilvl="2" w:tplc="0C09001B">
      <w:start w:val="1"/>
      <w:numFmt w:val="lowerRoman"/>
      <w:lvlText w:val="%3."/>
      <w:lvlJc w:val="right"/>
      <w:pPr>
        <w:ind w:left="2160" w:hanging="180"/>
      </w:pPr>
    </w:lvl>
    <w:lvl w:ilvl="3" w:tplc="0C09001B">
      <w:start w:val="1"/>
      <w:numFmt w:val="lowerRoman"/>
      <w:lvlText w:val="%4."/>
      <w:lvlJc w:val="righ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E75BBC"/>
    <w:multiLevelType w:val="hybridMultilevel"/>
    <w:tmpl w:val="2B7ED7EA"/>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64136"/>
    <w:multiLevelType w:val="hybridMultilevel"/>
    <w:tmpl w:val="F354995E"/>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EA265C"/>
    <w:multiLevelType w:val="hybridMultilevel"/>
    <w:tmpl w:val="B142D208"/>
    <w:lvl w:ilvl="0" w:tplc="0A72FAAE">
      <w:start w:val="1"/>
      <w:numFmt w:val="decimal"/>
      <w:lvlText w:val="4.%1"/>
      <w:lvlJc w:val="left"/>
      <w:pPr>
        <w:ind w:left="360" w:hanging="360"/>
      </w:pPr>
      <w:rPr>
        <w:rFonts w:hint="default"/>
      </w:r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37" w15:restartNumberingAfterBreak="0">
    <w:nsid w:val="72893F36"/>
    <w:multiLevelType w:val="multilevel"/>
    <w:tmpl w:val="1FB019F0"/>
    <w:lvl w:ilvl="0">
      <w:start w:val="4"/>
      <w:numFmt w:val="decimal"/>
      <w:lvlText w:val="%1.1"/>
      <w:lvlJc w:val="left"/>
      <w:pPr>
        <w:tabs>
          <w:tab w:val="num" w:pos="450"/>
        </w:tabs>
        <w:ind w:left="450" w:hanging="450"/>
      </w:pPr>
      <w:rPr>
        <w:rFonts w:hint="default"/>
      </w:rPr>
    </w:lvl>
    <w:lvl w:ilvl="1">
      <w:start w:val="1"/>
      <w:numFmt w:val="decimal"/>
      <w:pStyle w:val="UtilComNumberedText"/>
      <w:lvlText w:val="%24.1"/>
      <w:lvlJc w:val="left"/>
      <w:pPr>
        <w:tabs>
          <w:tab w:val="num" w:pos="522"/>
        </w:tabs>
        <w:ind w:left="522" w:hanging="450"/>
      </w:pPr>
      <w:rPr>
        <w:rFonts w:hint="default"/>
        <w:b w:val="0"/>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38" w15:restartNumberingAfterBreak="0">
    <w:nsid w:val="729D3DA5"/>
    <w:multiLevelType w:val="hybridMultilevel"/>
    <w:tmpl w:val="532E8086"/>
    <w:lvl w:ilvl="0" w:tplc="AA04DD3C">
      <w:start w:val="1"/>
      <w:numFmt w:val="decimal"/>
      <w:lvlText w:val="1.%1"/>
      <w:lvlJc w:val="left"/>
      <w:pPr>
        <w:ind w:left="786" w:hanging="360"/>
      </w:pPr>
      <w:rPr>
        <w:rFonts w:hint="default"/>
      </w:rPr>
    </w:lvl>
    <w:lvl w:ilvl="1" w:tplc="0C090017">
      <w:start w:val="1"/>
      <w:numFmt w:val="lowerLetter"/>
      <w:lvlText w:val="%2)"/>
      <w:lvlJc w:val="left"/>
      <w:pPr>
        <w:ind w:left="644" w:hanging="360"/>
      </w:pPr>
      <w:rPr>
        <w:rFonts w:hint="default"/>
      </w:rPr>
    </w:lvl>
    <w:lvl w:ilvl="2" w:tplc="0C09001B">
      <w:start w:val="1"/>
      <w:numFmt w:val="lowerRoman"/>
      <w:lvlText w:val="%3."/>
      <w:lvlJc w:val="right"/>
      <w:pPr>
        <w:ind w:left="2160" w:hanging="180"/>
      </w:pPr>
    </w:lvl>
    <w:lvl w:ilvl="3" w:tplc="028871AC">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7B7CD7"/>
    <w:multiLevelType w:val="hybridMultilevel"/>
    <w:tmpl w:val="33CA31DA"/>
    <w:lvl w:ilvl="0" w:tplc="3E5A74C6">
      <w:start w:val="1"/>
      <w:numFmt w:val="lowerLetter"/>
      <w:pStyle w:val="UtilComLetterNumbering"/>
      <w:lvlText w:val="%1)"/>
      <w:lvlJc w:val="left"/>
      <w:pPr>
        <w:tabs>
          <w:tab w:val="num" w:pos="964"/>
        </w:tabs>
        <w:ind w:left="964" w:hanging="397"/>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40" w15:restartNumberingAfterBreak="0">
    <w:nsid w:val="78995741"/>
    <w:multiLevelType w:val="hybridMultilevel"/>
    <w:tmpl w:val="66EE53AC"/>
    <w:lvl w:ilvl="0" w:tplc="A8DA1F9A">
      <w:start w:val="1"/>
      <w:numFmt w:val="lowerRoman"/>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7E238D"/>
    <w:multiLevelType w:val="hybridMultilevel"/>
    <w:tmpl w:val="17BE2DFC"/>
    <w:lvl w:ilvl="0" w:tplc="35A207D0">
      <w:start w:val="1"/>
      <w:numFmt w:val="decimal"/>
      <w:lvlText w:val="1.%1"/>
      <w:lvlJc w:val="left"/>
      <w:pPr>
        <w:ind w:left="502" w:hanging="360"/>
      </w:pPr>
      <w:rPr>
        <w:rFonts w:ascii="Arial" w:hAnsi="Arial" w:cs="Arial" w:hint="default"/>
        <w:b w:val="0"/>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7B4E39EF"/>
    <w:multiLevelType w:val="hybridMultilevel"/>
    <w:tmpl w:val="D54C41F6"/>
    <w:lvl w:ilvl="0" w:tplc="C85CF40C">
      <w:start w:val="1"/>
      <w:numFmt w:val="bullet"/>
      <w:lvlText w:val=""/>
      <w:lvlJc w:val="left"/>
      <w:pPr>
        <w:ind w:left="720" w:hanging="360"/>
      </w:pPr>
      <w:rPr>
        <w:rFonts w:ascii="Symbol" w:hAnsi="Symbol" w:hint="default"/>
      </w:rPr>
    </w:lvl>
    <w:lvl w:ilvl="1" w:tplc="01DCB77C">
      <w:start w:val="1"/>
      <w:numFmt w:val="bullet"/>
      <w:pStyle w:val="GuidelineTabledash"/>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197BC1"/>
    <w:multiLevelType w:val="hybridMultilevel"/>
    <w:tmpl w:val="E5D84832"/>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34"/>
  </w:num>
  <w:num w:numId="3">
    <w:abstractNumId w:val="18"/>
  </w:num>
  <w:num w:numId="4">
    <w:abstractNumId w:val="11"/>
  </w:num>
  <w:num w:numId="5">
    <w:abstractNumId w:val="27"/>
  </w:num>
  <w:num w:numId="6">
    <w:abstractNumId w:val="37"/>
  </w:num>
  <w:num w:numId="7">
    <w:abstractNumId w:val="39"/>
  </w:num>
  <w:num w:numId="8">
    <w:abstractNumId w:val="30"/>
  </w:num>
  <w:num w:numId="9">
    <w:abstractNumId w:val="42"/>
  </w:num>
  <w:num w:numId="10">
    <w:abstractNumId w:val="22"/>
  </w:num>
  <w:num w:numId="11">
    <w:abstractNumId w:val="9"/>
  </w:num>
  <w:num w:numId="12">
    <w:abstractNumId w:val="20"/>
  </w:num>
  <w:num w:numId="13">
    <w:abstractNumId w:val="3"/>
  </w:num>
  <w:num w:numId="14">
    <w:abstractNumId w:val="26"/>
  </w:num>
  <w:num w:numId="15">
    <w:abstractNumId w:val="1"/>
  </w:num>
  <w:num w:numId="16">
    <w:abstractNumId w:val="24"/>
  </w:num>
  <w:num w:numId="17">
    <w:abstractNumId w:val="14"/>
  </w:num>
  <w:num w:numId="18">
    <w:abstractNumId w:val="35"/>
  </w:num>
  <w:num w:numId="19">
    <w:abstractNumId w:val="40"/>
  </w:num>
  <w:num w:numId="20">
    <w:abstractNumId w:val="33"/>
  </w:num>
  <w:num w:numId="21">
    <w:abstractNumId w:val="43"/>
  </w:num>
  <w:num w:numId="22">
    <w:abstractNumId w:val="15"/>
  </w:num>
  <w:num w:numId="23">
    <w:abstractNumId w:val="10"/>
  </w:num>
  <w:num w:numId="24">
    <w:abstractNumId w:val="19"/>
  </w:num>
  <w:num w:numId="25">
    <w:abstractNumId w:val="38"/>
  </w:num>
  <w:num w:numId="26">
    <w:abstractNumId w:val="8"/>
  </w:num>
  <w:num w:numId="27">
    <w:abstractNumId w:val="7"/>
  </w:num>
  <w:num w:numId="28">
    <w:abstractNumId w:val="12"/>
  </w:num>
  <w:num w:numId="29">
    <w:abstractNumId w:val="2"/>
  </w:num>
  <w:num w:numId="30">
    <w:abstractNumId w:val="25"/>
  </w:num>
  <w:num w:numId="31">
    <w:abstractNumId w:val="29"/>
  </w:num>
  <w:num w:numId="32">
    <w:abstractNumId w:val="32"/>
  </w:num>
  <w:num w:numId="33">
    <w:abstractNumId w:val="28"/>
  </w:num>
  <w:num w:numId="34">
    <w:abstractNumId w:val="5"/>
  </w:num>
  <w:num w:numId="35">
    <w:abstractNumId w:val="13"/>
  </w:num>
  <w:num w:numId="36">
    <w:abstractNumId w:val="16"/>
  </w:num>
  <w:num w:numId="37">
    <w:abstractNumId w:val="31"/>
  </w:num>
  <w:num w:numId="38">
    <w:abstractNumId w:val="23"/>
  </w:num>
  <w:num w:numId="39">
    <w:abstractNumId w:val="21"/>
  </w:num>
  <w:num w:numId="40">
    <w:abstractNumId w:val="36"/>
  </w:num>
  <w:num w:numId="41">
    <w:abstractNumId w:val="41"/>
  </w:num>
  <w:num w:numId="42">
    <w:abstractNumId w:val="4"/>
  </w:num>
  <w:num w:numId="43">
    <w:abstractNumId w:val="17"/>
  </w:num>
  <w:num w:numId="4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SNXK/rh7oqcg+Y52VNrTMTWtVEK0Vuk0n6agTwiu/xpKDB3SMmtsTA2H9b5n2d9q1zG/rt39ZWolTeb00ycnVg==" w:salt="871D6DBZdkuWjIeGsrJnnA=="/>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97"/>
    <w:rsid w:val="000007CC"/>
    <w:rsid w:val="000009A3"/>
    <w:rsid w:val="00003079"/>
    <w:rsid w:val="00004B5B"/>
    <w:rsid w:val="000101FC"/>
    <w:rsid w:val="00014342"/>
    <w:rsid w:val="000153DA"/>
    <w:rsid w:val="00016853"/>
    <w:rsid w:val="0002088E"/>
    <w:rsid w:val="00020BFA"/>
    <w:rsid w:val="00021039"/>
    <w:rsid w:val="00023CD5"/>
    <w:rsid w:val="000301BC"/>
    <w:rsid w:val="00030443"/>
    <w:rsid w:val="0003436F"/>
    <w:rsid w:val="00035941"/>
    <w:rsid w:val="00035958"/>
    <w:rsid w:val="00037306"/>
    <w:rsid w:val="00043069"/>
    <w:rsid w:val="00044C88"/>
    <w:rsid w:val="00045981"/>
    <w:rsid w:val="000460C4"/>
    <w:rsid w:val="00047FEC"/>
    <w:rsid w:val="0005025F"/>
    <w:rsid w:val="000504E0"/>
    <w:rsid w:val="0005270C"/>
    <w:rsid w:val="00052773"/>
    <w:rsid w:val="00053955"/>
    <w:rsid w:val="000611EE"/>
    <w:rsid w:val="00065763"/>
    <w:rsid w:val="000676FB"/>
    <w:rsid w:val="0007018F"/>
    <w:rsid w:val="000702D9"/>
    <w:rsid w:val="0007083A"/>
    <w:rsid w:val="00070EF8"/>
    <w:rsid w:val="00071A4E"/>
    <w:rsid w:val="00073D5B"/>
    <w:rsid w:val="00076268"/>
    <w:rsid w:val="00077090"/>
    <w:rsid w:val="00077F33"/>
    <w:rsid w:val="000814F5"/>
    <w:rsid w:val="0008641C"/>
    <w:rsid w:val="00091B25"/>
    <w:rsid w:val="000943BE"/>
    <w:rsid w:val="00095476"/>
    <w:rsid w:val="00096548"/>
    <w:rsid w:val="00096C9F"/>
    <w:rsid w:val="000A272A"/>
    <w:rsid w:val="000A3818"/>
    <w:rsid w:val="000A3CB7"/>
    <w:rsid w:val="000A5A4E"/>
    <w:rsid w:val="000A5CA7"/>
    <w:rsid w:val="000A7125"/>
    <w:rsid w:val="000A72B6"/>
    <w:rsid w:val="000A73D6"/>
    <w:rsid w:val="000A7C23"/>
    <w:rsid w:val="000B027C"/>
    <w:rsid w:val="000B04D8"/>
    <w:rsid w:val="000B0A14"/>
    <w:rsid w:val="000B21F0"/>
    <w:rsid w:val="000B2FF9"/>
    <w:rsid w:val="000B3305"/>
    <w:rsid w:val="000B59DE"/>
    <w:rsid w:val="000C089E"/>
    <w:rsid w:val="000C3FD8"/>
    <w:rsid w:val="000C4A94"/>
    <w:rsid w:val="000D1349"/>
    <w:rsid w:val="000D1D6D"/>
    <w:rsid w:val="000D2502"/>
    <w:rsid w:val="000D494B"/>
    <w:rsid w:val="000E0170"/>
    <w:rsid w:val="000E3299"/>
    <w:rsid w:val="000E345C"/>
    <w:rsid w:val="000E4AF5"/>
    <w:rsid w:val="000E4E81"/>
    <w:rsid w:val="000E6026"/>
    <w:rsid w:val="000E7DF5"/>
    <w:rsid w:val="000F1467"/>
    <w:rsid w:val="000F2860"/>
    <w:rsid w:val="000F3AA4"/>
    <w:rsid w:val="000F4AC1"/>
    <w:rsid w:val="000F61AA"/>
    <w:rsid w:val="000F7A5D"/>
    <w:rsid w:val="0010385B"/>
    <w:rsid w:val="0010538D"/>
    <w:rsid w:val="00107CA7"/>
    <w:rsid w:val="0011295E"/>
    <w:rsid w:val="001132C3"/>
    <w:rsid w:val="001138AF"/>
    <w:rsid w:val="00115194"/>
    <w:rsid w:val="00120343"/>
    <w:rsid w:val="00122679"/>
    <w:rsid w:val="00127A28"/>
    <w:rsid w:val="00127B06"/>
    <w:rsid w:val="001309E9"/>
    <w:rsid w:val="001347DE"/>
    <w:rsid w:val="00136A29"/>
    <w:rsid w:val="00136D8F"/>
    <w:rsid w:val="00140D13"/>
    <w:rsid w:val="00141B1D"/>
    <w:rsid w:val="0014299B"/>
    <w:rsid w:val="00143B9C"/>
    <w:rsid w:val="00144E16"/>
    <w:rsid w:val="001505FE"/>
    <w:rsid w:val="00150DC2"/>
    <w:rsid w:val="0015117D"/>
    <w:rsid w:val="001515B2"/>
    <w:rsid w:val="00151EA6"/>
    <w:rsid w:val="00156763"/>
    <w:rsid w:val="0015679A"/>
    <w:rsid w:val="00157DE9"/>
    <w:rsid w:val="00163AED"/>
    <w:rsid w:val="0016766A"/>
    <w:rsid w:val="00167FEB"/>
    <w:rsid w:val="00171045"/>
    <w:rsid w:val="001712D7"/>
    <w:rsid w:val="00171FB3"/>
    <w:rsid w:val="0017292B"/>
    <w:rsid w:val="00172DB3"/>
    <w:rsid w:val="001800A4"/>
    <w:rsid w:val="001808C5"/>
    <w:rsid w:val="0018105A"/>
    <w:rsid w:val="00181F7A"/>
    <w:rsid w:val="00184F56"/>
    <w:rsid w:val="0018559D"/>
    <w:rsid w:val="00191BC8"/>
    <w:rsid w:val="001A049C"/>
    <w:rsid w:val="001A272B"/>
    <w:rsid w:val="001A344F"/>
    <w:rsid w:val="001A602C"/>
    <w:rsid w:val="001A6C09"/>
    <w:rsid w:val="001A7ABB"/>
    <w:rsid w:val="001B0524"/>
    <w:rsid w:val="001B0FBB"/>
    <w:rsid w:val="001B217A"/>
    <w:rsid w:val="001B28A7"/>
    <w:rsid w:val="001B4DD3"/>
    <w:rsid w:val="001B6B35"/>
    <w:rsid w:val="001C00B6"/>
    <w:rsid w:val="001C0CFF"/>
    <w:rsid w:val="001C4C25"/>
    <w:rsid w:val="001C58BC"/>
    <w:rsid w:val="001C5B67"/>
    <w:rsid w:val="001C692B"/>
    <w:rsid w:val="001C7A1F"/>
    <w:rsid w:val="001D1CF4"/>
    <w:rsid w:val="001D21E9"/>
    <w:rsid w:val="001D53E7"/>
    <w:rsid w:val="001D73D2"/>
    <w:rsid w:val="001F4DB8"/>
    <w:rsid w:val="001F5DEB"/>
    <w:rsid w:val="0020008A"/>
    <w:rsid w:val="002040DE"/>
    <w:rsid w:val="002072CD"/>
    <w:rsid w:val="00212E11"/>
    <w:rsid w:val="00213C43"/>
    <w:rsid w:val="002159D8"/>
    <w:rsid w:val="0021602D"/>
    <w:rsid w:val="00216D8B"/>
    <w:rsid w:val="00220881"/>
    <w:rsid w:val="0022281D"/>
    <w:rsid w:val="00222A8F"/>
    <w:rsid w:val="00222AC1"/>
    <w:rsid w:val="00222F71"/>
    <w:rsid w:val="00226B96"/>
    <w:rsid w:val="00230BDF"/>
    <w:rsid w:val="00233BD8"/>
    <w:rsid w:val="00234128"/>
    <w:rsid w:val="002358BB"/>
    <w:rsid w:val="00241EA4"/>
    <w:rsid w:val="0024607E"/>
    <w:rsid w:val="00246A2C"/>
    <w:rsid w:val="00247BA8"/>
    <w:rsid w:val="00253394"/>
    <w:rsid w:val="00262D52"/>
    <w:rsid w:val="002709E4"/>
    <w:rsid w:val="00273D78"/>
    <w:rsid w:val="002808AA"/>
    <w:rsid w:val="0028092B"/>
    <w:rsid w:val="00281B18"/>
    <w:rsid w:val="00281ED6"/>
    <w:rsid w:val="00282E34"/>
    <w:rsid w:val="0028417C"/>
    <w:rsid w:val="00284F2F"/>
    <w:rsid w:val="00284F4E"/>
    <w:rsid w:val="002871F3"/>
    <w:rsid w:val="00291A76"/>
    <w:rsid w:val="00291D6F"/>
    <w:rsid w:val="00293002"/>
    <w:rsid w:val="002930B3"/>
    <w:rsid w:val="00293484"/>
    <w:rsid w:val="00295D96"/>
    <w:rsid w:val="00295F17"/>
    <w:rsid w:val="00297C91"/>
    <w:rsid w:val="002A12B8"/>
    <w:rsid w:val="002A1473"/>
    <w:rsid w:val="002A28D7"/>
    <w:rsid w:val="002A3481"/>
    <w:rsid w:val="002A3B4A"/>
    <w:rsid w:val="002A3CD0"/>
    <w:rsid w:val="002A539F"/>
    <w:rsid w:val="002A5ABC"/>
    <w:rsid w:val="002A6AA1"/>
    <w:rsid w:val="002A6D4E"/>
    <w:rsid w:val="002B1DDB"/>
    <w:rsid w:val="002B25C1"/>
    <w:rsid w:val="002B3DFE"/>
    <w:rsid w:val="002B4043"/>
    <w:rsid w:val="002B5D42"/>
    <w:rsid w:val="002B6F0A"/>
    <w:rsid w:val="002B7219"/>
    <w:rsid w:val="002B752E"/>
    <w:rsid w:val="002C0C1A"/>
    <w:rsid w:val="002C21F6"/>
    <w:rsid w:val="002C3177"/>
    <w:rsid w:val="002C39A3"/>
    <w:rsid w:val="002C545A"/>
    <w:rsid w:val="002C5A75"/>
    <w:rsid w:val="002D2F24"/>
    <w:rsid w:val="002D5729"/>
    <w:rsid w:val="002D587B"/>
    <w:rsid w:val="002E2D05"/>
    <w:rsid w:val="002E3F0C"/>
    <w:rsid w:val="002E5929"/>
    <w:rsid w:val="002F053A"/>
    <w:rsid w:val="002F2646"/>
    <w:rsid w:val="002F533D"/>
    <w:rsid w:val="002F5B02"/>
    <w:rsid w:val="003000B7"/>
    <w:rsid w:val="00300AAC"/>
    <w:rsid w:val="00302A92"/>
    <w:rsid w:val="00302FDB"/>
    <w:rsid w:val="00303F16"/>
    <w:rsid w:val="00305D49"/>
    <w:rsid w:val="0030619D"/>
    <w:rsid w:val="003111F9"/>
    <w:rsid w:val="0031184F"/>
    <w:rsid w:val="00311971"/>
    <w:rsid w:val="003123E4"/>
    <w:rsid w:val="00312F75"/>
    <w:rsid w:val="00313A5B"/>
    <w:rsid w:val="003146B9"/>
    <w:rsid w:val="00314DE6"/>
    <w:rsid w:val="00321138"/>
    <w:rsid w:val="00322E82"/>
    <w:rsid w:val="00330A17"/>
    <w:rsid w:val="00330EC7"/>
    <w:rsid w:val="003349DC"/>
    <w:rsid w:val="00340392"/>
    <w:rsid w:val="003441DB"/>
    <w:rsid w:val="00346F6E"/>
    <w:rsid w:val="003500AA"/>
    <w:rsid w:val="00356212"/>
    <w:rsid w:val="00356680"/>
    <w:rsid w:val="00356FC4"/>
    <w:rsid w:val="00357221"/>
    <w:rsid w:val="0036201E"/>
    <w:rsid w:val="0036395A"/>
    <w:rsid w:val="00363A6B"/>
    <w:rsid w:val="00366525"/>
    <w:rsid w:val="0036753F"/>
    <w:rsid w:val="00373D11"/>
    <w:rsid w:val="00374164"/>
    <w:rsid w:val="00374D82"/>
    <w:rsid w:val="00376E8B"/>
    <w:rsid w:val="0038126F"/>
    <w:rsid w:val="00383EBA"/>
    <w:rsid w:val="003856FB"/>
    <w:rsid w:val="003857BD"/>
    <w:rsid w:val="00387E69"/>
    <w:rsid w:val="00387EFD"/>
    <w:rsid w:val="00391E2E"/>
    <w:rsid w:val="00397C65"/>
    <w:rsid w:val="003A279E"/>
    <w:rsid w:val="003A2897"/>
    <w:rsid w:val="003A32E7"/>
    <w:rsid w:val="003A4A57"/>
    <w:rsid w:val="003A54E7"/>
    <w:rsid w:val="003B078E"/>
    <w:rsid w:val="003B1E29"/>
    <w:rsid w:val="003B24A3"/>
    <w:rsid w:val="003B3022"/>
    <w:rsid w:val="003B51AD"/>
    <w:rsid w:val="003B6A4F"/>
    <w:rsid w:val="003B6A94"/>
    <w:rsid w:val="003B7BBD"/>
    <w:rsid w:val="003C0428"/>
    <w:rsid w:val="003C0D3E"/>
    <w:rsid w:val="003C101A"/>
    <w:rsid w:val="003C28EF"/>
    <w:rsid w:val="003C2FD2"/>
    <w:rsid w:val="003C4905"/>
    <w:rsid w:val="003C4FA7"/>
    <w:rsid w:val="003C6A98"/>
    <w:rsid w:val="003D1825"/>
    <w:rsid w:val="003D29E6"/>
    <w:rsid w:val="003D4F74"/>
    <w:rsid w:val="003D66D9"/>
    <w:rsid w:val="003D7D27"/>
    <w:rsid w:val="003E3A6B"/>
    <w:rsid w:val="003E4556"/>
    <w:rsid w:val="003E5A8B"/>
    <w:rsid w:val="003E5A93"/>
    <w:rsid w:val="003E5EA7"/>
    <w:rsid w:val="003E6088"/>
    <w:rsid w:val="003E62AE"/>
    <w:rsid w:val="003F1660"/>
    <w:rsid w:val="003F3FCA"/>
    <w:rsid w:val="003F591D"/>
    <w:rsid w:val="003F66D9"/>
    <w:rsid w:val="003F6759"/>
    <w:rsid w:val="003F67A7"/>
    <w:rsid w:val="003F733B"/>
    <w:rsid w:val="00400F9D"/>
    <w:rsid w:val="0040101D"/>
    <w:rsid w:val="00401207"/>
    <w:rsid w:val="00401C4A"/>
    <w:rsid w:val="00406AB3"/>
    <w:rsid w:val="00406D26"/>
    <w:rsid w:val="00411762"/>
    <w:rsid w:val="004119D9"/>
    <w:rsid w:val="00413464"/>
    <w:rsid w:val="004147D8"/>
    <w:rsid w:val="00417BCF"/>
    <w:rsid w:val="004247A5"/>
    <w:rsid w:val="00424CBB"/>
    <w:rsid w:val="00427929"/>
    <w:rsid w:val="004300D4"/>
    <w:rsid w:val="00430301"/>
    <w:rsid w:val="0043277F"/>
    <w:rsid w:val="00434D05"/>
    <w:rsid w:val="0043584F"/>
    <w:rsid w:val="0043782E"/>
    <w:rsid w:val="00440F41"/>
    <w:rsid w:val="004441D3"/>
    <w:rsid w:val="00444834"/>
    <w:rsid w:val="00447A6F"/>
    <w:rsid w:val="0045182F"/>
    <w:rsid w:val="00453C45"/>
    <w:rsid w:val="00457475"/>
    <w:rsid w:val="00457A43"/>
    <w:rsid w:val="00467ABD"/>
    <w:rsid w:val="004704CA"/>
    <w:rsid w:val="004725E3"/>
    <w:rsid w:val="00472A60"/>
    <w:rsid w:val="00476931"/>
    <w:rsid w:val="0048351E"/>
    <w:rsid w:val="00483921"/>
    <w:rsid w:val="00484493"/>
    <w:rsid w:val="0048538B"/>
    <w:rsid w:val="00485ED2"/>
    <w:rsid w:val="00486252"/>
    <w:rsid w:val="004913E1"/>
    <w:rsid w:val="00493EF3"/>
    <w:rsid w:val="00494C75"/>
    <w:rsid w:val="00496265"/>
    <w:rsid w:val="004A04A1"/>
    <w:rsid w:val="004A1262"/>
    <w:rsid w:val="004A1457"/>
    <w:rsid w:val="004A1E19"/>
    <w:rsid w:val="004A2878"/>
    <w:rsid w:val="004A2FC7"/>
    <w:rsid w:val="004A3B20"/>
    <w:rsid w:val="004A4B56"/>
    <w:rsid w:val="004A56F0"/>
    <w:rsid w:val="004B0905"/>
    <w:rsid w:val="004B27DC"/>
    <w:rsid w:val="004B31FC"/>
    <w:rsid w:val="004B4498"/>
    <w:rsid w:val="004B4871"/>
    <w:rsid w:val="004B5562"/>
    <w:rsid w:val="004C0751"/>
    <w:rsid w:val="004C0CB0"/>
    <w:rsid w:val="004C12DA"/>
    <w:rsid w:val="004C1B5D"/>
    <w:rsid w:val="004C2707"/>
    <w:rsid w:val="004C5881"/>
    <w:rsid w:val="004C6CB0"/>
    <w:rsid w:val="004C6DBF"/>
    <w:rsid w:val="004D478C"/>
    <w:rsid w:val="004D52BF"/>
    <w:rsid w:val="004D5C0D"/>
    <w:rsid w:val="004E057A"/>
    <w:rsid w:val="004E350C"/>
    <w:rsid w:val="004E3E84"/>
    <w:rsid w:val="004E597F"/>
    <w:rsid w:val="004E7574"/>
    <w:rsid w:val="004F0B3E"/>
    <w:rsid w:val="004F0FDF"/>
    <w:rsid w:val="004F136A"/>
    <w:rsid w:val="004F1F09"/>
    <w:rsid w:val="004F769A"/>
    <w:rsid w:val="004F7F24"/>
    <w:rsid w:val="00500806"/>
    <w:rsid w:val="00500975"/>
    <w:rsid w:val="00500DE5"/>
    <w:rsid w:val="005019B2"/>
    <w:rsid w:val="00503575"/>
    <w:rsid w:val="005053A9"/>
    <w:rsid w:val="005077EC"/>
    <w:rsid w:val="00510056"/>
    <w:rsid w:val="00510BE1"/>
    <w:rsid w:val="005112A6"/>
    <w:rsid w:val="00511D55"/>
    <w:rsid w:val="00511E1D"/>
    <w:rsid w:val="0051247F"/>
    <w:rsid w:val="00513438"/>
    <w:rsid w:val="005149B8"/>
    <w:rsid w:val="00517BD7"/>
    <w:rsid w:val="00517C2B"/>
    <w:rsid w:val="00517D47"/>
    <w:rsid w:val="00526E32"/>
    <w:rsid w:val="00527CBB"/>
    <w:rsid w:val="00530B27"/>
    <w:rsid w:val="005310EF"/>
    <w:rsid w:val="00532057"/>
    <w:rsid w:val="00537F98"/>
    <w:rsid w:val="00540979"/>
    <w:rsid w:val="0054367D"/>
    <w:rsid w:val="0054414B"/>
    <w:rsid w:val="0054697F"/>
    <w:rsid w:val="00546FB0"/>
    <w:rsid w:val="00551877"/>
    <w:rsid w:val="00552772"/>
    <w:rsid w:val="005544FD"/>
    <w:rsid w:val="005555CC"/>
    <w:rsid w:val="00560D92"/>
    <w:rsid w:val="00562603"/>
    <w:rsid w:val="005633EF"/>
    <w:rsid w:val="0056465E"/>
    <w:rsid w:val="00564813"/>
    <w:rsid w:val="00565677"/>
    <w:rsid w:val="0056625C"/>
    <w:rsid w:val="00570D08"/>
    <w:rsid w:val="00574604"/>
    <w:rsid w:val="00580BDF"/>
    <w:rsid w:val="00581062"/>
    <w:rsid w:val="00581277"/>
    <w:rsid w:val="00581786"/>
    <w:rsid w:val="00583D4F"/>
    <w:rsid w:val="005859C9"/>
    <w:rsid w:val="00593489"/>
    <w:rsid w:val="00597E51"/>
    <w:rsid w:val="005A29BC"/>
    <w:rsid w:val="005A35F7"/>
    <w:rsid w:val="005A37AF"/>
    <w:rsid w:val="005A3800"/>
    <w:rsid w:val="005A6892"/>
    <w:rsid w:val="005A7955"/>
    <w:rsid w:val="005B0921"/>
    <w:rsid w:val="005B1EA4"/>
    <w:rsid w:val="005B2174"/>
    <w:rsid w:val="005B234E"/>
    <w:rsid w:val="005B699D"/>
    <w:rsid w:val="005B7516"/>
    <w:rsid w:val="005C0437"/>
    <w:rsid w:val="005C2D21"/>
    <w:rsid w:val="005C4445"/>
    <w:rsid w:val="005C48A6"/>
    <w:rsid w:val="005C51C5"/>
    <w:rsid w:val="005C683A"/>
    <w:rsid w:val="005C6EB6"/>
    <w:rsid w:val="005C7A16"/>
    <w:rsid w:val="005C7E50"/>
    <w:rsid w:val="005D0D50"/>
    <w:rsid w:val="005D23C7"/>
    <w:rsid w:val="005D316B"/>
    <w:rsid w:val="005D50B0"/>
    <w:rsid w:val="005D6199"/>
    <w:rsid w:val="005E2671"/>
    <w:rsid w:val="005F540B"/>
    <w:rsid w:val="005F5976"/>
    <w:rsid w:val="005F7D32"/>
    <w:rsid w:val="00602451"/>
    <w:rsid w:val="00606A20"/>
    <w:rsid w:val="00611AC7"/>
    <w:rsid w:val="0061606D"/>
    <w:rsid w:val="00617C81"/>
    <w:rsid w:val="00621789"/>
    <w:rsid w:val="00623475"/>
    <w:rsid w:val="006272DA"/>
    <w:rsid w:val="00627A0C"/>
    <w:rsid w:val="00637DC8"/>
    <w:rsid w:val="006404BF"/>
    <w:rsid w:val="00640608"/>
    <w:rsid w:val="0064102F"/>
    <w:rsid w:val="00644666"/>
    <w:rsid w:val="00646589"/>
    <w:rsid w:val="0064753A"/>
    <w:rsid w:val="00647C18"/>
    <w:rsid w:val="00652587"/>
    <w:rsid w:val="00652CAC"/>
    <w:rsid w:val="0065464D"/>
    <w:rsid w:val="00661113"/>
    <w:rsid w:val="00662F77"/>
    <w:rsid w:val="00670FE5"/>
    <w:rsid w:val="00671412"/>
    <w:rsid w:val="0067783F"/>
    <w:rsid w:val="00677AE6"/>
    <w:rsid w:val="0068001F"/>
    <w:rsid w:val="00680690"/>
    <w:rsid w:val="00681DFD"/>
    <w:rsid w:val="00684294"/>
    <w:rsid w:val="00684ABC"/>
    <w:rsid w:val="00685DD8"/>
    <w:rsid w:val="00687146"/>
    <w:rsid w:val="006876B1"/>
    <w:rsid w:val="0069152E"/>
    <w:rsid w:val="00694E05"/>
    <w:rsid w:val="0069568E"/>
    <w:rsid w:val="006A1C61"/>
    <w:rsid w:val="006A5F9F"/>
    <w:rsid w:val="006A72AB"/>
    <w:rsid w:val="006B23C6"/>
    <w:rsid w:val="006B336A"/>
    <w:rsid w:val="006B48A8"/>
    <w:rsid w:val="006C19EE"/>
    <w:rsid w:val="006C3D52"/>
    <w:rsid w:val="006C4A5D"/>
    <w:rsid w:val="006C627A"/>
    <w:rsid w:val="006C6934"/>
    <w:rsid w:val="006D0A24"/>
    <w:rsid w:val="006D102C"/>
    <w:rsid w:val="006D170F"/>
    <w:rsid w:val="006D3AA7"/>
    <w:rsid w:val="006D7889"/>
    <w:rsid w:val="006E3A87"/>
    <w:rsid w:val="006E7285"/>
    <w:rsid w:val="006F3BC4"/>
    <w:rsid w:val="006F5666"/>
    <w:rsid w:val="006F5B2F"/>
    <w:rsid w:val="006F65C8"/>
    <w:rsid w:val="006F7409"/>
    <w:rsid w:val="00705CCC"/>
    <w:rsid w:val="007120EC"/>
    <w:rsid w:val="00715039"/>
    <w:rsid w:val="00720551"/>
    <w:rsid w:val="00721E44"/>
    <w:rsid w:val="007230CD"/>
    <w:rsid w:val="007242D9"/>
    <w:rsid w:val="00734C1B"/>
    <w:rsid w:val="00737C46"/>
    <w:rsid w:val="0074125F"/>
    <w:rsid w:val="00741703"/>
    <w:rsid w:val="00742C31"/>
    <w:rsid w:val="00744CDA"/>
    <w:rsid w:val="00745582"/>
    <w:rsid w:val="007463F8"/>
    <w:rsid w:val="00747EC6"/>
    <w:rsid w:val="007508A5"/>
    <w:rsid w:val="00751333"/>
    <w:rsid w:val="00752A15"/>
    <w:rsid w:val="00753D39"/>
    <w:rsid w:val="00755D87"/>
    <w:rsid w:val="00760D6C"/>
    <w:rsid w:val="007616AF"/>
    <w:rsid w:val="007618B8"/>
    <w:rsid w:val="00761AC5"/>
    <w:rsid w:val="007629A8"/>
    <w:rsid w:val="00764BF9"/>
    <w:rsid w:val="0077065C"/>
    <w:rsid w:val="00770802"/>
    <w:rsid w:val="00772705"/>
    <w:rsid w:val="00776544"/>
    <w:rsid w:val="007770DC"/>
    <w:rsid w:val="00780BD6"/>
    <w:rsid w:val="00781B15"/>
    <w:rsid w:val="00783AFB"/>
    <w:rsid w:val="00786F08"/>
    <w:rsid w:val="007874C6"/>
    <w:rsid w:val="00790116"/>
    <w:rsid w:val="007917CE"/>
    <w:rsid w:val="00793510"/>
    <w:rsid w:val="007937A2"/>
    <w:rsid w:val="007A002E"/>
    <w:rsid w:val="007A2200"/>
    <w:rsid w:val="007A2506"/>
    <w:rsid w:val="007A2B31"/>
    <w:rsid w:val="007A568B"/>
    <w:rsid w:val="007A67E9"/>
    <w:rsid w:val="007A7473"/>
    <w:rsid w:val="007B098B"/>
    <w:rsid w:val="007B1297"/>
    <w:rsid w:val="007B23FF"/>
    <w:rsid w:val="007B2CC5"/>
    <w:rsid w:val="007B2CEE"/>
    <w:rsid w:val="007B4B80"/>
    <w:rsid w:val="007B576A"/>
    <w:rsid w:val="007C0A47"/>
    <w:rsid w:val="007C1597"/>
    <w:rsid w:val="007C39ED"/>
    <w:rsid w:val="007C656E"/>
    <w:rsid w:val="007C7B53"/>
    <w:rsid w:val="007D0DC7"/>
    <w:rsid w:val="007D5182"/>
    <w:rsid w:val="007D6EC9"/>
    <w:rsid w:val="007D799E"/>
    <w:rsid w:val="007E0B2A"/>
    <w:rsid w:val="007E3578"/>
    <w:rsid w:val="007E4E95"/>
    <w:rsid w:val="007E6018"/>
    <w:rsid w:val="007E764E"/>
    <w:rsid w:val="007F2F5E"/>
    <w:rsid w:val="007F4738"/>
    <w:rsid w:val="008023D4"/>
    <w:rsid w:val="0080339B"/>
    <w:rsid w:val="008059FC"/>
    <w:rsid w:val="0081215E"/>
    <w:rsid w:val="00814878"/>
    <w:rsid w:val="008156AF"/>
    <w:rsid w:val="00820643"/>
    <w:rsid w:val="00821095"/>
    <w:rsid w:val="00821532"/>
    <w:rsid w:val="00822977"/>
    <w:rsid w:val="00822AF5"/>
    <w:rsid w:val="008250A1"/>
    <w:rsid w:val="00825855"/>
    <w:rsid w:val="00830D00"/>
    <w:rsid w:val="008320EB"/>
    <w:rsid w:val="00833D6A"/>
    <w:rsid w:val="008344E0"/>
    <w:rsid w:val="00836009"/>
    <w:rsid w:val="00840D26"/>
    <w:rsid w:val="00851B42"/>
    <w:rsid w:val="00857751"/>
    <w:rsid w:val="00862E4A"/>
    <w:rsid w:val="0086346A"/>
    <w:rsid w:val="008677AD"/>
    <w:rsid w:val="0087248C"/>
    <w:rsid w:val="00872669"/>
    <w:rsid w:val="00872B23"/>
    <w:rsid w:val="008741BD"/>
    <w:rsid w:val="00874EFB"/>
    <w:rsid w:val="00881503"/>
    <w:rsid w:val="008847F6"/>
    <w:rsid w:val="00890180"/>
    <w:rsid w:val="008931EA"/>
    <w:rsid w:val="008932C5"/>
    <w:rsid w:val="0089457F"/>
    <w:rsid w:val="00895E8F"/>
    <w:rsid w:val="00895F8E"/>
    <w:rsid w:val="00897E17"/>
    <w:rsid w:val="008A06E3"/>
    <w:rsid w:val="008A5F7F"/>
    <w:rsid w:val="008A6919"/>
    <w:rsid w:val="008A76CA"/>
    <w:rsid w:val="008B3499"/>
    <w:rsid w:val="008B789B"/>
    <w:rsid w:val="008C11DD"/>
    <w:rsid w:val="008C4E63"/>
    <w:rsid w:val="008C76F8"/>
    <w:rsid w:val="008C7FBB"/>
    <w:rsid w:val="008D2232"/>
    <w:rsid w:val="008D2B3E"/>
    <w:rsid w:val="008D535F"/>
    <w:rsid w:val="008D5ABC"/>
    <w:rsid w:val="008D6143"/>
    <w:rsid w:val="008E18CF"/>
    <w:rsid w:val="008E1ED2"/>
    <w:rsid w:val="008E33B6"/>
    <w:rsid w:val="008E5299"/>
    <w:rsid w:val="008E7175"/>
    <w:rsid w:val="008F0620"/>
    <w:rsid w:val="008F17E6"/>
    <w:rsid w:val="008F7F96"/>
    <w:rsid w:val="00903636"/>
    <w:rsid w:val="0090579C"/>
    <w:rsid w:val="00906366"/>
    <w:rsid w:val="00910E54"/>
    <w:rsid w:val="00910E6C"/>
    <w:rsid w:val="009112A5"/>
    <w:rsid w:val="009115B6"/>
    <w:rsid w:val="00912DE0"/>
    <w:rsid w:val="00914ADA"/>
    <w:rsid w:val="0092098B"/>
    <w:rsid w:val="00921303"/>
    <w:rsid w:val="00921F76"/>
    <w:rsid w:val="00922449"/>
    <w:rsid w:val="00922D50"/>
    <w:rsid w:val="009245AA"/>
    <w:rsid w:val="00927F0D"/>
    <w:rsid w:val="00930202"/>
    <w:rsid w:val="00930A41"/>
    <w:rsid w:val="0093137B"/>
    <w:rsid w:val="009317F8"/>
    <w:rsid w:val="009323D3"/>
    <w:rsid w:val="00932693"/>
    <w:rsid w:val="009346B7"/>
    <w:rsid w:val="0093522F"/>
    <w:rsid w:val="00935D6E"/>
    <w:rsid w:val="00937D06"/>
    <w:rsid w:val="009428C0"/>
    <w:rsid w:val="00942A92"/>
    <w:rsid w:val="00945E7F"/>
    <w:rsid w:val="009466AC"/>
    <w:rsid w:val="0095219B"/>
    <w:rsid w:val="00956F5B"/>
    <w:rsid w:val="0096585A"/>
    <w:rsid w:val="0097003C"/>
    <w:rsid w:val="009709CC"/>
    <w:rsid w:val="009716F1"/>
    <w:rsid w:val="00971960"/>
    <w:rsid w:val="00971A83"/>
    <w:rsid w:val="0097319D"/>
    <w:rsid w:val="00974E32"/>
    <w:rsid w:val="009767E0"/>
    <w:rsid w:val="00981791"/>
    <w:rsid w:val="00984DBC"/>
    <w:rsid w:val="00985E65"/>
    <w:rsid w:val="0098791F"/>
    <w:rsid w:val="00991232"/>
    <w:rsid w:val="00991851"/>
    <w:rsid w:val="0099608E"/>
    <w:rsid w:val="0099636E"/>
    <w:rsid w:val="009A1159"/>
    <w:rsid w:val="009A2F74"/>
    <w:rsid w:val="009A4B84"/>
    <w:rsid w:val="009A6942"/>
    <w:rsid w:val="009B1195"/>
    <w:rsid w:val="009B1853"/>
    <w:rsid w:val="009B3FF3"/>
    <w:rsid w:val="009B4AE3"/>
    <w:rsid w:val="009B4C29"/>
    <w:rsid w:val="009B548B"/>
    <w:rsid w:val="009C7163"/>
    <w:rsid w:val="009D3E4B"/>
    <w:rsid w:val="009D5A1B"/>
    <w:rsid w:val="009D5B38"/>
    <w:rsid w:val="009D7170"/>
    <w:rsid w:val="009E0B56"/>
    <w:rsid w:val="009E5515"/>
    <w:rsid w:val="009E690C"/>
    <w:rsid w:val="009F2B06"/>
    <w:rsid w:val="009F3E94"/>
    <w:rsid w:val="009F55BF"/>
    <w:rsid w:val="00A02429"/>
    <w:rsid w:val="00A0272B"/>
    <w:rsid w:val="00A03EE9"/>
    <w:rsid w:val="00A041E2"/>
    <w:rsid w:val="00A05D7B"/>
    <w:rsid w:val="00A066DC"/>
    <w:rsid w:val="00A06C04"/>
    <w:rsid w:val="00A108FE"/>
    <w:rsid w:val="00A14923"/>
    <w:rsid w:val="00A207B7"/>
    <w:rsid w:val="00A210A8"/>
    <w:rsid w:val="00A210E7"/>
    <w:rsid w:val="00A21984"/>
    <w:rsid w:val="00A226F5"/>
    <w:rsid w:val="00A23442"/>
    <w:rsid w:val="00A23B8A"/>
    <w:rsid w:val="00A31125"/>
    <w:rsid w:val="00A351E4"/>
    <w:rsid w:val="00A36505"/>
    <w:rsid w:val="00A416B1"/>
    <w:rsid w:val="00A4370D"/>
    <w:rsid w:val="00A43EB7"/>
    <w:rsid w:val="00A512AB"/>
    <w:rsid w:val="00A51A80"/>
    <w:rsid w:val="00A52377"/>
    <w:rsid w:val="00A52B16"/>
    <w:rsid w:val="00A554E9"/>
    <w:rsid w:val="00A56266"/>
    <w:rsid w:val="00A573A3"/>
    <w:rsid w:val="00A60295"/>
    <w:rsid w:val="00A61DE8"/>
    <w:rsid w:val="00A6573F"/>
    <w:rsid w:val="00A66195"/>
    <w:rsid w:val="00A717DA"/>
    <w:rsid w:val="00A745CA"/>
    <w:rsid w:val="00A75244"/>
    <w:rsid w:val="00A755D2"/>
    <w:rsid w:val="00A75D86"/>
    <w:rsid w:val="00A76BD8"/>
    <w:rsid w:val="00A778F6"/>
    <w:rsid w:val="00A817D3"/>
    <w:rsid w:val="00A8381B"/>
    <w:rsid w:val="00A86E1F"/>
    <w:rsid w:val="00A90F43"/>
    <w:rsid w:val="00A92B16"/>
    <w:rsid w:val="00AA5D86"/>
    <w:rsid w:val="00AA66CB"/>
    <w:rsid w:val="00AB3C9E"/>
    <w:rsid w:val="00AB610D"/>
    <w:rsid w:val="00AC052A"/>
    <w:rsid w:val="00AC0619"/>
    <w:rsid w:val="00AC2AF3"/>
    <w:rsid w:val="00AC60EF"/>
    <w:rsid w:val="00AC64E0"/>
    <w:rsid w:val="00AC6FF3"/>
    <w:rsid w:val="00AD0EF9"/>
    <w:rsid w:val="00AD4996"/>
    <w:rsid w:val="00AD5D62"/>
    <w:rsid w:val="00AE1A4B"/>
    <w:rsid w:val="00AE4A3A"/>
    <w:rsid w:val="00AE6DA7"/>
    <w:rsid w:val="00AE7804"/>
    <w:rsid w:val="00AF1961"/>
    <w:rsid w:val="00AF3A86"/>
    <w:rsid w:val="00AF3B7C"/>
    <w:rsid w:val="00AF483C"/>
    <w:rsid w:val="00AF5323"/>
    <w:rsid w:val="00B000EF"/>
    <w:rsid w:val="00B01DE3"/>
    <w:rsid w:val="00B04876"/>
    <w:rsid w:val="00B0794B"/>
    <w:rsid w:val="00B102BD"/>
    <w:rsid w:val="00B14387"/>
    <w:rsid w:val="00B14F2A"/>
    <w:rsid w:val="00B16232"/>
    <w:rsid w:val="00B16C7C"/>
    <w:rsid w:val="00B21C81"/>
    <w:rsid w:val="00B225A3"/>
    <w:rsid w:val="00B235F7"/>
    <w:rsid w:val="00B270E2"/>
    <w:rsid w:val="00B27E35"/>
    <w:rsid w:val="00B305DF"/>
    <w:rsid w:val="00B31FAB"/>
    <w:rsid w:val="00B3351C"/>
    <w:rsid w:val="00B337A8"/>
    <w:rsid w:val="00B33D92"/>
    <w:rsid w:val="00B3473E"/>
    <w:rsid w:val="00B365BD"/>
    <w:rsid w:val="00B42487"/>
    <w:rsid w:val="00B435F9"/>
    <w:rsid w:val="00B44679"/>
    <w:rsid w:val="00B45AE9"/>
    <w:rsid w:val="00B4653D"/>
    <w:rsid w:val="00B46C18"/>
    <w:rsid w:val="00B5307F"/>
    <w:rsid w:val="00B5491E"/>
    <w:rsid w:val="00B54CC2"/>
    <w:rsid w:val="00B561C0"/>
    <w:rsid w:val="00B57747"/>
    <w:rsid w:val="00B57BEC"/>
    <w:rsid w:val="00B57FA7"/>
    <w:rsid w:val="00B613FE"/>
    <w:rsid w:val="00B61AA8"/>
    <w:rsid w:val="00B61D05"/>
    <w:rsid w:val="00B6241A"/>
    <w:rsid w:val="00B65F7C"/>
    <w:rsid w:val="00B67197"/>
    <w:rsid w:val="00B74090"/>
    <w:rsid w:val="00B74951"/>
    <w:rsid w:val="00B75DCD"/>
    <w:rsid w:val="00B77C3F"/>
    <w:rsid w:val="00B81FA5"/>
    <w:rsid w:val="00B82F7D"/>
    <w:rsid w:val="00B8398F"/>
    <w:rsid w:val="00B84D4F"/>
    <w:rsid w:val="00B90333"/>
    <w:rsid w:val="00B923B9"/>
    <w:rsid w:val="00B95035"/>
    <w:rsid w:val="00B96D2E"/>
    <w:rsid w:val="00B973EC"/>
    <w:rsid w:val="00BA0D8C"/>
    <w:rsid w:val="00BA6962"/>
    <w:rsid w:val="00BA7691"/>
    <w:rsid w:val="00BB1B3A"/>
    <w:rsid w:val="00BB1C4D"/>
    <w:rsid w:val="00BB58AD"/>
    <w:rsid w:val="00BB73BA"/>
    <w:rsid w:val="00BB7E49"/>
    <w:rsid w:val="00BC2B65"/>
    <w:rsid w:val="00BC413E"/>
    <w:rsid w:val="00BC73DD"/>
    <w:rsid w:val="00BD009B"/>
    <w:rsid w:val="00BD1607"/>
    <w:rsid w:val="00BD3D85"/>
    <w:rsid w:val="00BE137D"/>
    <w:rsid w:val="00BE40E8"/>
    <w:rsid w:val="00BF1F32"/>
    <w:rsid w:val="00BF6E1C"/>
    <w:rsid w:val="00BF7966"/>
    <w:rsid w:val="00C0178C"/>
    <w:rsid w:val="00C01B1D"/>
    <w:rsid w:val="00C01B71"/>
    <w:rsid w:val="00C048E8"/>
    <w:rsid w:val="00C103F7"/>
    <w:rsid w:val="00C16EC7"/>
    <w:rsid w:val="00C17522"/>
    <w:rsid w:val="00C20673"/>
    <w:rsid w:val="00C20C25"/>
    <w:rsid w:val="00C2297E"/>
    <w:rsid w:val="00C242F2"/>
    <w:rsid w:val="00C24E56"/>
    <w:rsid w:val="00C25269"/>
    <w:rsid w:val="00C26EA8"/>
    <w:rsid w:val="00C279CE"/>
    <w:rsid w:val="00C30034"/>
    <w:rsid w:val="00C307D2"/>
    <w:rsid w:val="00C32CB0"/>
    <w:rsid w:val="00C33230"/>
    <w:rsid w:val="00C3415B"/>
    <w:rsid w:val="00C34332"/>
    <w:rsid w:val="00C35AD4"/>
    <w:rsid w:val="00C3602D"/>
    <w:rsid w:val="00C369A8"/>
    <w:rsid w:val="00C40331"/>
    <w:rsid w:val="00C42F78"/>
    <w:rsid w:val="00C43628"/>
    <w:rsid w:val="00C43ECD"/>
    <w:rsid w:val="00C44A9B"/>
    <w:rsid w:val="00C46BF1"/>
    <w:rsid w:val="00C46C12"/>
    <w:rsid w:val="00C50E49"/>
    <w:rsid w:val="00C52C79"/>
    <w:rsid w:val="00C53700"/>
    <w:rsid w:val="00C5504F"/>
    <w:rsid w:val="00C57615"/>
    <w:rsid w:val="00C60972"/>
    <w:rsid w:val="00C61432"/>
    <w:rsid w:val="00C70060"/>
    <w:rsid w:val="00C8050B"/>
    <w:rsid w:val="00C812FC"/>
    <w:rsid w:val="00C81DB3"/>
    <w:rsid w:val="00C82C6C"/>
    <w:rsid w:val="00C85057"/>
    <w:rsid w:val="00C94320"/>
    <w:rsid w:val="00C948D2"/>
    <w:rsid w:val="00C95717"/>
    <w:rsid w:val="00C969CE"/>
    <w:rsid w:val="00C9763E"/>
    <w:rsid w:val="00CA0118"/>
    <w:rsid w:val="00CA02D2"/>
    <w:rsid w:val="00CA194F"/>
    <w:rsid w:val="00CA3A3B"/>
    <w:rsid w:val="00CA44BF"/>
    <w:rsid w:val="00CA5254"/>
    <w:rsid w:val="00CA5A1A"/>
    <w:rsid w:val="00CA7DEC"/>
    <w:rsid w:val="00CB12A8"/>
    <w:rsid w:val="00CB2575"/>
    <w:rsid w:val="00CB2CE7"/>
    <w:rsid w:val="00CB3BDB"/>
    <w:rsid w:val="00CB79B5"/>
    <w:rsid w:val="00CC0ED3"/>
    <w:rsid w:val="00CC3843"/>
    <w:rsid w:val="00CC4CFD"/>
    <w:rsid w:val="00CC5FB6"/>
    <w:rsid w:val="00CC7A23"/>
    <w:rsid w:val="00CC7B2E"/>
    <w:rsid w:val="00CD0BDF"/>
    <w:rsid w:val="00CD258B"/>
    <w:rsid w:val="00CD2FAD"/>
    <w:rsid w:val="00CD34FD"/>
    <w:rsid w:val="00CD6956"/>
    <w:rsid w:val="00CD6D6C"/>
    <w:rsid w:val="00CD78D4"/>
    <w:rsid w:val="00CE132A"/>
    <w:rsid w:val="00CE2570"/>
    <w:rsid w:val="00CE279F"/>
    <w:rsid w:val="00CE3E7A"/>
    <w:rsid w:val="00CE5BED"/>
    <w:rsid w:val="00CF1180"/>
    <w:rsid w:val="00CF2180"/>
    <w:rsid w:val="00CF239E"/>
    <w:rsid w:val="00CF24F8"/>
    <w:rsid w:val="00CF5E89"/>
    <w:rsid w:val="00CF6321"/>
    <w:rsid w:val="00CF73BD"/>
    <w:rsid w:val="00D1111A"/>
    <w:rsid w:val="00D141B5"/>
    <w:rsid w:val="00D142F4"/>
    <w:rsid w:val="00D15CCD"/>
    <w:rsid w:val="00D15DEC"/>
    <w:rsid w:val="00D17B03"/>
    <w:rsid w:val="00D2277B"/>
    <w:rsid w:val="00D23480"/>
    <w:rsid w:val="00D24A4D"/>
    <w:rsid w:val="00D24E92"/>
    <w:rsid w:val="00D25E28"/>
    <w:rsid w:val="00D3593A"/>
    <w:rsid w:val="00D37A75"/>
    <w:rsid w:val="00D42B2A"/>
    <w:rsid w:val="00D44F72"/>
    <w:rsid w:val="00D463A4"/>
    <w:rsid w:val="00D50996"/>
    <w:rsid w:val="00D51CD5"/>
    <w:rsid w:val="00D5289F"/>
    <w:rsid w:val="00D568E8"/>
    <w:rsid w:val="00D60A42"/>
    <w:rsid w:val="00D6229F"/>
    <w:rsid w:val="00D62829"/>
    <w:rsid w:val="00D70319"/>
    <w:rsid w:val="00D713D4"/>
    <w:rsid w:val="00D7446E"/>
    <w:rsid w:val="00D74906"/>
    <w:rsid w:val="00D753D2"/>
    <w:rsid w:val="00D778B8"/>
    <w:rsid w:val="00D805C0"/>
    <w:rsid w:val="00D81B21"/>
    <w:rsid w:val="00D820E2"/>
    <w:rsid w:val="00D85108"/>
    <w:rsid w:val="00D85D87"/>
    <w:rsid w:val="00D85F7E"/>
    <w:rsid w:val="00D862EC"/>
    <w:rsid w:val="00D916BE"/>
    <w:rsid w:val="00D92149"/>
    <w:rsid w:val="00D93461"/>
    <w:rsid w:val="00D93466"/>
    <w:rsid w:val="00D944A7"/>
    <w:rsid w:val="00D94C69"/>
    <w:rsid w:val="00D95824"/>
    <w:rsid w:val="00D95D7C"/>
    <w:rsid w:val="00DA5FA0"/>
    <w:rsid w:val="00DA7266"/>
    <w:rsid w:val="00DB2757"/>
    <w:rsid w:val="00DB3FE7"/>
    <w:rsid w:val="00DB4D2C"/>
    <w:rsid w:val="00DB5548"/>
    <w:rsid w:val="00DB5813"/>
    <w:rsid w:val="00DB599E"/>
    <w:rsid w:val="00DB5FFC"/>
    <w:rsid w:val="00DC1729"/>
    <w:rsid w:val="00DC2713"/>
    <w:rsid w:val="00DC459F"/>
    <w:rsid w:val="00DC56FD"/>
    <w:rsid w:val="00DC6E7E"/>
    <w:rsid w:val="00DD4B7A"/>
    <w:rsid w:val="00DD5FEC"/>
    <w:rsid w:val="00DE0B8E"/>
    <w:rsid w:val="00DE1468"/>
    <w:rsid w:val="00DE21C1"/>
    <w:rsid w:val="00DE24C6"/>
    <w:rsid w:val="00DE2B61"/>
    <w:rsid w:val="00DE4078"/>
    <w:rsid w:val="00DE7CCB"/>
    <w:rsid w:val="00DF1062"/>
    <w:rsid w:val="00DF1281"/>
    <w:rsid w:val="00DF229F"/>
    <w:rsid w:val="00DF27F5"/>
    <w:rsid w:val="00DF2B83"/>
    <w:rsid w:val="00DF4CE3"/>
    <w:rsid w:val="00DF7CE3"/>
    <w:rsid w:val="00E00248"/>
    <w:rsid w:val="00E053F4"/>
    <w:rsid w:val="00E0548E"/>
    <w:rsid w:val="00E072DC"/>
    <w:rsid w:val="00E11337"/>
    <w:rsid w:val="00E12C4B"/>
    <w:rsid w:val="00E13AEE"/>
    <w:rsid w:val="00E14362"/>
    <w:rsid w:val="00E210AF"/>
    <w:rsid w:val="00E23436"/>
    <w:rsid w:val="00E27A0F"/>
    <w:rsid w:val="00E30A58"/>
    <w:rsid w:val="00E3196B"/>
    <w:rsid w:val="00E347B7"/>
    <w:rsid w:val="00E35756"/>
    <w:rsid w:val="00E37C43"/>
    <w:rsid w:val="00E41FFE"/>
    <w:rsid w:val="00E423D3"/>
    <w:rsid w:val="00E45E05"/>
    <w:rsid w:val="00E467B1"/>
    <w:rsid w:val="00E46C74"/>
    <w:rsid w:val="00E511BF"/>
    <w:rsid w:val="00E52D76"/>
    <w:rsid w:val="00E55CD7"/>
    <w:rsid w:val="00E608B1"/>
    <w:rsid w:val="00E630D5"/>
    <w:rsid w:val="00E663E1"/>
    <w:rsid w:val="00E668DD"/>
    <w:rsid w:val="00E70C54"/>
    <w:rsid w:val="00E71195"/>
    <w:rsid w:val="00E721AF"/>
    <w:rsid w:val="00E75ABB"/>
    <w:rsid w:val="00E77784"/>
    <w:rsid w:val="00E80A7E"/>
    <w:rsid w:val="00E81EB9"/>
    <w:rsid w:val="00E82AFA"/>
    <w:rsid w:val="00E84853"/>
    <w:rsid w:val="00E84926"/>
    <w:rsid w:val="00E875F8"/>
    <w:rsid w:val="00E87F2C"/>
    <w:rsid w:val="00E9189F"/>
    <w:rsid w:val="00E926A6"/>
    <w:rsid w:val="00E936D6"/>
    <w:rsid w:val="00EA0992"/>
    <w:rsid w:val="00EA6FCC"/>
    <w:rsid w:val="00EA73ED"/>
    <w:rsid w:val="00EB1449"/>
    <w:rsid w:val="00EB160B"/>
    <w:rsid w:val="00EB1D35"/>
    <w:rsid w:val="00EB265D"/>
    <w:rsid w:val="00EB3FAE"/>
    <w:rsid w:val="00EB45EA"/>
    <w:rsid w:val="00EB4D82"/>
    <w:rsid w:val="00EB5818"/>
    <w:rsid w:val="00EC175F"/>
    <w:rsid w:val="00EC2951"/>
    <w:rsid w:val="00EC7886"/>
    <w:rsid w:val="00ED0C85"/>
    <w:rsid w:val="00ED53CE"/>
    <w:rsid w:val="00ED75BA"/>
    <w:rsid w:val="00ED7BB0"/>
    <w:rsid w:val="00EE1361"/>
    <w:rsid w:val="00EE4418"/>
    <w:rsid w:val="00EE61CB"/>
    <w:rsid w:val="00EF0D01"/>
    <w:rsid w:val="00EF5238"/>
    <w:rsid w:val="00EF5AE5"/>
    <w:rsid w:val="00F0368A"/>
    <w:rsid w:val="00F03BBA"/>
    <w:rsid w:val="00F03D46"/>
    <w:rsid w:val="00F040B8"/>
    <w:rsid w:val="00F0638A"/>
    <w:rsid w:val="00F10D96"/>
    <w:rsid w:val="00F10DE8"/>
    <w:rsid w:val="00F12A7D"/>
    <w:rsid w:val="00F172B7"/>
    <w:rsid w:val="00F17832"/>
    <w:rsid w:val="00F21440"/>
    <w:rsid w:val="00F234DC"/>
    <w:rsid w:val="00F238A0"/>
    <w:rsid w:val="00F238F4"/>
    <w:rsid w:val="00F2397C"/>
    <w:rsid w:val="00F25BFA"/>
    <w:rsid w:val="00F3264F"/>
    <w:rsid w:val="00F35530"/>
    <w:rsid w:val="00F42BAC"/>
    <w:rsid w:val="00F50C0E"/>
    <w:rsid w:val="00F516EE"/>
    <w:rsid w:val="00F53D44"/>
    <w:rsid w:val="00F542EB"/>
    <w:rsid w:val="00F56F32"/>
    <w:rsid w:val="00F5733D"/>
    <w:rsid w:val="00F61DBD"/>
    <w:rsid w:val="00F64BB4"/>
    <w:rsid w:val="00F65656"/>
    <w:rsid w:val="00F65CE6"/>
    <w:rsid w:val="00F6628A"/>
    <w:rsid w:val="00F71BDB"/>
    <w:rsid w:val="00F72B1F"/>
    <w:rsid w:val="00F74386"/>
    <w:rsid w:val="00F769DB"/>
    <w:rsid w:val="00F8127B"/>
    <w:rsid w:val="00F820F4"/>
    <w:rsid w:val="00F8221A"/>
    <w:rsid w:val="00F82B9A"/>
    <w:rsid w:val="00F8644E"/>
    <w:rsid w:val="00F954D4"/>
    <w:rsid w:val="00F956C8"/>
    <w:rsid w:val="00FA0D02"/>
    <w:rsid w:val="00FA13D4"/>
    <w:rsid w:val="00FA2829"/>
    <w:rsid w:val="00FA2B6A"/>
    <w:rsid w:val="00FA304D"/>
    <w:rsid w:val="00FA4BC1"/>
    <w:rsid w:val="00FA7D4D"/>
    <w:rsid w:val="00FB1B10"/>
    <w:rsid w:val="00FB2152"/>
    <w:rsid w:val="00FB2352"/>
    <w:rsid w:val="00FB2743"/>
    <w:rsid w:val="00FB400C"/>
    <w:rsid w:val="00FB41BE"/>
    <w:rsid w:val="00FC14CF"/>
    <w:rsid w:val="00FC4E17"/>
    <w:rsid w:val="00FC5308"/>
    <w:rsid w:val="00FC5CA4"/>
    <w:rsid w:val="00FC603E"/>
    <w:rsid w:val="00FC61EA"/>
    <w:rsid w:val="00FC625B"/>
    <w:rsid w:val="00FD04A0"/>
    <w:rsid w:val="00FD6567"/>
    <w:rsid w:val="00FD72B5"/>
    <w:rsid w:val="00FD72C0"/>
    <w:rsid w:val="00FD78F4"/>
    <w:rsid w:val="00FE022C"/>
    <w:rsid w:val="00FE0CDF"/>
    <w:rsid w:val="00FE4E22"/>
    <w:rsid w:val="00FE5B6F"/>
    <w:rsid w:val="00FE5C00"/>
    <w:rsid w:val="00FE79B4"/>
    <w:rsid w:val="00FF027C"/>
    <w:rsid w:val="00FF49D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5A3ED2D-64DC-4C8C-A4B1-DFDD2523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8C"/>
    <w:pPr>
      <w:spacing w:before="60" w:after="60" w:line="300" w:lineRule="exact"/>
    </w:pPr>
    <w:rPr>
      <w:rFonts w:ascii="Arial" w:hAnsi="Arial"/>
      <w:sz w:val="22"/>
      <w:lang w:eastAsia="en-US"/>
    </w:rPr>
  </w:style>
  <w:style w:type="paragraph" w:styleId="Heading1">
    <w:name w:val="heading 1"/>
    <w:basedOn w:val="Normal"/>
    <w:next w:val="Normal"/>
    <w:qFormat/>
    <w:rsid w:val="00356212"/>
    <w:pPr>
      <w:keepNext/>
      <w:spacing w:before="240" w:after="40" w:line="240" w:lineRule="auto"/>
      <w:outlineLvl w:val="0"/>
    </w:pPr>
    <w:rPr>
      <w:b/>
      <w:caps/>
      <w:sz w:val="20"/>
      <w:szCs w:val="24"/>
    </w:rPr>
  </w:style>
  <w:style w:type="paragraph" w:styleId="Heading2">
    <w:name w:val="heading 2"/>
    <w:basedOn w:val="Normal"/>
    <w:next w:val="Normal"/>
    <w:link w:val="Heading2Char"/>
    <w:qFormat/>
    <w:rsid w:val="00356212"/>
    <w:pPr>
      <w:keepNext/>
      <w:spacing w:before="120" w:after="40" w:line="240" w:lineRule="auto"/>
      <w:ind w:left="360"/>
      <w:outlineLvl w:val="1"/>
    </w:pPr>
    <w:rPr>
      <w:b/>
    </w:rPr>
  </w:style>
  <w:style w:type="paragraph" w:styleId="Heading3">
    <w:name w:val="heading 3"/>
    <w:basedOn w:val="Heading2"/>
    <w:next w:val="Normal"/>
    <w:qFormat/>
    <w:rsid w:val="00C8050B"/>
    <w:pPr>
      <w:outlineLvl w:val="2"/>
    </w:pPr>
  </w:style>
  <w:style w:type="paragraph" w:styleId="Heading4">
    <w:name w:val="heading 4"/>
    <w:basedOn w:val="Normal"/>
    <w:next w:val="Normal"/>
    <w:qFormat/>
    <w:rsid w:val="003F6759"/>
    <w:pPr>
      <w:keepNext/>
      <w:keepLines/>
      <w:spacing w:after="240" w:line="240" w:lineRule="atLeast"/>
      <w:outlineLvl w:val="3"/>
    </w:pPr>
    <w:rPr>
      <w:spacing w:val="-4"/>
      <w:kern w:val="28"/>
    </w:rPr>
  </w:style>
  <w:style w:type="paragraph" w:styleId="Heading5">
    <w:name w:val="heading 5"/>
    <w:basedOn w:val="Normal"/>
    <w:next w:val="Normal"/>
    <w:qFormat/>
    <w:rsid w:val="003F6759"/>
    <w:pPr>
      <w:keepNext/>
      <w:keepLines/>
      <w:spacing w:line="240" w:lineRule="atLeast"/>
      <w:ind w:left="1440"/>
      <w:outlineLvl w:val="4"/>
    </w:pPr>
    <w:rPr>
      <w:spacing w:val="-4"/>
      <w:kern w:val="28"/>
    </w:rPr>
  </w:style>
  <w:style w:type="paragraph" w:styleId="Heading6">
    <w:name w:val="heading 6"/>
    <w:basedOn w:val="Normal"/>
    <w:next w:val="Normal"/>
    <w:qFormat/>
    <w:rsid w:val="003F6759"/>
    <w:pPr>
      <w:keepNext/>
      <w:keepLines/>
      <w:spacing w:before="140" w:line="220" w:lineRule="atLeast"/>
      <w:ind w:left="1440"/>
      <w:outlineLvl w:val="5"/>
    </w:pPr>
    <w:rPr>
      <w:i/>
      <w:spacing w:val="-4"/>
      <w:kern w:val="28"/>
    </w:rPr>
  </w:style>
  <w:style w:type="paragraph" w:styleId="Heading7">
    <w:name w:val="heading 7"/>
    <w:aliases w:val="cover date"/>
    <w:basedOn w:val="Normal"/>
    <w:next w:val="Normal"/>
    <w:qFormat/>
    <w:rsid w:val="003F6759"/>
    <w:pPr>
      <w:keepNext/>
      <w:keepLines/>
      <w:spacing w:before="140" w:line="220" w:lineRule="atLeast"/>
      <w:outlineLvl w:val="6"/>
    </w:pPr>
    <w:rPr>
      <w:spacing w:val="-4"/>
      <w:kern w:val="28"/>
    </w:rPr>
  </w:style>
  <w:style w:type="paragraph" w:styleId="Heading8">
    <w:name w:val="heading 8"/>
    <w:aliases w:val="Cover header"/>
    <w:basedOn w:val="Normal"/>
    <w:next w:val="Normal"/>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12C4B"/>
    <w:rPr>
      <w:rFonts w:ascii="Arial" w:hAnsi="Arial"/>
      <w:b/>
      <w:sz w:val="22"/>
      <w:lang w:val="en-US" w:eastAsia="en-US" w:bidi="ar-SA"/>
    </w:rPr>
  </w:style>
  <w:style w:type="paragraph" w:customStyle="1" w:styleId="CompanyInformation">
    <w:name w:val="Company Information"/>
    <w:basedOn w:val="Normal"/>
    <w:link w:val="CompanyInformationChar"/>
    <w:semiHidden/>
    <w:rsid w:val="002D2F24"/>
    <w:pPr>
      <w:spacing w:line="240" w:lineRule="auto"/>
    </w:pPr>
    <w:rPr>
      <w:color w:val="808080"/>
      <w:sz w:val="15"/>
    </w:rPr>
  </w:style>
  <w:style w:type="character" w:customStyle="1" w:styleId="CompanyInformationChar">
    <w:name w:val="Company Information Char"/>
    <w:link w:val="CompanyInformation"/>
    <w:rsid w:val="002D2F24"/>
    <w:rPr>
      <w:rFonts w:ascii="Verdana" w:hAnsi="Verdana"/>
      <w:color w:val="808080"/>
      <w:sz w:val="15"/>
      <w:lang w:val="en-US" w:eastAsia="en-US" w:bidi="ar-SA"/>
    </w:rPr>
  </w:style>
  <w:style w:type="paragraph" w:customStyle="1" w:styleId="InsideTitle">
    <w:name w:val="Inside Title"/>
    <w:basedOn w:val="Normal"/>
    <w:semiHidden/>
    <w:rsid w:val="00872B23"/>
    <w:pPr>
      <w:keepNext/>
      <w:spacing w:before="2400" w:line="240" w:lineRule="auto"/>
    </w:pPr>
    <w:rPr>
      <w:b/>
      <w:sz w:val="32"/>
    </w:rPr>
  </w:style>
  <w:style w:type="paragraph" w:styleId="Caption">
    <w:name w:val="caption"/>
    <w:basedOn w:val="Normal"/>
    <w:next w:val="Normal"/>
    <w:qFormat/>
    <w:rsid w:val="003F6759"/>
    <w:pPr>
      <w:keepNext/>
      <w:numPr>
        <w:numId w:val="1"/>
      </w:numPr>
      <w:spacing w:after="240" w:line="220" w:lineRule="atLeast"/>
    </w:pPr>
    <w:rPr>
      <w:rFonts w:ascii="Arial Narrow" w:hAnsi="Arial Narrow"/>
      <w:sz w:val="18"/>
    </w:rPr>
  </w:style>
  <w:style w:type="paragraph" w:customStyle="1" w:styleId="InsideSubtitle">
    <w:name w:val="Inside Subtitle"/>
    <w:basedOn w:val="Normal"/>
    <w:semiHidden/>
    <w:rsid w:val="0093137B"/>
    <w:pPr>
      <w:spacing w:after="200" w:line="240" w:lineRule="auto"/>
    </w:pPr>
    <w:rPr>
      <w:i/>
      <w:sz w:val="24"/>
    </w:rPr>
  </w:style>
  <w:style w:type="paragraph" w:customStyle="1" w:styleId="BulletedList">
    <w:name w:val="Bulleted List"/>
    <w:basedOn w:val="Normal"/>
    <w:link w:val="BulletedListChar"/>
    <w:semiHidden/>
    <w:rsid w:val="000C089E"/>
    <w:pPr>
      <w:numPr>
        <w:numId w:val="2"/>
      </w:numPr>
      <w:spacing w:after="80"/>
      <w:contextualSpacing/>
    </w:pPr>
  </w:style>
  <w:style w:type="character" w:customStyle="1" w:styleId="BulletedListChar">
    <w:name w:val="Bulleted List Char"/>
    <w:link w:val="BulletedList"/>
    <w:semiHidden/>
    <w:rsid w:val="00971A83"/>
    <w:rPr>
      <w:rFonts w:ascii="Arial" w:hAnsi="Arial"/>
      <w:sz w:val="22"/>
      <w:lang w:eastAsia="en-US"/>
    </w:rPr>
  </w:style>
  <w:style w:type="character" w:styleId="CommentReference">
    <w:name w:val="annotation reference"/>
    <w:uiPriority w:val="99"/>
    <w:semiHidden/>
    <w:rPr>
      <w:rFonts w:ascii="Arial" w:hAnsi="Arial"/>
      <w:sz w:val="16"/>
    </w:rPr>
  </w:style>
  <w:style w:type="paragraph" w:styleId="CommentText">
    <w:name w:val="annotation text"/>
    <w:basedOn w:val="Normal"/>
    <w:link w:val="CommentTextChar"/>
    <w:uiPriority w:val="99"/>
    <w:semiHidden/>
    <w:rsid w:val="003F6759"/>
  </w:style>
  <w:style w:type="paragraph" w:customStyle="1" w:styleId="NumberedList">
    <w:name w:val="Numbered List"/>
    <w:basedOn w:val="Normal"/>
    <w:link w:val="NumberedListCharChar"/>
    <w:semiHidden/>
    <w:rsid w:val="00D17B03"/>
    <w:pPr>
      <w:spacing w:after="120"/>
    </w:pPr>
  </w:style>
  <w:style w:type="character" w:customStyle="1" w:styleId="NumberedListCharChar">
    <w:name w:val="Numbered List Char Char"/>
    <w:link w:val="NumberedList"/>
    <w:rsid w:val="00D17B03"/>
    <w:rPr>
      <w:rFonts w:ascii="Arial" w:hAnsi="Arial"/>
      <w:sz w:val="22"/>
      <w:lang w:val="en-US" w:eastAsia="en-US" w:bidi="ar-SA"/>
    </w:rPr>
  </w:style>
  <w:style w:type="character" w:styleId="EndnoteReference">
    <w:name w:val="endnote reference"/>
    <w:semiHidden/>
    <w:rPr>
      <w:vertAlign w:val="superscript"/>
    </w:rPr>
  </w:style>
  <w:style w:type="paragraph" w:styleId="EndnoteText">
    <w:name w:val="endnote text"/>
    <w:basedOn w:val="Normal"/>
    <w:semiHidden/>
    <w:rsid w:val="003F6759"/>
  </w:style>
  <w:style w:type="paragraph" w:customStyle="1" w:styleId="BlockQuotation">
    <w:name w:val="Block Quotation"/>
    <w:basedOn w:val="Normal"/>
    <w:link w:val="BlockQuotationChar"/>
    <w:semiHidden/>
    <w:rsid w:val="000C089E"/>
    <w:pPr>
      <w:spacing w:before="80" w:after="80"/>
      <w:ind w:left="720"/>
    </w:pPr>
    <w:rPr>
      <w:spacing w:val="-10"/>
    </w:rPr>
  </w:style>
  <w:style w:type="character" w:customStyle="1" w:styleId="BlockQuotationChar">
    <w:name w:val="Block Quotation Char"/>
    <w:link w:val="BlockQuotation"/>
    <w:rsid w:val="00971A83"/>
    <w:rPr>
      <w:rFonts w:ascii="Verdana" w:hAnsi="Verdana"/>
      <w:spacing w:val="-10"/>
      <w:sz w:val="17"/>
      <w:lang w:val="en-US" w:eastAsia="en-US" w:bidi="ar-SA"/>
    </w:rPr>
  </w:style>
  <w:style w:type="character" w:styleId="FootnoteReference">
    <w:name w:val="footnote reference"/>
    <w:rPr>
      <w:vertAlign w:val="superscript"/>
    </w:rPr>
  </w:style>
  <w:style w:type="paragraph" w:styleId="FootnoteText">
    <w:name w:val="footnote text"/>
    <w:basedOn w:val="Normal"/>
    <w:link w:val="FootnoteTextChar"/>
    <w:rsid w:val="003F6759"/>
  </w:style>
  <w:style w:type="paragraph" w:styleId="Header">
    <w:name w:val="header"/>
    <w:basedOn w:val="Normal"/>
    <w:link w:val="HeaderChar"/>
    <w:uiPriority w:val="99"/>
    <w:rsid w:val="00A745CA"/>
    <w:pPr>
      <w:tabs>
        <w:tab w:val="center" w:pos="4320"/>
        <w:tab w:val="right" w:pos="8640"/>
      </w:tabs>
    </w:p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semiHidden/>
    <w:rsid w:val="00AD5D62"/>
    <w:pPr>
      <w:spacing w:before="80" w:after="120"/>
      <w:ind w:left="360"/>
    </w:pPr>
    <w:rPr>
      <w:i/>
      <w:sz w:val="15"/>
    </w:rPr>
  </w:style>
  <w:style w:type="paragraph" w:customStyle="1" w:styleId="UtilComTableColumnHeading">
    <w:name w:val="UtilCom Table Column Heading"/>
    <w:basedOn w:val="Normal"/>
    <w:rsid w:val="002F053A"/>
    <w:rPr>
      <w:rFonts w:cs="Arial"/>
      <w:b/>
      <w:sz w:val="18"/>
      <w:szCs w:val="18"/>
    </w:rPr>
  </w:style>
  <w:style w:type="paragraph" w:customStyle="1" w:styleId="UtilComReportHeading">
    <w:name w:val="UtilCom Report Heading"/>
    <w:basedOn w:val="Title"/>
    <w:link w:val="UtilComReportHeadingChar"/>
    <w:semiHidden/>
    <w:rsid w:val="00B305DF"/>
    <w:pPr>
      <w:spacing w:before="480"/>
      <w:ind w:left="1134"/>
    </w:pPr>
  </w:style>
  <w:style w:type="paragraph" w:styleId="Title">
    <w:name w:val="Title"/>
    <w:basedOn w:val="Normal"/>
    <w:link w:val="TitleChar"/>
    <w:qFormat/>
    <w:rsid w:val="00CD0BDF"/>
    <w:pPr>
      <w:spacing w:before="2000"/>
    </w:pPr>
    <w:rPr>
      <w:rFonts w:cs="Arial"/>
      <w:b/>
      <w:caps/>
      <w:sz w:val="40"/>
      <w:szCs w:val="40"/>
    </w:rPr>
  </w:style>
  <w:style w:type="character" w:customStyle="1" w:styleId="TitleChar">
    <w:name w:val="Title Char"/>
    <w:link w:val="Title"/>
    <w:rsid w:val="00B305DF"/>
    <w:rPr>
      <w:rFonts w:ascii="Arial" w:hAnsi="Arial" w:cs="Arial"/>
      <w:b/>
      <w:caps/>
      <w:sz w:val="40"/>
      <w:szCs w:val="40"/>
      <w:lang w:val="en-US" w:eastAsia="en-US" w:bidi="ar-SA"/>
    </w:rPr>
  </w:style>
  <w:style w:type="character" w:customStyle="1" w:styleId="UtilComReportHeadingChar">
    <w:name w:val="UtilCom Report Heading Char"/>
    <w:basedOn w:val="TitleChar"/>
    <w:link w:val="UtilComReportHeading"/>
    <w:rsid w:val="00B305DF"/>
    <w:rPr>
      <w:rFonts w:ascii="Arial" w:hAnsi="Arial" w:cs="Arial"/>
      <w:b/>
      <w:caps/>
      <w:sz w:val="40"/>
      <w:szCs w:val="40"/>
      <w:lang w:val="en-US" w:eastAsia="en-US" w:bidi="ar-SA"/>
    </w:rPr>
  </w:style>
  <w:style w:type="paragraph" w:customStyle="1" w:styleId="IndentedBodyText">
    <w:name w:val="Indented Body Text"/>
    <w:basedOn w:val="Normal"/>
    <w:link w:val="IndentedBodyTextChar"/>
    <w:semiHidden/>
    <w:rsid w:val="00CC5FB6"/>
    <w:pPr>
      <w:spacing w:after="80"/>
      <w:ind w:left="360"/>
    </w:pPr>
  </w:style>
  <w:style w:type="character" w:customStyle="1" w:styleId="IndentedBodyTextChar">
    <w:name w:val="Indented Body Text Char"/>
    <w:link w:val="IndentedBodyText"/>
    <w:rsid w:val="00CC5FB6"/>
    <w:rPr>
      <w:rFonts w:ascii="Verdana" w:hAnsi="Verdana"/>
      <w:sz w:val="17"/>
      <w:lang w:val="en-US" w:eastAsia="en-US" w:bidi="ar-SA"/>
    </w:rPr>
  </w:style>
  <w:style w:type="paragraph" w:customStyle="1" w:styleId="LineSpace">
    <w:name w:val="Line Space"/>
    <w:basedOn w:val="Normal"/>
    <w:semiHidden/>
    <w:rsid w:val="00CC5FB6"/>
    <w:pPr>
      <w:spacing w:line="240" w:lineRule="auto"/>
    </w:pPr>
    <w:rPr>
      <w:sz w:val="12"/>
    </w:rPr>
  </w:style>
  <w:style w:type="paragraph" w:styleId="BalloonText">
    <w:name w:val="Balloon Text"/>
    <w:basedOn w:val="Normal"/>
    <w:semiHidden/>
    <w:rsid w:val="00753D39"/>
    <w:rPr>
      <w:rFonts w:ascii="Tahoma" w:hAnsi="Tahoma" w:cs="Tahoma"/>
      <w:sz w:val="16"/>
      <w:szCs w:val="16"/>
    </w:rPr>
  </w:style>
  <w:style w:type="paragraph" w:customStyle="1" w:styleId="CompanyInformationBold">
    <w:name w:val="Company Information Bold"/>
    <w:basedOn w:val="CompanyInformation"/>
    <w:semiHidden/>
    <w:rsid w:val="0093137B"/>
    <w:rPr>
      <w:b/>
    </w:rPr>
  </w:style>
  <w:style w:type="paragraph" w:styleId="TableofAuthorities">
    <w:name w:val="table of authorities"/>
    <w:basedOn w:val="Normal"/>
    <w:semiHidden/>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Normal"/>
    <w:autoRedefine/>
    <w:uiPriority w:val="39"/>
    <w:rsid w:val="00B235F7"/>
    <w:rPr>
      <w:b/>
      <w:spacing w:val="-4"/>
    </w:rPr>
  </w:style>
  <w:style w:type="paragraph" w:styleId="TOC2">
    <w:name w:val="toc 2"/>
    <w:basedOn w:val="Normal"/>
    <w:autoRedefine/>
    <w:uiPriority w:val="39"/>
    <w:rsid w:val="00AF483C"/>
    <w:pPr>
      <w:tabs>
        <w:tab w:val="left" w:pos="1320"/>
        <w:tab w:val="right" w:leader="dot" w:pos="9062"/>
      </w:tabs>
      <w:spacing w:before="120" w:after="120"/>
    </w:pPr>
    <w:rPr>
      <w:noProof/>
      <w:color w:val="31849B" w:themeColor="accent5" w:themeShade="BF"/>
      <w:sz w:val="18"/>
      <w:szCs w:val="18"/>
      <w:lang w:eastAsia="en-AU"/>
    </w:rPr>
  </w:style>
  <w:style w:type="paragraph" w:styleId="TOC3">
    <w:name w:val="toc 3"/>
    <w:basedOn w:val="Normal"/>
    <w:autoRedefine/>
    <w:uiPriority w:val="39"/>
    <w:rsid w:val="002A1473"/>
    <w:pPr>
      <w:tabs>
        <w:tab w:val="left" w:pos="1418"/>
        <w:tab w:val="right" w:leader="dot" w:pos="9062"/>
      </w:tabs>
      <w:ind w:left="426"/>
    </w:pPr>
    <w:rPr>
      <w:noProof/>
      <w:sz w:val="18"/>
      <w:lang w:val="en-US"/>
    </w:rPr>
  </w:style>
  <w:style w:type="paragraph" w:styleId="TOC4">
    <w:name w:val="toc 4"/>
    <w:basedOn w:val="Normal"/>
    <w:autoRedefine/>
    <w:uiPriority w:val="39"/>
    <w:rsid w:val="00564813"/>
    <w:pPr>
      <w:tabs>
        <w:tab w:val="left" w:pos="284"/>
        <w:tab w:val="left" w:pos="1200"/>
        <w:tab w:val="right" w:leader="dot" w:pos="9062"/>
      </w:tabs>
      <w:ind w:left="284"/>
    </w:pPr>
    <w:rPr>
      <w:noProof/>
      <w:sz w:val="18"/>
      <w:szCs w:val="18"/>
    </w:rPr>
  </w:style>
  <w:style w:type="paragraph" w:styleId="TOC5">
    <w:name w:val="toc 5"/>
    <w:basedOn w:val="Normal"/>
    <w:autoRedefine/>
    <w:semiHidden/>
    <w:rsid w:val="00720551"/>
    <w:pPr>
      <w:ind w:left="360"/>
    </w:pPr>
  </w:style>
  <w:style w:type="paragraph" w:customStyle="1" w:styleId="UtilComReferenceSource">
    <w:name w:val="UtilCom Reference/Source"/>
    <w:link w:val="UtilComReferenceSourceChar"/>
    <w:rsid w:val="00CA5254"/>
    <w:pPr>
      <w:spacing w:before="60" w:after="120"/>
    </w:pPr>
    <w:rPr>
      <w:rFonts w:ascii="Arial" w:hAnsi="Arial"/>
      <w:sz w:val="18"/>
      <w:szCs w:val="18"/>
      <w:lang w:val="en-US" w:eastAsia="en-US"/>
    </w:rPr>
  </w:style>
  <w:style w:type="paragraph" w:customStyle="1" w:styleId="ChapterBold">
    <w:name w:val="Chapter Bold"/>
    <w:basedOn w:val="Normal"/>
    <w:semiHidden/>
    <w:rsid w:val="00781B15"/>
    <w:pPr>
      <w:spacing w:before="960" w:after="240" w:line="400" w:lineRule="atLeast"/>
    </w:pPr>
    <w:rPr>
      <w:b/>
      <w:caps/>
      <w:color w:val="808080"/>
      <w:sz w:val="36"/>
      <w:szCs w:val="36"/>
    </w:rPr>
  </w:style>
  <w:style w:type="paragraph" w:customStyle="1" w:styleId="CompanyInformationItalic">
    <w:name w:val="Company Information Italic"/>
    <w:basedOn w:val="CompanyInformation"/>
    <w:link w:val="CompanyInformationItalicChar"/>
    <w:semiHidden/>
    <w:rsid w:val="002D2F24"/>
    <w:rPr>
      <w:i/>
    </w:rPr>
  </w:style>
  <w:style w:type="character" w:customStyle="1" w:styleId="CompanyInformationItalicChar">
    <w:name w:val="Company Information Italic Char"/>
    <w:link w:val="CompanyInformationItalic"/>
    <w:rsid w:val="002D2F24"/>
    <w:rPr>
      <w:rFonts w:ascii="Verdana" w:hAnsi="Verdana"/>
      <w:i/>
      <w:color w:val="808080"/>
      <w:sz w:val="15"/>
      <w:lang w:val="en-US" w:eastAsia="en-US" w:bidi="ar-SA"/>
    </w:rPr>
  </w:style>
  <w:style w:type="paragraph" w:styleId="Footer">
    <w:name w:val="footer"/>
    <w:basedOn w:val="Normal"/>
    <w:link w:val="FooterChar"/>
    <w:uiPriority w:val="99"/>
    <w:rsid w:val="00EA0992"/>
    <w:pPr>
      <w:tabs>
        <w:tab w:val="center" w:pos="4320"/>
        <w:tab w:val="right" w:pos="8640"/>
      </w:tabs>
    </w:pPr>
    <w:rPr>
      <w:sz w:val="18"/>
    </w:rPr>
  </w:style>
  <w:style w:type="paragraph" w:styleId="Subtitle">
    <w:name w:val="Subtitle"/>
    <w:aliases w:val="UtilCom Subtitle"/>
    <w:basedOn w:val="Normal"/>
    <w:qFormat/>
    <w:rsid w:val="00CD0BDF"/>
    <w:rPr>
      <w:rFonts w:cs="Arial"/>
      <w:i/>
      <w:sz w:val="24"/>
    </w:rPr>
  </w:style>
  <w:style w:type="paragraph" w:customStyle="1" w:styleId="BulletedListBold">
    <w:name w:val="Bulleted List Bold"/>
    <w:basedOn w:val="BulletedList"/>
    <w:link w:val="BulletedListBoldChar"/>
    <w:semiHidden/>
    <w:rsid w:val="00971A83"/>
    <w:rPr>
      <w:b/>
      <w:bCs/>
    </w:rPr>
  </w:style>
  <w:style w:type="character" w:customStyle="1" w:styleId="BulletedListBoldChar">
    <w:name w:val="Bulleted List Bold Char"/>
    <w:link w:val="BulletedListBold"/>
    <w:semiHidden/>
    <w:rsid w:val="00971A83"/>
    <w:rPr>
      <w:rFonts w:ascii="Arial" w:hAnsi="Arial"/>
      <w:b/>
      <w:bCs/>
      <w:sz w:val="22"/>
      <w:lang w:eastAsia="en-US"/>
    </w:rPr>
  </w:style>
  <w:style w:type="paragraph" w:customStyle="1" w:styleId="NumberedListBold">
    <w:name w:val="Numbered List Bold"/>
    <w:basedOn w:val="NumberedList"/>
    <w:link w:val="NumberedListBoldChar"/>
    <w:semiHidden/>
    <w:rsid w:val="00971A83"/>
    <w:rPr>
      <w:b/>
      <w:bCs/>
    </w:rPr>
  </w:style>
  <w:style w:type="character" w:customStyle="1" w:styleId="NumberedListBoldChar">
    <w:name w:val="Numbered List Bold Char"/>
    <w:link w:val="NumberedListBold"/>
    <w:rsid w:val="00971A83"/>
    <w:rPr>
      <w:rFonts w:ascii="Arial" w:hAnsi="Arial"/>
      <w:b/>
      <w:bCs/>
      <w:sz w:val="22"/>
      <w:lang w:val="en-US" w:eastAsia="en-US" w:bidi="ar-SA"/>
    </w:rPr>
  </w:style>
  <w:style w:type="character" w:customStyle="1" w:styleId="Lead-inEmphasis">
    <w:name w:val="Lead-in Emphasis"/>
    <w:semiHidden/>
    <w:rsid w:val="00E75ABB"/>
    <w:rPr>
      <w:rFonts w:ascii="Tahoma" w:hAnsi="Tahoma"/>
      <w:b/>
      <w:spacing w:val="4"/>
      <w:kern w:val="0"/>
    </w:rPr>
  </w:style>
  <w:style w:type="paragraph" w:customStyle="1" w:styleId="NumberedText">
    <w:name w:val="NumberedText"/>
    <w:basedOn w:val="Normal"/>
    <w:semiHidden/>
    <w:rsid w:val="00CD0BDF"/>
    <w:pPr>
      <w:tabs>
        <w:tab w:val="left" w:pos="720"/>
      </w:tabs>
      <w:spacing w:before="180" w:line="240" w:lineRule="auto"/>
      <w:ind w:left="431"/>
      <w:jc w:val="both"/>
    </w:pPr>
    <w:rPr>
      <w:sz w:val="20"/>
    </w:rPr>
  </w:style>
  <w:style w:type="paragraph" w:customStyle="1" w:styleId="UtilComHeaderInfo">
    <w:name w:val="UtilCom Header Info"/>
    <w:semiHidden/>
    <w:rsid w:val="00CD0BDF"/>
    <w:pPr>
      <w:spacing w:line="240" w:lineRule="exact"/>
      <w:jc w:val="right"/>
    </w:pPr>
    <w:rPr>
      <w:rFonts w:ascii="Arial" w:hAnsi="Arial"/>
      <w:sz w:val="18"/>
      <w:szCs w:val="18"/>
    </w:rPr>
  </w:style>
  <w:style w:type="paragraph" w:customStyle="1" w:styleId="UtilComAddressInfo">
    <w:name w:val="UtilCom Address Info"/>
    <w:semiHidden/>
    <w:rsid w:val="00CD0BDF"/>
    <w:pPr>
      <w:spacing w:line="240" w:lineRule="exact"/>
      <w:jc w:val="right"/>
    </w:pPr>
    <w:rPr>
      <w:rFonts w:ascii="Arial" w:hAnsi="Arial"/>
      <w:sz w:val="18"/>
      <w:szCs w:val="18"/>
    </w:rPr>
  </w:style>
  <w:style w:type="paragraph" w:customStyle="1" w:styleId="UtilComDate">
    <w:name w:val="UtilCom Date"/>
    <w:basedOn w:val="Subtitle"/>
    <w:semiHidden/>
    <w:rsid w:val="00CD0BDF"/>
    <w:pPr>
      <w:spacing w:before="480"/>
    </w:pPr>
  </w:style>
  <w:style w:type="paragraph" w:customStyle="1" w:styleId="Heading11">
    <w:name w:val="Heading 11"/>
    <w:basedOn w:val="Normal"/>
    <w:semiHidden/>
    <w:rsid w:val="006E3A87"/>
    <w:pPr>
      <w:spacing w:before="240" w:line="240" w:lineRule="auto"/>
    </w:pPr>
    <w:rPr>
      <w:b/>
      <w:sz w:val="28"/>
    </w:rPr>
  </w:style>
  <w:style w:type="character" w:styleId="Hyperlink">
    <w:name w:val="Hyperlink"/>
    <w:uiPriority w:val="99"/>
    <w:rsid w:val="00EA0992"/>
    <w:rPr>
      <w:color w:val="0000FF"/>
      <w:u w:val="single"/>
    </w:rPr>
  </w:style>
  <w:style w:type="paragraph" w:customStyle="1" w:styleId="NormalText">
    <w:name w:val="NormalText"/>
    <w:basedOn w:val="Normal"/>
    <w:semiHidden/>
    <w:rsid w:val="00EA0992"/>
    <w:pPr>
      <w:spacing w:before="240" w:line="240" w:lineRule="auto"/>
      <w:jc w:val="both"/>
    </w:pPr>
    <w:rPr>
      <w:sz w:val="20"/>
    </w:rPr>
  </w:style>
  <w:style w:type="paragraph" w:customStyle="1" w:styleId="UtilComChapterHeading">
    <w:name w:val="UtilCom Chapter Heading"/>
    <w:basedOn w:val="UtilComHeading2"/>
    <w:next w:val="TOC1"/>
    <w:link w:val="UtilComChapterHeadingChar"/>
    <w:semiHidden/>
    <w:rsid w:val="00457A43"/>
    <w:rPr>
      <w:sz w:val="32"/>
      <w:szCs w:val="28"/>
    </w:rPr>
  </w:style>
  <w:style w:type="paragraph" w:customStyle="1" w:styleId="UtilComHeading2">
    <w:name w:val="UtilCom Heading 2"/>
    <w:basedOn w:val="Heading2"/>
    <w:next w:val="TOC2"/>
    <w:link w:val="UtilComHeading2Char"/>
    <w:rsid w:val="00A755D2"/>
    <w:pPr>
      <w:spacing w:before="240" w:after="120" w:line="360" w:lineRule="exact"/>
      <w:ind w:left="0"/>
    </w:pPr>
    <w:rPr>
      <w:sz w:val="28"/>
    </w:rPr>
  </w:style>
  <w:style w:type="character" w:customStyle="1" w:styleId="UtilComHeading2Char">
    <w:name w:val="UtilCom Heading 2 Char"/>
    <w:link w:val="UtilComHeading2"/>
    <w:rsid w:val="00A755D2"/>
    <w:rPr>
      <w:rFonts w:ascii="Arial" w:hAnsi="Arial"/>
      <w:b/>
      <w:sz w:val="28"/>
      <w:lang w:val="en-US" w:eastAsia="en-US" w:bidi="ar-SA"/>
    </w:rPr>
  </w:style>
  <w:style w:type="character" w:customStyle="1" w:styleId="UtilComChapterHeadingChar">
    <w:name w:val="UtilCom Chapter Heading Char"/>
    <w:link w:val="UtilComChapterHeading"/>
    <w:rsid w:val="00457A43"/>
    <w:rPr>
      <w:rFonts w:ascii="Arial" w:hAnsi="Arial"/>
      <w:b/>
      <w:sz w:val="32"/>
      <w:szCs w:val="28"/>
      <w:lang w:val="en-US" w:eastAsia="en-US" w:bidi="ar-SA"/>
    </w:rPr>
  </w:style>
  <w:style w:type="paragraph" w:customStyle="1" w:styleId="UtilComBodyText">
    <w:name w:val="UtilCom Body Text"/>
    <w:basedOn w:val="Normal"/>
    <w:rsid w:val="00FE79B4"/>
    <w:rPr>
      <w:rFonts w:cs="Arial"/>
      <w:szCs w:val="22"/>
    </w:rPr>
  </w:style>
  <w:style w:type="paragraph" w:customStyle="1" w:styleId="UtilComNumberedText">
    <w:name w:val="UtilCom Numbered Text"/>
    <w:basedOn w:val="Normal"/>
    <w:semiHidden/>
    <w:rsid w:val="00D17B03"/>
    <w:pPr>
      <w:numPr>
        <w:ilvl w:val="1"/>
        <w:numId w:val="6"/>
      </w:numPr>
      <w:tabs>
        <w:tab w:val="left" w:pos="993"/>
      </w:tabs>
      <w:spacing w:line="240" w:lineRule="auto"/>
    </w:pPr>
    <w:rPr>
      <w:rFonts w:cs="Arial"/>
      <w:szCs w:val="22"/>
    </w:rPr>
  </w:style>
  <w:style w:type="paragraph" w:customStyle="1" w:styleId="UtilComBulletText">
    <w:name w:val="UtilCom Bullet Text"/>
    <w:basedOn w:val="Normal"/>
    <w:link w:val="UtilComBulletTextChar"/>
    <w:rsid w:val="00F8644E"/>
    <w:pPr>
      <w:numPr>
        <w:numId w:val="3"/>
      </w:numPr>
      <w:tabs>
        <w:tab w:val="left" w:pos="1134"/>
      </w:tabs>
      <w:spacing w:line="240" w:lineRule="auto"/>
    </w:pPr>
    <w:rPr>
      <w:rFonts w:cs="Arial"/>
      <w:szCs w:val="22"/>
    </w:rPr>
  </w:style>
  <w:style w:type="paragraph" w:customStyle="1" w:styleId="UtilComHeading3">
    <w:name w:val="UtilCom Heading 3"/>
    <w:basedOn w:val="Heading3"/>
    <w:next w:val="TOC3"/>
    <w:link w:val="UtilComHeading3Char"/>
    <w:rsid w:val="00127A28"/>
    <w:pPr>
      <w:spacing w:after="60" w:line="320" w:lineRule="exact"/>
      <w:ind w:left="0"/>
    </w:pPr>
    <w:rPr>
      <w:sz w:val="24"/>
      <w:szCs w:val="24"/>
    </w:rPr>
  </w:style>
  <w:style w:type="paragraph" w:styleId="TOC9">
    <w:name w:val="toc 9"/>
    <w:basedOn w:val="Normal"/>
    <w:next w:val="Normal"/>
    <w:autoRedefine/>
    <w:semiHidden/>
    <w:rsid w:val="004C0CB0"/>
    <w:pPr>
      <w:ind w:left="1760"/>
    </w:pPr>
  </w:style>
  <w:style w:type="paragraph" w:customStyle="1" w:styleId="UtilComNumberItem2">
    <w:name w:val="UtilCom Number Item 2"/>
    <w:basedOn w:val="Normal"/>
    <w:semiHidden/>
    <w:rsid w:val="00A8381B"/>
    <w:pPr>
      <w:numPr>
        <w:ilvl w:val="1"/>
        <w:numId w:val="4"/>
      </w:numPr>
    </w:pPr>
  </w:style>
  <w:style w:type="paragraph" w:customStyle="1" w:styleId="UtilComTabletext">
    <w:name w:val="UtilCom Table text"/>
    <w:basedOn w:val="Normal"/>
    <w:rsid w:val="002F053A"/>
    <w:rPr>
      <w:rFonts w:cs="Arial"/>
      <w:sz w:val="18"/>
      <w:szCs w:val="18"/>
    </w:rPr>
  </w:style>
  <w:style w:type="paragraph" w:customStyle="1" w:styleId="UtilComTableNumbers">
    <w:name w:val="UtilCom Table Numbers"/>
    <w:basedOn w:val="Normal"/>
    <w:rsid w:val="002F053A"/>
    <w:pPr>
      <w:jc w:val="right"/>
    </w:pPr>
    <w:rPr>
      <w:rFonts w:cs="Arial"/>
      <w:sz w:val="18"/>
      <w:szCs w:val="18"/>
    </w:rPr>
  </w:style>
  <w:style w:type="paragraph" w:customStyle="1" w:styleId="UtilComNumbered">
    <w:name w:val="UtilCom Numbered"/>
    <w:basedOn w:val="UtilComNumberItem2"/>
    <w:semiHidden/>
    <w:rsid w:val="001D21E9"/>
    <w:pPr>
      <w:numPr>
        <w:ilvl w:val="0"/>
        <w:numId w:val="0"/>
      </w:numPr>
    </w:pPr>
  </w:style>
  <w:style w:type="paragraph" w:customStyle="1" w:styleId="31UtilComNumber">
    <w:name w:val="3.1 UtilCom Number"/>
    <w:basedOn w:val="UtilComNumberItem2"/>
    <w:semiHidden/>
    <w:rsid w:val="000B21F0"/>
    <w:pPr>
      <w:numPr>
        <w:numId w:val="5"/>
      </w:numPr>
    </w:pPr>
  </w:style>
  <w:style w:type="paragraph" w:customStyle="1" w:styleId="AppendixHeading">
    <w:name w:val="Appendix Heading"/>
    <w:basedOn w:val="ChapterBold"/>
    <w:rsid w:val="00A554E9"/>
    <w:pPr>
      <w:jc w:val="right"/>
      <w:outlineLvl w:val="0"/>
    </w:pPr>
  </w:style>
  <w:style w:type="paragraph" w:customStyle="1" w:styleId="NumberLevel1">
    <w:name w:val="Number Level 1"/>
    <w:basedOn w:val="Normal"/>
    <w:rsid w:val="00BA0D8C"/>
    <w:pPr>
      <w:spacing w:before="960" w:after="240" w:line="400" w:lineRule="exact"/>
    </w:pPr>
    <w:rPr>
      <w:b/>
      <w:caps/>
      <w:color w:val="808080"/>
      <w:sz w:val="36"/>
    </w:rPr>
  </w:style>
  <w:style w:type="paragraph" w:customStyle="1" w:styleId="NumberLevel2">
    <w:name w:val="Number Level 2"/>
    <w:basedOn w:val="Normal"/>
    <w:next w:val="Normal"/>
    <w:link w:val="NumberLevel2Char"/>
    <w:rsid w:val="00A041E2"/>
    <w:pPr>
      <w:outlineLvl w:val="3"/>
    </w:pPr>
  </w:style>
  <w:style w:type="paragraph" w:customStyle="1" w:styleId="NumberLevel3">
    <w:name w:val="Number Level 3"/>
    <w:basedOn w:val="NumberLevel2"/>
    <w:rsid w:val="00BA0D8C"/>
    <w:pPr>
      <w:numPr>
        <w:ilvl w:val="2"/>
      </w:numPr>
    </w:pPr>
  </w:style>
  <w:style w:type="paragraph" w:customStyle="1" w:styleId="UtilComLetterNumbering">
    <w:name w:val="UtilCom Letter Numbering"/>
    <w:basedOn w:val="Normal"/>
    <w:rsid w:val="00F8644E"/>
    <w:pPr>
      <w:numPr>
        <w:numId w:val="7"/>
      </w:numPr>
    </w:pPr>
  </w:style>
  <w:style w:type="paragraph" w:customStyle="1" w:styleId="UtilComHeading4">
    <w:name w:val="UtilCom Heading 4"/>
    <w:basedOn w:val="TOC4"/>
    <w:next w:val="TOC4"/>
    <w:rsid w:val="00FE79B4"/>
    <w:pPr>
      <w:tabs>
        <w:tab w:val="clear" w:pos="1200"/>
        <w:tab w:val="clear" w:pos="9062"/>
      </w:tabs>
      <w:spacing w:after="0" w:line="312" w:lineRule="auto"/>
      <w:ind w:left="0"/>
      <w:outlineLvl w:val="3"/>
    </w:pPr>
    <w:rPr>
      <w:i/>
      <w:noProof w:val="0"/>
      <w:sz w:val="22"/>
      <w:szCs w:val="22"/>
    </w:rPr>
  </w:style>
  <w:style w:type="paragraph" w:customStyle="1" w:styleId="UtilComQuotationText">
    <w:name w:val="UtilCom Quotation Text"/>
    <w:basedOn w:val="BlockQuotation"/>
    <w:rsid w:val="00FE79B4"/>
    <w:pPr>
      <w:spacing w:line="312" w:lineRule="auto"/>
      <w:ind w:left="567"/>
    </w:pPr>
    <w:rPr>
      <w:i/>
      <w:spacing w:val="0"/>
    </w:rPr>
  </w:style>
  <w:style w:type="paragraph" w:customStyle="1" w:styleId="UtiliComAppendixHeading">
    <w:name w:val="UtiliCom Appendix Heading"/>
    <w:basedOn w:val="ChapterBold"/>
    <w:autoRedefine/>
    <w:rsid w:val="000A5CA7"/>
    <w:pPr>
      <w:jc w:val="right"/>
      <w:outlineLvl w:val="0"/>
    </w:pPr>
    <w:rPr>
      <w:caps w:val="0"/>
    </w:rPr>
  </w:style>
  <w:style w:type="paragraph" w:styleId="CommentSubject">
    <w:name w:val="annotation subject"/>
    <w:basedOn w:val="CommentText"/>
    <w:next w:val="CommentText"/>
    <w:link w:val="CommentSubjectChar"/>
    <w:rsid w:val="00BD3D85"/>
    <w:pPr>
      <w:spacing w:line="240" w:lineRule="auto"/>
    </w:pPr>
    <w:rPr>
      <w:b/>
      <w:bCs/>
      <w:sz w:val="20"/>
    </w:rPr>
  </w:style>
  <w:style w:type="character" w:customStyle="1" w:styleId="CommentTextChar">
    <w:name w:val="Comment Text Char"/>
    <w:basedOn w:val="DefaultParagraphFont"/>
    <w:link w:val="CommentText"/>
    <w:uiPriority w:val="99"/>
    <w:semiHidden/>
    <w:rsid w:val="00BD3D85"/>
    <w:rPr>
      <w:rFonts w:ascii="Arial" w:hAnsi="Arial"/>
      <w:sz w:val="22"/>
      <w:lang w:eastAsia="en-US"/>
    </w:rPr>
  </w:style>
  <w:style w:type="character" w:customStyle="1" w:styleId="CommentSubjectChar">
    <w:name w:val="Comment Subject Char"/>
    <w:basedOn w:val="CommentTextChar"/>
    <w:link w:val="CommentSubject"/>
    <w:rsid w:val="00BD3D85"/>
    <w:rPr>
      <w:rFonts w:ascii="Arial" w:hAnsi="Arial"/>
      <w:b/>
      <w:bCs/>
      <w:sz w:val="22"/>
      <w:lang w:eastAsia="en-US"/>
    </w:rPr>
  </w:style>
  <w:style w:type="character" w:customStyle="1" w:styleId="FooterChar">
    <w:name w:val="Footer Char"/>
    <w:basedOn w:val="DefaultParagraphFont"/>
    <w:link w:val="Footer"/>
    <w:uiPriority w:val="99"/>
    <w:rsid w:val="00B81FA5"/>
    <w:rPr>
      <w:rFonts w:ascii="Arial" w:hAnsi="Arial"/>
      <w:sz w:val="18"/>
      <w:lang w:eastAsia="en-US"/>
    </w:rPr>
  </w:style>
  <w:style w:type="character" w:customStyle="1" w:styleId="UtilComReferenceSourceChar">
    <w:name w:val="UtilCom Reference/Source Char"/>
    <w:basedOn w:val="DefaultParagraphFont"/>
    <w:link w:val="UtilComReferenceSource"/>
    <w:rsid w:val="00401C4A"/>
    <w:rPr>
      <w:rFonts w:ascii="Arial" w:hAnsi="Arial"/>
      <w:sz w:val="18"/>
      <w:szCs w:val="18"/>
      <w:lang w:val="en-US" w:eastAsia="en-US"/>
    </w:rPr>
  </w:style>
  <w:style w:type="character" w:customStyle="1" w:styleId="UtilComBulletTextChar">
    <w:name w:val="UtilCom Bullet Text Char"/>
    <w:basedOn w:val="DefaultParagraphFont"/>
    <w:link w:val="UtilComBulletText"/>
    <w:rsid w:val="00401C4A"/>
    <w:rPr>
      <w:rFonts w:ascii="Arial" w:hAnsi="Arial" w:cs="Arial"/>
      <w:sz w:val="22"/>
      <w:szCs w:val="22"/>
      <w:lang w:eastAsia="en-US"/>
    </w:rPr>
  </w:style>
  <w:style w:type="character" w:customStyle="1" w:styleId="UtilComHeading3Char">
    <w:name w:val="UtilCom Heading 3 Char"/>
    <w:basedOn w:val="DefaultParagraphFont"/>
    <w:link w:val="UtilComHeading3"/>
    <w:rsid w:val="00401C4A"/>
    <w:rPr>
      <w:rFonts w:ascii="Arial" w:hAnsi="Arial"/>
      <w:b/>
      <w:sz w:val="24"/>
      <w:szCs w:val="24"/>
      <w:lang w:eastAsia="en-US"/>
    </w:rPr>
  </w:style>
  <w:style w:type="paragraph" w:styleId="ListParagraph">
    <w:name w:val="List Paragraph"/>
    <w:basedOn w:val="Normal"/>
    <w:uiPriority w:val="34"/>
    <w:qFormat/>
    <w:rsid w:val="00401C4A"/>
    <w:pPr>
      <w:ind w:left="720"/>
      <w:contextualSpacing/>
    </w:pPr>
    <w:rPr>
      <w:lang w:val="en-US"/>
    </w:rPr>
  </w:style>
  <w:style w:type="paragraph" w:customStyle="1" w:styleId="GuidelineTableColumnHeading">
    <w:name w:val="Guideline_Table Column Heading"/>
    <w:basedOn w:val="Normal"/>
    <w:rsid w:val="00401C4A"/>
    <w:pPr>
      <w:keepNext/>
      <w:suppressAutoHyphens/>
      <w:autoSpaceDE w:val="0"/>
      <w:autoSpaceDN w:val="0"/>
      <w:adjustRightInd w:val="0"/>
      <w:spacing w:line="240" w:lineRule="atLeast"/>
      <w:textAlignment w:val="center"/>
    </w:pPr>
    <w:rPr>
      <w:rFonts w:eastAsia="Calibri" w:cs="Arial"/>
      <w:b/>
      <w:bCs/>
      <w:caps/>
      <w:szCs w:val="22"/>
    </w:rPr>
  </w:style>
  <w:style w:type="paragraph" w:customStyle="1" w:styleId="GuidelineTableColumnText">
    <w:name w:val="Guideline_Table Column Text"/>
    <w:basedOn w:val="Normal"/>
    <w:qFormat/>
    <w:rsid w:val="00401C4A"/>
    <w:pPr>
      <w:suppressAutoHyphens/>
      <w:autoSpaceDE w:val="0"/>
      <w:autoSpaceDN w:val="0"/>
      <w:adjustRightInd w:val="0"/>
      <w:spacing w:before="0" w:after="0" w:line="240" w:lineRule="atLeast"/>
      <w:textAlignment w:val="center"/>
    </w:pPr>
    <w:rPr>
      <w:rFonts w:ascii="Calibri" w:eastAsia="Calibri" w:hAnsi="Calibri" w:cs="Calibri"/>
    </w:rPr>
  </w:style>
  <w:style w:type="paragraph" w:customStyle="1" w:styleId="GuidelineTableBullet">
    <w:name w:val="Guideline_Table_Bullet"/>
    <w:basedOn w:val="GuidelineTableColumnText"/>
    <w:uiPriority w:val="1"/>
    <w:qFormat/>
    <w:rsid w:val="00401C4A"/>
    <w:pPr>
      <w:numPr>
        <w:numId w:val="8"/>
      </w:numPr>
      <w:tabs>
        <w:tab w:val="num" w:pos="450"/>
      </w:tabs>
      <w:ind w:left="548" w:hanging="450"/>
    </w:pPr>
  </w:style>
  <w:style w:type="character" w:styleId="Strong">
    <w:name w:val="Strong"/>
    <w:basedOn w:val="DefaultParagraphFont"/>
    <w:qFormat/>
    <w:rsid w:val="00401C4A"/>
    <w:rPr>
      <w:b/>
      <w:bCs/>
    </w:rPr>
  </w:style>
  <w:style w:type="paragraph" w:customStyle="1" w:styleId="GuidelineTabledash">
    <w:name w:val="Guideline Table dash"/>
    <w:basedOn w:val="GuidelineTableBullet"/>
    <w:qFormat/>
    <w:rsid w:val="00401C4A"/>
    <w:pPr>
      <w:numPr>
        <w:ilvl w:val="1"/>
        <w:numId w:val="9"/>
      </w:numPr>
      <w:ind w:left="924" w:hanging="357"/>
    </w:pPr>
    <w:rPr>
      <w:rFonts w:ascii="Arial" w:hAnsi="Arial" w:cs="Arial"/>
      <w:szCs w:val="22"/>
    </w:rPr>
  </w:style>
  <w:style w:type="paragraph" w:customStyle="1" w:styleId="Default">
    <w:name w:val="Default"/>
    <w:rsid w:val="0014299B"/>
    <w:pPr>
      <w:autoSpaceDE w:val="0"/>
      <w:autoSpaceDN w:val="0"/>
      <w:adjustRightInd w:val="0"/>
    </w:pPr>
    <w:rPr>
      <w:rFonts w:ascii="Arial" w:hAnsi="Arial" w:cs="Arial"/>
      <w:color w:val="000000"/>
      <w:sz w:val="24"/>
      <w:szCs w:val="24"/>
    </w:rPr>
  </w:style>
  <w:style w:type="character" w:customStyle="1" w:styleId="NumberLevel2Char">
    <w:name w:val="Number Level 2 Char"/>
    <w:basedOn w:val="DefaultParagraphFont"/>
    <w:link w:val="NumberLevel2"/>
    <w:rsid w:val="00A52B16"/>
    <w:rPr>
      <w:rFonts w:ascii="Arial" w:hAnsi="Arial"/>
      <w:sz w:val="22"/>
      <w:lang w:eastAsia="en-US"/>
    </w:rPr>
  </w:style>
  <w:style w:type="paragraph" w:customStyle="1" w:styleId="UCTOC1">
    <w:name w:val="UC TOC1"/>
    <w:basedOn w:val="UtilComHeading2"/>
    <w:link w:val="UCTOC1Char"/>
    <w:qFormat/>
    <w:rsid w:val="00302A92"/>
    <w:pPr>
      <w:keepNext w:val="0"/>
      <w:spacing w:before="120" w:line="290" w:lineRule="atLeast"/>
      <w:outlineLvl w:val="9"/>
    </w:pPr>
    <w:rPr>
      <w:sz w:val="32"/>
      <w:szCs w:val="32"/>
      <w:lang w:val="en-US"/>
    </w:rPr>
  </w:style>
  <w:style w:type="character" w:customStyle="1" w:styleId="UCTOC1Char">
    <w:name w:val="UC TOC1 Char"/>
    <w:basedOn w:val="UtilComHeading2Char"/>
    <w:link w:val="UCTOC1"/>
    <w:rsid w:val="00302A92"/>
    <w:rPr>
      <w:rFonts w:ascii="Arial" w:hAnsi="Arial"/>
      <w:b/>
      <w:sz w:val="32"/>
      <w:szCs w:val="32"/>
      <w:lang w:val="en-US" w:eastAsia="en-US" w:bidi="ar-SA"/>
    </w:rPr>
  </w:style>
  <w:style w:type="character" w:customStyle="1" w:styleId="HeaderChar">
    <w:name w:val="Header Char"/>
    <w:basedOn w:val="DefaultParagraphFont"/>
    <w:link w:val="Header"/>
    <w:uiPriority w:val="99"/>
    <w:rsid w:val="00B57FA7"/>
    <w:rPr>
      <w:rFonts w:ascii="Arial" w:hAnsi="Arial"/>
      <w:sz w:val="22"/>
      <w:lang w:eastAsia="en-US"/>
    </w:rPr>
  </w:style>
  <w:style w:type="paragraph" w:customStyle="1" w:styleId="MGBulletText">
    <w:name w:val="MG Bullet Text"/>
    <w:basedOn w:val="Normal"/>
    <w:autoRedefine/>
    <w:uiPriority w:val="99"/>
    <w:rsid w:val="00B57FA7"/>
    <w:pPr>
      <w:numPr>
        <w:numId w:val="15"/>
      </w:numPr>
      <w:tabs>
        <w:tab w:val="left" w:pos="1304"/>
      </w:tabs>
      <w:suppressAutoHyphens/>
      <w:autoSpaceDE w:val="0"/>
      <w:autoSpaceDN w:val="0"/>
      <w:adjustRightInd w:val="0"/>
      <w:spacing w:before="0" w:after="57" w:line="300" w:lineRule="atLeast"/>
      <w:ind w:left="1701" w:hanging="283"/>
      <w:textAlignment w:val="center"/>
    </w:pPr>
    <w:rPr>
      <w:rFonts w:eastAsiaTheme="minorHAnsi" w:cs="Arial MT Std Light"/>
      <w:color w:val="000000"/>
      <w:szCs w:val="22"/>
    </w:rPr>
  </w:style>
  <w:style w:type="table" w:styleId="TableGrid">
    <w:name w:val="Table Grid"/>
    <w:basedOn w:val="TableNormal"/>
    <w:rsid w:val="0068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2930B3"/>
    <w:rPr>
      <w:rFonts w:ascii="Arial" w:hAnsi="Arial"/>
      <w:sz w:val="22"/>
      <w:lang w:eastAsia="en-US"/>
    </w:rPr>
  </w:style>
  <w:style w:type="table" w:customStyle="1" w:styleId="PBTable1">
    <w:name w:val="PB Table 1"/>
    <w:basedOn w:val="TableGrid"/>
    <w:uiPriority w:val="99"/>
    <w:qFormat/>
    <w:rsid w:val="007874C6"/>
    <w:rPr>
      <w:rFonts w:ascii="Arial" w:hAnsi="Arial"/>
      <w:sz w:val="18"/>
    </w:rPr>
    <w:tblPr>
      <w:tblInd w:w="108"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Pr>
    <w:tblStylePr w:type="firstRow">
      <w:pPr>
        <w:wordWrap/>
        <w:spacing w:line="230" w:lineRule="atLeast"/>
      </w:pPr>
      <w:rPr>
        <w:rFonts w:ascii="Arial" w:hAnsi="Arial"/>
        <w:color w:val="FFFFFF" w:themeColor="background1"/>
        <w:sz w:val="20"/>
      </w:rPr>
      <w:tblPr/>
      <w:tcPr>
        <w:tc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FFFFFF"/>
          <w:tl2br w:val="nil"/>
          <w:tr2bl w:val="nil"/>
        </w:tcBorders>
        <w:shd w:val="clear" w:color="auto" w:fill="EEECE1" w:themeFill="background2"/>
      </w:tcPr>
    </w:tblStylePr>
    <w:tblStylePr w:type="lastRow">
      <w:rPr>
        <w:b/>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lastCol">
      <w:pPr>
        <w:jc w:val="right"/>
      </w:pPr>
    </w:tblStylePr>
  </w:style>
  <w:style w:type="paragraph" w:customStyle="1" w:styleId="PBTableText">
    <w:name w:val="PB Table Text"/>
    <w:basedOn w:val="Normal"/>
    <w:qFormat/>
    <w:rsid w:val="007874C6"/>
    <w:pPr>
      <w:tabs>
        <w:tab w:val="right" w:pos="9639"/>
      </w:tabs>
      <w:spacing w:before="100" w:after="80" w:line="240" w:lineRule="auto"/>
    </w:pPr>
    <w:rPr>
      <w:sz w:val="18"/>
    </w:rPr>
  </w:style>
  <w:style w:type="character" w:customStyle="1" w:styleId="red">
    <w:name w:val="red"/>
    <w:basedOn w:val="DefaultParagraphFont"/>
    <w:rsid w:val="00DC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utilities.commission@nt.gov.a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utilicom.nt.gov.au/PMS/Publications/UC-COM-REP-GDL-0216.pdf" TargetMode="External"/><Relationship Id="rId1" Type="http://schemas.openxmlformats.org/officeDocument/2006/relationships/hyperlink" Target="http://www.utilicom.nt.gov.au/Publications/ReportsAndPublications/Pages/201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UtilComm\UtilCom%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4d0431e8-3aad-4d02-84b7-fecd7c8a0e22">Review of PWC Compliance with 2014 NPD</Details>
    <Main_x0020_Category xmlns="4d0431e8-3aad-4d02-84b7-fecd7c8a0e22">3</Main_x0020_Category>
    <Sub_x0020_Sub_x0020_Category xmlns="4d0431e8-3aad-4d02-84b7-fecd7c8a0e22" xsi:nil="true"/>
    <Date_x0020_Approved xmlns="4d0431e8-3aad-4d02-84b7-fecd7c8a0e22">2017-03-14T14:30:00+00:00</Date_x0020_Approved>
    <Notify_x0020_On_x0020_Check_x0020_In xmlns="4d0431e8-3aad-4d02-84b7-fecd7c8a0e22">false</Notify_x0020_On_x0020_Check_x0020_In>
    <Sub_x0020_Category xmlns="4d0431e8-3aad-4d02-84b7-fecd7c8a0e22">76</Sub_x0020_Category>
  </documentManagement>
</p:properties>
</file>

<file path=customXml/itemProps1.xml><?xml version="1.0" encoding="utf-8"?>
<ds:datastoreItem xmlns:ds="http://schemas.openxmlformats.org/officeDocument/2006/customXml" ds:itemID="{E56679C7-6382-4821-9FC8-85B36D4D0186}"/>
</file>

<file path=customXml/itemProps2.xml><?xml version="1.0" encoding="utf-8"?>
<ds:datastoreItem xmlns:ds="http://schemas.openxmlformats.org/officeDocument/2006/customXml" ds:itemID="{9533F0A5-4069-4AAA-ABC7-1C84BE7C5CB4}"/>
</file>

<file path=customXml/itemProps3.xml><?xml version="1.0" encoding="utf-8"?>
<ds:datastoreItem xmlns:ds="http://schemas.openxmlformats.org/officeDocument/2006/customXml" ds:itemID="{EB82F56A-1C81-41AD-A222-2F96D13F503A}"/>
</file>

<file path=customXml/itemProps4.xml><?xml version="1.0" encoding="utf-8"?>
<ds:datastoreItem xmlns:ds="http://schemas.openxmlformats.org/officeDocument/2006/customXml" ds:itemID="{816FBC75-DA93-43F2-A4CF-0604DE2ED362}"/>
</file>

<file path=docProps/app.xml><?xml version="1.0" encoding="utf-8"?>
<Properties xmlns="http://schemas.openxmlformats.org/officeDocument/2006/extended-properties" xmlns:vt="http://schemas.openxmlformats.org/officeDocument/2006/docPropsVTypes">
  <Template>UtilCom Report</Template>
  <TotalTime>102</TotalTime>
  <Pages>19</Pages>
  <Words>5567</Words>
  <Characters>31548</Characters>
  <Application>Microsoft Office Word</Application>
  <DocSecurity>8</DocSecurity>
  <Lines>262</Lines>
  <Paragraphs>74</Paragraphs>
  <ScaleCrop>false</ScaleCrop>
  <HeadingPairs>
    <vt:vector size="2" baseType="variant">
      <vt:variant>
        <vt:lpstr>Title</vt:lpstr>
      </vt:variant>
      <vt:variant>
        <vt:i4>1</vt:i4>
      </vt:variant>
    </vt:vector>
  </HeadingPairs>
  <TitlesOfParts>
    <vt:vector size="1" baseType="lpstr">
      <vt:lpstr>Review of Power and Water Corporation’s Compliance with the 2014-19 Network Price Determination</vt:lpstr>
    </vt:vector>
  </TitlesOfParts>
  <Company>Microsoft Corporation</Company>
  <LinksUpToDate>false</LinksUpToDate>
  <CharactersWithSpaces>37041</CharactersWithSpaces>
  <SharedDoc>false</SharedDoc>
  <HLinks>
    <vt:vector size="300" baseType="variant">
      <vt:variant>
        <vt:i4>3276826</vt:i4>
      </vt:variant>
      <vt:variant>
        <vt:i4>297</vt:i4>
      </vt:variant>
      <vt:variant>
        <vt:i4>0</vt:i4>
      </vt:variant>
      <vt:variant>
        <vt:i4>5</vt:i4>
      </vt:variant>
      <vt:variant>
        <vt:lpwstr>mailto:utilities.commission@nt.gov.au</vt:lpwstr>
      </vt:variant>
      <vt:variant>
        <vt:lpwstr/>
      </vt:variant>
      <vt:variant>
        <vt:i4>1114167</vt:i4>
      </vt:variant>
      <vt:variant>
        <vt:i4>290</vt:i4>
      </vt:variant>
      <vt:variant>
        <vt:i4>0</vt:i4>
      </vt:variant>
      <vt:variant>
        <vt:i4>5</vt:i4>
      </vt:variant>
      <vt:variant>
        <vt:lpwstr/>
      </vt:variant>
      <vt:variant>
        <vt:lpwstr>_Toc252365159</vt:lpwstr>
      </vt:variant>
      <vt:variant>
        <vt:i4>1114167</vt:i4>
      </vt:variant>
      <vt:variant>
        <vt:i4>284</vt:i4>
      </vt:variant>
      <vt:variant>
        <vt:i4>0</vt:i4>
      </vt:variant>
      <vt:variant>
        <vt:i4>5</vt:i4>
      </vt:variant>
      <vt:variant>
        <vt:lpwstr/>
      </vt:variant>
      <vt:variant>
        <vt:lpwstr>_Toc252365158</vt:lpwstr>
      </vt:variant>
      <vt:variant>
        <vt:i4>1114167</vt:i4>
      </vt:variant>
      <vt:variant>
        <vt:i4>278</vt:i4>
      </vt:variant>
      <vt:variant>
        <vt:i4>0</vt:i4>
      </vt:variant>
      <vt:variant>
        <vt:i4>5</vt:i4>
      </vt:variant>
      <vt:variant>
        <vt:lpwstr/>
      </vt:variant>
      <vt:variant>
        <vt:lpwstr>_Toc252365157</vt:lpwstr>
      </vt:variant>
      <vt:variant>
        <vt:i4>1114167</vt:i4>
      </vt:variant>
      <vt:variant>
        <vt:i4>272</vt:i4>
      </vt:variant>
      <vt:variant>
        <vt:i4>0</vt:i4>
      </vt:variant>
      <vt:variant>
        <vt:i4>5</vt:i4>
      </vt:variant>
      <vt:variant>
        <vt:lpwstr/>
      </vt:variant>
      <vt:variant>
        <vt:lpwstr>_Toc252365156</vt:lpwstr>
      </vt:variant>
      <vt:variant>
        <vt:i4>1114167</vt:i4>
      </vt:variant>
      <vt:variant>
        <vt:i4>266</vt:i4>
      </vt:variant>
      <vt:variant>
        <vt:i4>0</vt:i4>
      </vt:variant>
      <vt:variant>
        <vt:i4>5</vt:i4>
      </vt:variant>
      <vt:variant>
        <vt:lpwstr/>
      </vt:variant>
      <vt:variant>
        <vt:lpwstr>_Toc252365155</vt:lpwstr>
      </vt:variant>
      <vt:variant>
        <vt:i4>1114167</vt:i4>
      </vt:variant>
      <vt:variant>
        <vt:i4>260</vt:i4>
      </vt:variant>
      <vt:variant>
        <vt:i4>0</vt:i4>
      </vt:variant>
      <vt:variant>
        <vt:i4>5</vt:i4>
      </vt:variant>
      <vt:variant>
        <vt:lpwstr/>
      </vt:variant>
      <vt:variant>
        <vt:lpwstr>_Toc252365154</vt:lpwstr>
      </vt:variant>
      <vt:variant>
        <vt:i4>1114167</vt:i4>
      </vt:variant>
      <vt:variant>
        <vt:i4>254</vt:i4>
      </vt:variant>
      <vt:variant>
        <vt:i4>0</vt:i4>
      </vt:variant>
      <vt:variant>
        <vt:i4>5</vt:i4>
      </vt:variant>
      <vt:variant>
        <vt:lpwstr/>
      </vt:variant>
      <vt:variant>
        <vt:lpwstr>_Toc252365153</vt:lpwstr>
      </vt:variant>
      <vt:variant>
        <vt:i4>1114167</vt:i4>
      </vt:variant>
      <vt:variant>
        <vt:i4>248</vt:i4>
      </vt:variant>
      <vt:variant>
        <vt:i4>0</vt:i4>
      </vt:variant>
      <vt:variant>
        <vt:i4>5</vt:i4>
      </vt:variant>
      <vt:variant>
        <vt:lpwstr/>
      </vt:variant>
      <vt:variant>
        <vt:lpwstr>_Toc252365152</vt:lpwstr>
      </vt:variant>
      <vt:variant>
        <vt:i4>1114167</vt:i4>
      </vt:variant>
      <vt:variant>
        <vt:i4>242</vt:i4>
      </vt:variant>
      <vt:variant>
        <vt:i4>0</vt:i4>
      </vt:variant>
      <vt:variant>
        <vt:i4>5</vt:i4>
      </vt:variant>
      <vt:variant>
        <vt:lpwstr/>
      </vt:variant>
      <vt:variant>
        <vt:lpwstr>_Toc252365151</vt:lpwstr>
      </vt:variant>
      <vt:variant>
        <vt:i4>1114167</vt:i4>
      </vt:variant>
      <vt:variant>
        <vt:i4>236</vt:i4>
      </vt:variant>
      <vt:variant>
        <vt:i4>0</vt:i4>
      </vt:variant>
      <vt:variant>
        <vt:i4>5</vt:i4>
      </vt:variant>
      <vt:variant>
        <vt:lpwstr/>
      </vt:variant>
      <vt:variant>
        <vt:lpwstr>_Toc252365150</vt:lpwstr>
      </vt:variant>
      <vt:variant>
        <vt:i4>1048631</vt:i4>
      </vt:variant>
      <vt:variant>
        <vt:i4>230</vt:i4>
      </vt:variant>
      <vt:variant>
        <vt:i4>0</vt:i4>
      </vt:variant>
      <vt:variant>
        <vt:i4>5</vt:i4>
      </vt:variant>
      <vt:variant>
        <vt:lpwstr/>
      </vt:variant>
      <vt:variant>
        <vt:lpwstr>_Toc252365149</vt:lpwstr>
      </vt:variant>
      <vt:variant>
        <vt:i4>1048631</vt:i4>
      </vt:variant>
      <vt:variant>
        <vt:i4>224</vt:i4>
      </vt:variant>
      <vt:variant>
        <vt:i4>0</vt:i4>
      </vt:variant>
      <vt:variant>
        <vt:i4>5</vt:i4>
      </vt:variant>
      <vt:variant>
        <vt:lpwstr/>
      </vt:variant>
      <vt:variant>
        <vt:lpwstr>_Toc252365148</vt:lpwstr>
      </vt:variant>
      <vt:variant>
        <vt:i4>1048631</vt:i4>
      </vt:variant>
      <vt:variant>
        <vt:i4>218</vt:i4>
      </vt:variant>
      <vt:variant>
        <vt:i4>0</vt:i4>
      </vt:variant>
      <vt:variant>
        <vt:i4>5</vt:i4>
      </vt:variant>
      <vt:variant>
        <vt:lpwstr/>
      </vt:variant>
      <vt:variant>
        <vt:lpwstr>_Toc252365147</vt:lpwstr>
      </vt:variant>
      <vt:variant>
        <vt:i4>1048631</vt:i4>
      </vt:variant>
      <vt:variant>
        <vt:i4>212</vt:i4>
      </vt:variant>
      <vt:variant>
        <vt:i4>0</vt:i4>
      </vt:variant>
      <vt:variant>
        <vt:i4>5</vt:i4>
      </vt:variant>
      <vt:variant>
        <vt:lpwstr/>
      </vt:variant>
      <vt:variant>
        <vt:lpwstr>_Toc252365146</vt:lpwstr>
      </vt:variant>
      <vt:variant>
        <vt:i4>1048631</vt:i4>
      </vt:variant>
      <vt:variant>
        <vt:i4>206</vt:i4>
      </vt:variant>
      <vt:variant>
        <vt:i4>0</vt:i4>
      </vt:variant>
      <vt:variant>
        <vt:i4>5</vt:i4>
      </vt:variant>
      <vt:variant>
        <vt:lpwstr/>
      </vt:variant>
      <vt:variant>
        <vt:lpwstr>_Toc252365145</vt:lpwstr>
      </vt:variant>
      <vt:variant>
        <vt:i4>1048631</vt:i4>
      </vt:variant>
      <vt:variant>
        <vt:i4>200</vt:i4>
      </vt:variant>
      <vt:variant>
        <vt:i4>0</vt:i4>
      </vt:variant>
      <vt:variant>
        <vt:i4>5</vt:i4>
      </vt:variant>
      <vt:variant>
        <vt:lpwstr/>
      </vt:variant>
      <vt:variant>
        <vt:lpwstr>_Toc252365144</vt:lpwstr>
      </vt:variant>
      <vt:variant>
        <vt:i4>1048631</vt:i4>
      </vt:variant>
      <vt:variant>
        <vt:i4>194</vt:i4>
      </vt:variant>
      <vt:variant>
        <vt:i4>0</vt:i4>
      </vt:variant>
      <vt:variant>
        <vt:i4>5</vt:i4>
      </vt:variant>
      <vt:variant>
        <vt:lpwstr/>
      </vt:variant>
      <vt:variant>
        <vt:lpwstr>_Toc252365143</vt:lpwstr>
      </vt:variant>
      <vt:variant>
        <vt:i4>1048631</vt:i4>
      </vt:variant>
      <vt:variant>
        <vt:i4>188</vt:i4>
      </vt:variant>
      <vt:variant>
        <vt:i4>0</vt:i4>
      </vt:variant>
      <vt:variant>
        <vt:i4>5</vt:i4>
      </vt:variant>
      <vt:variant>
        <vt:lpwstr/>
      </vt:variant>
      <vt:variant>
        <vt:lpwstr>_Toc252365142</vt:lpwstr>
      </vt:variant>
      <vt:variant>
        <vt:i4>1048631</vt:i4>
      </vt:variant>
      <vt:variant>
        <vt:i4>182</vt:i4>
      </vt:variant>
      <vt:variant>
        <vt:i4>0</vt:i4>
      </vt:variant>
      <vt:variant>
        <vt:i4>5</vt:i4>
      </vt:variant>
      <vt:variant>
        <vt:lpwstr/>
      </vt:variant>
      <vt:variant>
        <vt:lpwstr>_Toc252365141</vt:lpwstr>
      </vt:variant>
      <vt:variant>
        <vt:i4>1048631</vt:i4>
      </vt:variant>
      <vt:variant>
        <vt:i4>176</vt:i4>
      </vt:variant>
      <vt:variant>
        <vt:i4>0</vt:i4>
      </vt:variant>
      <vt:variant>
        <vt:i4>5</vt:i4>
      </vt:variant>
      <vt:variant>
        <vt:lpwstr/>
      </vt:variant>
      <vt:variant>
        <vt:lpwstr>_Toc252365140</vt:lpwstr>
      </vt:variant>
      <vt:variant>
        <vt:i4>1507383</vt:i4>
      </vt:variant>
      <vt:variant>
        <vt:i4>170</vt:i4>
      </vt:variant>
      <vt:variant>
        <vt:i4>0</vt:i4>
      </vt:variant>
      <vt:variant>
        <vt:i4>5</vt:i4>
      </vt:variant>
      <vt:variant>
        <vt:lpwstr/>
      </vt:variant>
      <vt:variant>
        <vt:lpwstr>_Toc252365139</vt:lpwstr>
      </vt:variant>
      <vt:variant>
        <vt:i4>1507383</vt:i4>
      </vt:variant>
      <vt:variant>
        <vt:i4>164</vt:i4>
      </vt:variant>
      <vt:variant>
        <vt:i4>0</vt:i4>
      </vt:variant>
      <vt:variant>
        <vt:i4>5</vt:i4>
      </vt:variant>
      <vt:variant>
        <vt:lpwstr/>
      </vt:variant>
      <vt:variant>
        <vt:lpwstr>_Toc252365138</vt:lpwstr>
      </vt:variant>
      <vt:variant>
        <vt:i4>1507383</vt:i4>
      </vt:variant>
      <vt:variant>
        <vt:i4>158</vt:i4>
      </vt:variant>
      <vt:variant>
        <vt:i4>0</vt:i4>
      </vt:variant>
      <vt:variant>
        <vt:i4>5</vt:i4>
      </vt:variant>
      <vt:variant>
        <vt:lpwstr/>
      </vt:variant>
      <vt:variant>
        <vt:lpwstr>_Toc252365137</vt:lpwstr>
      </vt:variant>
      <vt:variant>
        <vt:i4>1507383</vt:i4>
      </vt:variant>
      <vt:variant>
        <vt:i4>152</vt:i4>
      </vt:variant>
      <vt:variant>
        <vt:i4>0</vt:i4>
      </vt:variant>
      <vt:variant>
        <vt:i4>5</vt:i4>
      </vt:variant>
      <vt:variant>
        <vt:lpwstr/>
      </vt:variant>
      <vt:variant>
        <vt:lpwstr>_Toc252365136</vt:lpwstr>
      </vt:variant>
      <vt:variant>
        <vt:i4>1507383</vt:i4>
      </vt:variant>
      <vt:variant>
        <vt:i4>146</vt:i4>
      </vt:variant>
      <vt:variant>
        <vt:i4>0</vt:i4>
      </vt:variant>
      <vt:variant>
        <vt:i4>5</vt:i4>
      </vt:variant>
      <vt:variant>
        <vt:lpwstr/>
      </vt:variant>
      <vt:variant>
        <vt:lpwstr>_Toc252365135</vt:lpwstr>
      </vt:variant>
      <vt:variant>
        <vt:i4>1507383</vt:i4>
      </vt:variant>
      <vt:variant>
        <vt:i4>140</vt:i4>
      </vt:variant>
      <vt:variant>
        <vt:i4>0</vt:i4>
      </vt:variant>
      <vt:variant>
        <vt:i4>5</vt:i4>
      </vt:variant>
      <vt:variant>
        <vt:lpwstr/>
      </vt:variant>
      <vt:variant>
        <vt:lpwstr>_Toc252365134</vt:lpwstr>
      </vt:variant>
      <vt:variant>
        <vt:i4>1507383</vt:i4>
      </vt:variant>
      <vt:variant>
        <vt:i4>134</vt:i4>
      </vt:variant>
      <vt:variant>
        <vt:i4>0</vt:i4>
      </vt:variant>
      <vt:variant>
        <vt:i4>5</vt:i4>
      </vt:variant>
      <vt:variant>
        <vt:lpwstr/>
      </vt:variant>
      <vt:variant>
        <vt:lpwstr>_Toc252365133</vt:lpwstr>
      </vt:variant>
      <vt:variant>
        <vt:i4>1507383</vt:i4>
      </vt:variant>
      <vt:variant>
        <vt:i4>128</vt:i4>
      </vt:variant>
      <vt:variant>
        <vt:i4>0</vt:i4>
      </vt:variant>
      <vt:variant>
        <vt:i4>5</vt:i4>
      </vt:variant>
      <vt:variant>
        <vt:lpwstr/>
      </vt:variant>
      <vt:variant>
        <vt:lpwstr>_Toc252365132</vt:lpwstr>
      </vt:variant>
      <vt:variant>
        <vt:i4>1507383</vt:i4>
      </vt:variant>
      <vt:variant>
        <vt:i4>122</vt:i4>
      </vt:variant>
      <vt:variant>
        <vt:i4>0</vt:i4>
      </vt:variant>
      <vt:variant>
        <vt:i4>5</vt:i4>
      </vt:variant>
      <vt:variant>
        <vt:lpwstr/>
      </vt:variant>
      <vt:variant>
        <vt:lpwstr>_Toc252365131</vt:lpwstr>
      </vt:variant>
      <vt:variant>
        <vt:i4>1507383</vt:i4>
      </vt:variant>
      <vt:variant>
        <vt:i4>116</vt:i4>
      </vt:variant>
      <vt:variant>
        <vt:i4>0</vt:i4>
      </vt:variant>
      <vt:variant>
        <vt:i4>5</vt:i4>
      </vt:variant>
      <vt:variant>
        <vt:lpwstr/>
      </vt:variant>
      <vt:variant>
        <vt:lpwstr>_Toc252365130</vt:lpwstr>
      </vt:variant>
      <vt:variant>
        <vt:i4>1441847</vt:i4>
      </vt:variant>
      <vt:variant>
        <vt:i4>110</vt:i4>
      </vt:variant>
      <vt:variant>
        <vt:i4>0</vt:i4>
      </vt:variant>
      <vt:variant>
        <vt:i4>5</vt:i4>
      </vt:variant>
      <vt:variant>
        <vt:lpwstr/>
      </vt:variant>
      <vt:variant>
        <vt:lpwstr>_Toc252365129</vt:lpwstr>
      </vt:variant>
      <vt:variant>
        <vt:i4>1441847</vt:i4>
      </vt:variant>
      <vt:variant>
        <vt:i4>104</vt:i4>
      </vt:variant>
      <vt:variant>
        <vt:i4>0</vt:i4>
      </vt:variant>
      <vt:variant>
        <vt:i4>5</vt:i4>
      </vt:variant>
      <vt:variant>
        <vt:lpwstr/>
      </vt:variant>
      <vt:variant>
        <vt:lpwstr>_Toc252365128</vt:lpwstr>
      </vt:variant>
      <vt:variant>
        <vt:i4>1441847</vt:i4>
      </vt:variant>
      <vt:variant>
        <vt:i4>98</vt:i4>
      </vt:variant>
      <vt:variant>
        <vt:i4>0</vt:i4>
      </vt:variant>
      <vt:variant>
        <vt:i4>5</vt:i4>
      </vt:variant>
      <vt:variant>
        <vt:lpwstr/>
      </vt:variant>
      <vt:variant>
        <vt:lpwstr>_Toc252365127</vt:lpwstr>
      </vt:variant>
      <vt:variant>
        <vt:i4>1441847</vt:i4>
      </vt:variant>
      <vt:variant>
        <vt:i4>92</vt:i4>
      </vt:variant>
      <vt:variant>
        <vt:i4>0</vt:i4>
      </vt:variant>
      <vt:variant>
        <vt:i4>5</vt:i4>
      </vt:variant>
      <vt:variant>
        <vt:lpwstr/>
      </vt:variant>
      <vt:variant>
        <vt:lpwstr>_Toc252365126</vt:lpwstr>
      </vt:variant>
      <vt:variant>
        <vt:i4>1441847</vt:i4>
      </vt:variant>
      <vt:variant>
        <vt:i4>86</vt:i4>
      </vt:variant>
      <vt:variant>
        <vt:i4>0</vt:i4>
      </vt:variant>
      <vt:variant>
        <vt:i4>5</vt:i4>
      </vt:variant>
      <vt:variant>
        <vt:lpwstr/>
      </vt:variant>
      <vt:variant>
        <vt:lpwstr>_Toc252365125</vt:lpwstr>
      </vt:variant>
      <vt:variant>
        <vt:i4>1441847</vt:i4>
      </vt:variant>
      <vt:variant>
        <vt:i4>80</vt:i4>
      </vt:variant>
      <vt:variant>
        <vt:i4>0</vt:i4>
      </vt:variant>
      <vt:variant>
        <vt:i4>5</vt:i4>
      </vt:variant>
      <vt:variant>
        <vt:lpwstr/>
      </vt:variant>
      <vt:variant>
        <vt:lpwstr>_Toc252365124</vt:lpwstr>
      </vt:variant>
      <vt:variant>
        <vt:i4>1441847</vt:i4>
      </vt:variant>
      <vt:variant>
        <vt:i4>74</vt:i4>
      </vt:variant>
      <vt:variant>
        <vt:i4>0</vt:i4>
      </vt:variant>
      <vt:variant>
        <vt:i4>5</vt:i4>
      </vt:variant>
      <vt:variant>
        <vt:lpwstr/>
      </vt:variant>
      <vt:variant>
        <vt:lpwstr>_Toc252365123</vt:lpwstr>
      </vt:variant>
      <vt:variant>
        <vt:i4>1441847</vt:i4>
      </vt:variant>
      <vt:variant>
        <vt:i4>68</vt:i4>
      </vt:variant>
      <vt:variant>
        <vt:i4>0</vt:i4>
      </vt:variant>
      <vt:variant>
        <vt:i4>5</vt:i4>
      </vt:variant>
      <vt:variant>
        <vt:lpwstr/>
      </vt:variant>
      <vt:variant>
        <vt:lpwstr>_Toc252365122</vt:lpwstr>
      </vt:variant>
      <vt:variant>
        <vt:i4>1441847</vt:i4>
      </vt:variant>
      <vt:variant>
        <vt:i4>62</vt:i4>
      </vt:variant>
      <vt:variant>
        <vt:i4>0</vt:i4>
      </vt:variant>
      <vt:variant>
        <vt:i4>5</vt:i4>
      </vt:variant>
      <vt:variant>
        <vt:lpwstr/>
      </vt:variant>
      <vt:variant>
        <vt:lpwstr>_Toc252365121</vt:lpwstr>
      </vt:variant>
      <vt:variant>
        <vt:i4>1441847</vt:i4>
      </vt:variant>
      <vt:variant>
        <vt:i4>56</vt:i4>
      </vt:variant>
      <vt:variant>
        <vt:i4>0</vt:i4>
      </vt:variant>
      <vt:variant>
        <vt:i4>5</vt:i4>
      </vt:variant>
      <vt:variant>
        <vt:lpwstr/>
      </vt:variant>
      <vt:variant>
        <vt:lpwstr>_Toc252365120</vt:lpwstr>
      </vt:variant>
      <vt:variant>
        <vt:i4>1376311</vt:i4>
      </vt:variant>
      <vt:variant>
        <vt:i4>50</vt:i4>
      </vt:variant>
      <vt:variant>
        <vt:i4>0</vt:i4>
      </vt:variant>
      <vt:variant>
        <vt:i4>5</vt:i4>
      </vt:variant>
      <vt:variant>
        <vt:lpwstr/>
      </vt:variant>
      <vt:variant>
        <vt:lpwstr>_Toc252365119</vt:lpwstr>
      </vt:variant>
      <vt:variant>
        <vt:i4>1376311</vt:i4>
      </vt:variant>
      <vt:variant>
        <vt:i4>44</vt:i4>
      </vt:variant>
      <vt:variant>
        <vt:i4>0</vt:i4>
      </vt:variant>
      <vt:variant>
        <vt:i4>5</vt:i4>
      </vt:variant>
      <vt:variant>
        <vt:lpwstr/>
      </vt:variant>
      <vt:variant>
        <vt:lpwstr>_Toc252365118</vt:lpwstr>
      </vt:variant>
      <vt:variant>
        <vt:i4>1376311</vt:i4>
      </vt:variant>
      <vt:variant>
        <vt:i4>38</vt:i4>
      </vt:variant>
      <vt:variant>
        <vt:i4>0</vt:i4>
      </vt:variant>
      <vt:variant>
        <vt:i4>5</vt:i4>
      </vt:variant>
      <vt:variant>
        <vt:lpwstr/>
      </vt:variant>
      <vt:variant>
        <vt:lpwstr>_Toc252365117</vt:lpwstr>
      </vt:variant>
      <vt:variant>
        <vt:i4>1376311</vt:i4>
      </vt:variant>
      <vt:variant>
        <vt:i4>32</vt:i4>
      </vt:variant>
      <vt:variant>
        <vt:i4>0</vt:i4>
      </vt:variant>
      <vt:variant>
        <vt:i4>5</vt:i4>
      </vt:variant>
      <vt:variant>
        <vt:lpwstr/>
      </vt:variant>
      <vt:variant>
        <vt:lpwstr>_Toc252365116</vt:lpwstr>
      </vt:variant>
      <vt:variant>
        <vt:i4>1376311</vt:i4>
      </vt:variant>
      <vt:variant>
        <vt:i4>26</vt:i4>
      </vt:variant>
      <vt:variant>
        <vt:i4>0</vt:i4>
      </vt:variant>
      <vt:variant>
        <vt:i4>5</vt:i4>
      </vt:variant>
      <vt:variant>
        <vt:lpwstr/>
      </vt:variant>
      <vt:variant>
        <vt:lpwstr>_Toc252365115</vt:lpwstr>
      </vt:variant>
      <vt:variant>
        <vt:i4>1376311</vt:i4>
      </vt:variant>
      <vt:variant>
        <vt:i4>20</vt:i4>
      </vt:variant>
      <vt:variant>
        <vt:i4>0</vt:i4>
      </vt:variant>
      <vt:variant>
        <vt:i4>5</vt:i4>
      </vt:variant>
      <vt:variant>
        <vt:lpwstr/>
      </vt:variant>
      <vt:variant>
        <vt:lpwstr>_Toc252365114</vt:lpwstr>
      </vt:variant>
      <vt:variant>
        <vt:i4>1376311</vt:i4>
      </vt:variant>
      <vt:variant>
        <vt:i4>14</vt:i4>
      </vt:variant>
      <vt:variant>
        <vt:i4>0</vt:i4>
      </vt:variant>
      <vt:variant>
        <vt:i4>5</vt:i4>
      </vt:variant>
      <vt:variant>
        <vt:lpwstr/>
      </vt:variant>
      <vt:variant>
        <vt:lpwstr>_Toc252365113</vt:lpwstr>
      </vt:variant>
      <vt:variant>
        <vt:i4>1376311</vt:i4>
      </vt:variant>
      <vt:variant>
        <vt:i4>8</vt:i4>
      </vt:variant>
      <vt:variant>
        <vt:i4>0</vt:i4>
      </vt:variant>
      <vt:variant>
        <vt:i4>5</vt:i4>
      </vt:variant>
      <vt:variant>
        <vt:lpwstr/>
      </vt:variant>
      <vt:variant>
        <vt:lpwstr>_Toc252365112</vt:lpwstr>
      </vt:variant>
      <vt:variant>
        <vt:i4>1376311</vt:i4>
      </vt:variant>
      <vt:variant>
        <vt:i4>2</vt:i4>
      </vt:variant>
      <vt:variant>
        <vt:i4>0</vt:i4>
      </vt:variant>
      <vt:variant>
        <vt:i4>5</vt:i4>
      </vt:variant>
      <vt:variant>
        <vt:lpwstr/>
      </vt:variant>
      <vt:variant>
        <vt:lpwstr>_Toc252365111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PWC Compliance with 2014 NPD</dc:title>
  <dc:creator>Shawn Tan</dc:creator>
  <cp:lastModifiedBy>Barbara Beamsley</cp:lastModifiedBy>
  <cp:revision>32</cp:revision>
  <cp:lastPrinted>2017-03-14T03:14:00Z</cp:lastPrinted>
  <dcterms:created xsi:type="dcterms:W3CDTF">2017-02-01T00:48:00Z</dcterms:created>
  <dcterms:modified xsi:type="dcterms:W3CDTF">2017-03-15T01:45:00Z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TC011847151033</vt:lpwstr>
  </property>
  <property fmtid="{D5CDD505-2E9C-101B-9397-08002B2CF9AE}" pid="3" name="ContentTypeId">
    <vt:lpwstr>0x0101002A7AC795A47C6349B5032D5D43EA6D42</vt:lpwstr>
  </property>
</Properties>
</file>