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3694B63" w14:textId="77777777" w:rsidR="00922449" w:rsidRPr="00CD0BDF" w:rsidRDefault="00C3602D" w:rsidP="00BA0D8C">
      <w:pPr>
        <w:sectPr w:rsidR="00922449" w:rsidRPr="00CD0BDF" w:rsidSect="00984DBC">
          <w:headerReference w:type="even" r:id="rId8"/>
          <w:headerReference w:type="default" r:id="rId9"/>
          <w:footerReference w:type="even" r:id="rId10"/>
          <w:footerReference w:type="default" r:id="rId11"/>
          <w:headerReference w:type="first" r:id="rId12"/>
          <w:footerReference w:type="first" r:id="rId13"/>
          <w:pgSz w:w="11907" w:h="16840" w:code="9"/>
          <w:pgMar w:top="851" w:right="1701" w:bottom="1134" w:left="1701" w:header="568" w:footer="567" w:gutter="0"/>
          <w:pgNumType w:start="1"/>
          <w:cols w:space="720"/>
          <w:titlePg/>
        </w:sectPr>
      </w:pPr>
      <w:r>
        <w:rPr>
          <w:noProof/>
          <w:lang w:eastAsia="en-AU"/>
        </w:rPr>
        <mc:AlternateContent>
          <mc:Choice Requires="wps">
            <w:drawing>
              <wp:anchor distT="0" distB="0" distL="114300" distR="114300" simplePos="0" relativeHeight="251657728" behindDoc="0" locked="0" layoutInCell="0" allowOverlap="1" wp14:anchorId="136F45EA" wp14:editId="2ED9E8BE">
                <wp:simplePos x="0" y="0"/>
                <wp:positionH relativeFrom="margin">
                  <wp:posOffset>565150</wp:posOffset>
                </wp:positionH>
                <wp:positionV relativeFrom="margin">
                  <wp:posOffset>921385</wp:posOffset>
                </wp:positionV>
                <wp:extent cx="4319905" cy="22834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283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F0EEE7" w14:textId="77777777" w:rsidR="003E62AE" w:rsidRPr="00302A92" w:rsidRDefault="003E62AE" w:rsidP="00302A92">
                            <w:pPr>
                              <w:pStyle w:val="UtilComReportHeading"/>
                              <w:spacing w:line="520" w:lineRule="atLeast"/>
                              <w:ind w:left="0"/>
                              <w:rPr>
                                <w:b w:val="0"/>
                                <w:color w:val="31849B"/>
                                <w:lang w:val="en-US"/>
                              </w:rPr>
                            </w:pPr>
                            <w:r w:rsidRPr="00302A92">
                              <w:rPr>
                                <w:b w:val="0"/>
                                <w:color w:val="31849B"/>
                                <w:lang w:val="en-US"/>
                              </w:rPr>
                              <w:t>Annual compliance report</w:t>
                            </w:r>
                          </w:p>
                          <w:p w14:paraId="7B09B748" w14:textId="59998DD7" w:rsidR="003E62AE" w:rsidRDefault="003E62AE" w:rsidP="00302A92">
                            <w:pPr>
                              <w:pStyle w:val="UtilComBodyText"/>
                              <w:spacing w:before="240" w:after="240"/>
                            </w:pPr>
                            <w:r>
                              <w:t>A summary of Compliance Reports received by the Utilities C</w:t>
                            </w:r>
                            <w:r w:rsidR="00AA690F">
                              <w:t xml:space="preserve">ommission from licensees for the </w:t>
                            </w:r>
                            <w:r w:rsidR="009F48BC">
                              <w:t>2017-18</w:t>
                            </w:r>
                            <w:r w:rsidR="00AA690F">
                              <w:t xml:space="preserve"> year</w:t>
                            </w:r>
                          </w:p>
                          <w:p w14:paraId="3EC93B2B" w14:textId="460D0B15" w:rsidR="003E62AE" w:rsidRPr="00313A5B" w:rsidRDefault="003E62AE" w:rsidP="00E630D5">
                            <w:pPr>
                              <w:pStyle w:val="UtilComDate"/>
                              <w:spacing w:before="240"/>
                              <w:rPr>
                                <w:b/>
                                <w:i w:val="0"/>
                              </w:rPr>
                            </w:pPr>
                          </w:p>
                          <w:p w14:paraId="48EFBDC2" w14:textId="77777777" w:rsidR="003E62AE" w:rsidRDefault="003E62AE" w:rsidP="00BA0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F45EA" id="_x0000_t202" coordsize="21600,21600" o:spt="202" path="m,l,21600r21600,l21600,xe">
                <v:stroke joinstyle="miter"/>
                <v:path gradientshapeok="t" o:connecttype="rect"/>
              </v:shapetype>
              <v:shape id="Text Box 2" o:spid="_x0000_s1026" type="#_x0000_t202" style="position:absolute;margin-left:44.5pt;margin-top:72.55pt;width:340.15pt;height:179.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" o:allowincell="f" filled="f" stroked="f">
                <v:textbox>
                  <w:txbxContent>
                    <w:p w14:paraId="09F0EEE7" w14:textId="77777777" w:rsidR="003E62AE" w:rsidRPr="00302A92" w:rsidRDefault="003E62AE" w:rsidP="00302A92">
                      <w:pPr>
                        <w:pStyle w:val="UtilComReportHeading"/>
                        <w:spacing w:line="520" w:lineRule="atLeast"/>
                        <w:ind w:left="0"/>
                        <w:rPr>
                          <w:b w:val="0"/>
                          <w:color w:val="31849B"/>
                          <w:lang w:val="en-US"/>
                        </w:rPr>
                      </w:pPr>
                      <w:r w:rsidRPr="00302A92">
                        <w:rPr>
                          <w:b w:val="0"/>
                          <w:color w:val="31849B"/>
                          <w:lang w:val="en-US"/>
                        </w:rPr>
                        <w:t>Annual compliance report</w:t>
                      </w:r>
                    </w:p>
                    <w:p w14:paraId="7B09B748" w14:textId="59998DD7" w:rsidR="003E62AE" w:rsidRDefault="003E62AE" w:rsidP="00302A92">
                      <w:pPr>
                        <w:pStyle w:val="UtilComBodyText"/>
                        <w:spacing w:before="240" w:after="240"/>
                      </w:pPr>
                      <w:r>
                        <w:t>A summary of Compliance Reports received by the Utilities C</w:t>
                      </w:r>
                      <w:r w:rsidR="00AA690F">
                        <w:t xml:space="preserve">ommission from licensees for the </w:t>
                      </w:r>
                      <w:r w:rsidR="009F48BC">
                        <w:t>2017-18</w:t>
                      </w:r>
                      <w:r w:rsidR="00AA690F">
                        <w:t xml:space="preserve"> year</w:t>
                      </w:r>
                    </w:p>
                    <w:p w14:paraId="3EC93B2B" w14:textId="460D0B15" w:rsidR="003E62AE" w:rsidRPr="00313A5B" w:rsidRDefault="003E62AE" w:rsidP="00E630D5">
                      <w:pPr>
                        <w:pStyle w:val="UtilComDate"/>
                        <w:spacing w:before="240"/>
                        <w:rPr>
                          <w:b/>
                          <w:i w:val="0"/>
                        </w:rPr>
                      </w:pPr>
                    </w:p>
                    <w:p w14:paraId="48EFBDC2" w14:textId="77777777" w:rsidR="003E62AE" w:rsidRDefault="003E62AE" w:rsidP="00BA0D8C"/>
                  </w:txbxContent>
                </v:textbox>
                <w10:wrap anchorx="margin" anchory="margin"/>
              </v:shape>
            </w:pict>
          </mc:Fallback>
        </mc:AlternateContent>
      </w:r>
    </w:p>
    <w:p w14:paraId="697DF579" w14:textId="7F705055" w:rsidR="00BA0D8C" w:rsidRPr="009648D8" w:rsidRDefault="00CD0453" w:rsidP="00984DBC">
      <w:pPr>
        <w:rPr>
          <w:rStyle w:val="Strong"/>
          <w:color w:val="31849B"/>
          <w:sz w:val="24"/>
          <w:szCs w:val="24"/>
          <w:lang w:val="en-US"/>
        </w:rPr>
      </w:pPr>
      <w:r w:rsidRPr="009648D8">
        <w:rPr>
          <w:rStyle w:val="Strong"/>
          <w:color w:val="31849B"/>
          <w:sz w:val="24"/>
          <w:szCs w:val="24"/>
          <w:lang w:val="en-US"/>
        </w:rPr>
        <w:lastRenderedPageBreak/>
        <w:t>Overview</w:t>
      </w:r>
    </w:p>
    <w:p w14:paraId="12C6C032" w14:textId="32134F5B" w:rsidR="00CD0453" w:rsidRDefault="009648D8" w:rsidP="00984DBC">
      <w:r>
        <w:t>Each year licence holders are required to maintain and report on th</w:t>
      </w:r>
      <w:r w:rsidR="00C07368">
        <w:t>eir compliance framework</w:t>
      </w:r>
      <w:r>
        <w:t>. This report documents licence holder’s Annual Compliance reports to the Utilities Commission.</w:t>
      </w:r>
    </w:p>
    <w:p w14:paraId="10667862" w14:textId="77777777" w:rsidR="009648D8" w:rsidRDefault="009648D8" w:rsidP="009648D8">
      <w:pPr>
        <w:spacing w:before="200" w:after="200"/>
      </w:pPr>
      <w:r>
        <w:t xml:space="preserve">In the </w:t>
      </w:r>
      <w:r w:rsidRPr="0051247F">
        <w:t>interests</w:t>
      </w:r>
      <w:r>
        <w:t xml:space="preserve"> of transparency and to be consistent with the practices of other jurisdictions, the Commission publishes a summary of the Compliance Reports received, a description of breaches reported by each licensee and remedial action proposed or taken by the licensee in order to resolve the breach, and enforcement action taken by the Commission, if any.</w:t>
      </w:r>
    </w:p>
    <w:p w14:paraId="7F6FD4A9" w14:textId="77777777" w:rsidR="00302A92" w:rsidRPr="005B1EA4" w:rsidRDefault="00302A92" w:rsidP="005B1EA4">
      <w:pPr>
        <w:rPr>
          <w:rStyle w:val="Strong"/>
          <w:bCs w:val="0"/>
          <w:color w:val="31849B"/>
          <w:sz w:val="24"/>
          <w:szCs w:val="24"/>
          <w:lang w:val="en-US"/>
        </w:rPr>
      </w:pPr>
      <w:bookmarkStart w:id="1" w:name="_Toc436218907"/>
      <w:r w:rsidRPr="005B1EA4">
        <w:rPr>
          <w:rStyle w:val="Strong"/>
          <w:bCs w:val="0"/>
          <w:color w:val="31849B"/>
          <w:sz w:val="24"/>
          <w:szCs w:val="24"/>
          <w:lang w:val="en-US"/>
        </w:rPr>
        <w:t>Inquiries</w:t>
      </w:r>
      <w:bookmarkEnd w:id="1"/>
    </w:p>
    <w:p w14:paraId="003E5BA6" w14:textId="62B89E7F" w:rsidR="00302A92" w:rsidRPr="00302A92" w:rsidRDefault="00302A92" w:rsidP="00302A92">
      <w:pPr>
        <w:pStyle w:val="UtilComBodyText"/>
        <w:rPr>
          <w:bCs/>
          <w:lang w:val="en-US"/>
        </w:rPr>
      </w:pPr>
      <w:r w:rsidRPr="00302A92">
        <w:rPr>
          <w:bCs/>
          <w:lang w:val="en-US"/>
        </w:rPr>
        <w:t>Any questions regarding this report should be directed in the first instance to the Utilities Commission</w:t>
      </w:r>
      <w:r w:rsidR="00C07368">
        <w:rPr>
          <w:bCs/>
          <w:lang w:val="en-US"/>
        </w:rPr>
        <w:t>.</w:t>
      </w:r>
    </w:p>
    <w:p w14:paraId="734E9358" w14:textId="77777777" w:rsidR="00302A92" w:rsidRPr="00302A92" w:rsidRDefault="00302A92" w:rsidP="00302A92">
      <w:pPr>
        <w:pStyle w:val="UtilComBodyText"/>
        <w:rPr>
          <w:bCs/>
          <w:lang w:val="en-US"/>
        </w:rPr>
      </w:pPr>
    </w:p>
    <w:p w14:paraId="6B7A06E7" w14:textId="77777777" w:rsidR="00302A92" w:rsidRPr="00302A92" w:rsidRDefault="00302A92" w:rsidP="00302A92">
      <w:pPr>
        <w:pStyle w:val="UtilComBodyText"/>
        <w:rPr>
          <w:lang w:val="en-US"/>
        </w:rPr>
      </w:pPr>
      <w:r w:rsidRPr="00302A92">
        <w:rPr>
          <w:lang w:val="en-US"/>
        </w:rPr>
        <w:t>Telephone: +61 8 8999 5480</w:t>
      </w:r>
    </w:p>
    <w:p w14:paraId="4367C8F9" w14:textId="77777777" w:rsidR="00302A92" w:rsidRDefault="00302A92" w:rsidP="00302A92">
      <w:pPr>
        <w:pStyle w:val="UtilComBodyText"/>
      </w:pPr>
      <w:r w:rsidRPr="00302A92">
        <w:rPr>
          <w:lang w:val="en-US"/>
        </w:rPr>
        <w:t xml:space="preserve">Email: </w:t>
      </w:r>
      <w:hyperlink r:id="rId14" w:history="1">
        <w:r>
          <w:rPr>
            <w:rStyle w:val="Hyperlink"/>
          </w:rPr>
          <w:t>utilities.commission@nt.gov.au</w:t>
        </w:r>
      </w:hyperlink>
    </w:p>
    <w:p w14:paraId="7F95D870" w14:textId="77777777" w:rsidR="00820643" w:rsidRDefault="00820643" w:rsidP="00984DBC">
      <w:pPr>
        <w:sectPr w:rsidR="00820643" w:rsidSect="00984DBC">
          <w:footerReference w:type="default" r:id="rId15"/>
          <w:headerReference w:type="first" r:id="rId16"/>
          <w:footerReference w:type="first" r:id="rId17"/>
          <w:pgSz w:w="11907" w:h="16840" w:code="9"/>
          <w:pgMar w:top="1134" w:right="1134" w:bottom="1134" w:left="1701" w:header="567" w:footer="567" w:gutter="0"/>
          <w:pgNumType w:fmt="lowerRoman" w:start="1"/>
          <w:cols w:space="720"/>
          <w:titlePg/>
        </w:sectPr>
      </w:pPr>
    </w:p>
    <w:p w14:paraId="329D34AD" w14:textId="77777777" w:rsidR="00DB3FE7" w:rsidRDefault="00564813" w:rsidP="009F29A1">
      <w:pPr>
        <w:pStyle w:val="NumberLevel1"/>
        <w:tabs>
          <w:tab w:val="num" w:pos="2559"/>
        </w:tabs>
        <w:spacing w:before="500"/>
        <w:ind w:left="431" w:hanging="431"/>
      </w:pPr>
      <w:bookmarkStart w:id="2" w:name="_Toc442328898"/>
      <w:r>
        <w:lastRenderedPageBreak/>
        <w:t>CHAPTER 1</w:t>
      </w:r>
    </w:p>
    <w:p w14:paraId="53FAB194" w14:textId="77777777" w:rsidR="00E75ABB" w:rsidRPr="003E3A6B" w:rsidRDefault="00F0638A" w:rsidP="002358BB">
      <w:pPr>
        <w:pStyle w:val="UtilComHeading2"/>
        <w:rPr>
          <w:color w:val="31849B" w:themeColor="accent5" w:themeShade="BF"/>
          <w:lang w:eastAsia="en-AU"/>
        </w:rPr>
      </w:pPr>
      <w:r w:rsidRPr="003E3A6B">
        <w:rPr>
          <w:color w:val="31849B" w:themeColor="accent5" w:themeShade="BF"/>
          <w:lang w:eastAsia="en-AU"/>
        </w:rPr>
        <w:t>Introduction</w:t>
      </w:r>
      <w:bookmarkEnd w:id="2"/>
    </w:p>
    <w:p w14:paraId="6987F470" w14:textId="002AD9AC" w:rsidR="009648D8" w:rsidRDefault="009648D8" w:rsidP="009648D8">
      <w:pPr>
        <w:pStyle w:val="ListParagraph"/>
        <w:numPr>
          <w:ilvl w:val="1"/>
          <w:numId w:val="30"/>
        </w:numPr>
        <w:spacing w:before="200" w:after="200"/>
        <w:ind w:left="567" w:hanging="567"/>
        <w:contextualSpacing w:val="0"/>
      </w:pPr>
      <w:bookmarkStart w:id="3" w:name="_Toc442328899"/>
      <w:r w:rsidRPr="00416CC0">
        <w:t xml:space="preserve">The Utilities Commission is an independent statutory body established by the </w:t>
      </w:r>
      <w:r w:rsidRPr="000F3ABD">
        <w:rPr>
          <w:i/>
        </w:rPr>
        <w:t xml:space="preserve">Utilities Commission Act </w:t>
      </w:r>
      <w:r>
        <w:t xml:space="preserve">(UC Act) </w:t>
      </w:r>
      <w:r w:rsidRPr="00416CC0">
        <w:t>with defined roles and functions for economic regulation in the electricity, water and sewerage industries and declared ports in the Northern Territory.</w:t>
      </w:r>
    </w:p>
    <w:p w14:paraId="6B2D2975" w14:textId="4CF691ED" w:rsidR="002E2F35" w:rsidRDefault="002E2F35" w:rsidP="002E2F35">
      <w:pPr>
        <w:pStyle w:val="ListParagraph"/>
        <w:numPr>
          <w:ilvl w:val="1"/>
          <w:numId w:val="30"/>
        </w:numPr>
        <w:spacing w:before="200" w:after="200"/>
        <w:ind w:left="567" w:hanging="567"/>
        <w:contextualSpacing w:val="0"/>
      </w:pPr>
      <w:r>
        <w:t xml:space="preserve">The </w:t>
      </w:r>
      <w:r w:rsidR="00FE5B3E">
        <w:t>C</w:t>
      </w:r>
      <w:r>
        <w:t>ommission’s objectives and matters it must consider in undertaking its work</w:t>
      </w:r>
      <w:r w:rsidR="00FE5B3E">
        <w:t xml:space="preserve"> is encapsulated in the C</w:t>
      </w:r>
      <w:r>
        <w:t>ommission’s Strategic Statement:</w:t>
      </w:r>
    </w:p>
    <w:p w14:paraId="3E9C64B7" w14:textId="77777777" w:rsidR="002E2F35" w:rsidRPr="002E2F35" w:rsidRDefault="002E2F35" w:rsidP="002E2F35">
      <w:pPr>
        <w:spacing w:before="200" w:after="200"/>
        <w:ind w:left="567"/>
        <w:rPr>
          <w:i/>
          <w:color w:val="595959" w:themeColor="text1" w:themeTint="A6"/>
        </w:rPr>
      </w:pPr>
      <w:r w:rsidRPr="002E2F35">
        <w:rPr>
          <w:i/>
          <w:color w:val="595959" w:themeColor="text1" w:themeTint="A6"/>
        </w:rPr>
        <w:t xml:space="preserve">The Utilities Commission seeks to protect the long term interests of consumers of services provided by regulated industries with respect to price, reliability and quality. </w:t>
      </w:r>
    </w:p>
    <w:p w14:paraId="7CBC6847" w14:textId="4A33A0E7" w:rsidR="009648D8" w:rsidRDefault="00FE5B3E" w:rsidP="002E2F35">
      <w:pPr>
        <w:spacing w:before="200" w:after="200"/>
        <w:ind w:left="567"/>
        <w:rPr>
          <w:i/>
          <w:color w:val="595959" w:themeColor="text1" w:themeTint="A6"/>
        </w:rPr>
      </w:pPr>
      <w:r>
        <w:rPr>
          <w:i/>
          <w:color w:val="595959" w:themeColor="text1" w:themeTint="A6"/>
        </w:rPr>
        <w:t>The C</w:t>
      </w:r>
      <w:r w:rsidR="002E2F35" w:rsidRPr="002E2F35">
        <w:rPr>
          <w:i/>
          <w:color w:val="595959" w:themeColor="text1" w:themeTint="A6"/>
        </w:rPr>
        <w:t xml:space="preserve">ommission will seek to ensure consumer requirements are met by enhancing the economic efficiency of regulated industries through promoting competition, fair and efficient market conduct and effective independent regulation. </w:t>
      </w:r>
    </w:p>
    <w:p w14:paraId="5A8F73B8" w14:textId="1313981C" w:rsidR="002E2F35" w:rsidRPr="002E2F35" w:rsidRDefault="002E2F35" w:rsidP="002E2F35">
      <w:pPr>
        <w:pStyle w:val="ListParagraph"/>
        <w:numPr>
          <w:ilvl w:val="1"/>
          <w:numId w:val="30"/>
        </w:numPr>
        <w:spacing w:before="200" w:after="200"/>
        <w:ind w:left="567" w:hanging="567"/>
        <w:contextualSpacing w:val="0"/>
      </w:pPr>
      <w:r w:rsidRPr="002E2F35">
        <w:t xml:space="preserve">The Commission has functions under various Acts (and associated regulations) including the </w:t>
      </w:r>
      <w:r w:rsidR="000F3ABD">
        <w:t>UC</w:t>
      </w:r>
      <w:r w:rsidRPr="002E2F35">
        <w:t xml:space="preserve"> Act, </w:t>
      </w:r>
      <w:r w:rsidR="000F3ABD" w:rsidRPr="000F3ABD">
        <w:rPr>
          <w:i/>
        </w:rPr>
        <w:t>Electricity Reform</w:t>
      </w:r>
      <w:r w:rsidRPr="000F3ABD">
        <w:rPr>
          <w:i/>
        </w:rPr>
        <w:t xml:space="preserve"> Act</w:t>
      </w:r>
      <w:r w:rsidR="000F3ABD">
        <w:t xml:space="preserve"> (ER Act)</w:t>
      </w:r>
      <w:r w:rsidRPr="002E2F35">
        <w:t xml:space="preserve">, </w:t>
      </w:r>
      <w:r w:rsidRPr="000F3ABD">
        <w:rPr>
          <w:i/>
        </w:rPr>
        <w:t xml:space="preserve">Water Supply and Sewerage Services Act </w:t>
      </w:r>
      <w:r w:rsidRPr="002E2F35">
        <w:t xml:space="preserve">and the </w:t>
      </w:r>
      <w:r w:rsidRPr="000F3ABD">
        <w:rPr>
          <w:i/>
        </w:rPr>
        <w:t>Ports Management Act</w:t>
      </w:r>
      <w:r w:rsidRPr="002E2F35">
        <w:t xml:space="preserve">.  </w:t>
      </w:r>
    </w:p>
    <w:p w14:paraId="537B67B6" w14:textId="3722F5F2" w:rsidR="00DB3FE7" w:rsidRDefault="004A3B20" w:rsidP="009648D8">
      <w:pPr>
        <w:pStyle w:val="ListParagraph"/>
        <w:numPr>
          <w:ilvl w:val="1"/>
          <w:numId w:val="30"/>
        </w:numPr>
        <w:spacing w:before="200" w:after="200"/>
        <w:ind w:left="567" w:hanging="567"/>
        <w:contextualSpacing w:val="0"/>
      </w:pPr>
      <w:r w:rsidRPr="00564813">
        <w:t>Section</w:t>
      </w:r>
      <w:r>
        <w:t xml:space="preserve"> 14(3) of </w:t>
      </w:r>
      <w:r w:rsidRPr="00FF048C">
        <w:t xml:space="preserve">the </w:t>
      </w:r>
      <w:r w:rsidR="00FF048C" w:rsidRPr="00FF048C">
        <w:t>ER Act</w:t>
      </w:r>
      <w:r w:rsidR="000F3ABD">
        <w:t xml:space="preserve"> and 14(1) of the </w:t>
      </w:r>
      <w:r w:rsidR="000F3ABD" w:rsidRPr="000F3ABD">
        <w:rPr>
          <w:i/>
        </w:rPr>
        <w:t>Water Supply and Sewerage</w:t>
      </w:r>
      <w:r w:rsidR="000A44CC">
        <w:rPr>
          <w:i/>
        </w:rPr>
        <w:t xml:space="preserve"> Services</w:t>
      </w:r>
      <w:r w:rsidR="000F3ABD">
        <w:t xml:space="preserve"> </w:t>
      </w:r>
      <w:r w:rsidR="000F3ABD" w:rsidRPr="000F3ABD">
        <w:rPr>
          <w:i/>
        </w:rPr>
        <w:t>Act</w:t>
      </w:r>
      <w:r w:rsidR="000F3ABD">
        <w:t xml:space="preserve"> </w:t>
      </w:r>
      <w:r>
        <w:t>provides that a licence is required for</w:t>
      </w:r>
      <w:r w:rsidR="000F3ABD">
        <w:t xml:space="preserve"> relevant services</w:t>
      </w:r>
      <w:bookmarkEnd w:id="3"/>
      <w:r w:rsidR="000F3ABD">
        <w:t xml:space="preserve">. Note that while the Commission regulates the </w:t>
      </w:r>
      <w:r w:rsidR="000A44CC">
        <w:t>p</w:t>
      </w:r>
      <w:r w:rsidR="000F3ABD">
        <w:t>ort industry, the Darwin Port</w:t>
      </w:r>
      <w:r w:rsidR="000A44CC">
        <w:t>’s</w:t>
      </w:r>
      <w:r w:rsidR="000F3ABD">
        <w:t xml:space="preserve"> operations are not licensed and </w:t>
      </w:r>
      <w:r w:rsidR="000A44CC">
        <w:t>there is</w:t>
      </w:r>
      <w:r w:rsidR="000F3ABD">
        <w:t xml:space="preserve"> a different compliance process and reporting requirements.</w:t>
      </w:r>
    </w:p>
    <w:p w14:paraId="08150CAA" w14:textId="2C0BAF29" w:rsidR="00840D26" w:rsidRDefault="004A3B20" w:rsidP="009648D8">
      <w:pPr>
        <w:pStyle w:val="ListParagraph"/>
        <w:numPr>
          <w:ilvl w:val="1"/>
          <w:numId w:val="30"/>
        </w:numPr>
        <w:spacing w:before="200" w:after="200"/>
        <w:ind w:left="567" w:hanging="567"/>
        <w:contextualSpacing w:val="0"/>
      </w:pPr>
      <w:bookmarkStart w:id="4" w:name="_Toc442328905"/>
      <w:r>
        <w:t xml:space="preserve">A condition of the </w:t>
      </w:r>
      <w:r w:rsidR="00F10D96">
        <w:t>licen</w:t>
      </w:r>
      <w:r w:rsidR="000A44CC">
        <w:t>c</w:t>
      </w:r>
      <w:r w:rsidR="00F10D96">
        <w:t>es</w:t>
      </w:r>
      <w:r>
        <w:t xml:space="preserve"> issued by the Commission is for </w:t>
      </w:r>
      <w:r w:rsidR="00705CCC">
        <w:t xml:space="preserve">each </w:t>
      </w:r>
      <w:r w:rsidR="00302FDB">
        <w:t>licensee</w:t>
      </w:r>
      <w:r w:rsidR="00484493">
        <w:t xml:space="preserve"> to submit a </w:t>
      </w:r>
      <w:r w:rsidR="00C53700">
        <w:t>Compliance Report</w:t>
      </w:r>
      <w:r w:rsidR="00FB2743">
        <w:t>,</w:t>
      </w:r>
      <w:r w:rsidR="00484493">
        <w:t xml:space="preserve"> </w:t>
      </w:r>
      <w:r w:rsidR="00C5504F">
        <w:t>at reasonable intervals determined by the Commission</w:t>
      </w:r>
      <w:r w:rsidR="00FB2743">
        <w:t>,</w:t>
      </w:r>
      <w:r w:rsidR="00C5504F">
        <w:t xml:space="preserve"> </w:t>
      </w:r>
      <w:r w:rsidR="00484493">
        <w:t>describing the measures taken by the licensee to ensure compliance with its</w:t>
      </w:r>
      <w:r w:rsidR="00705CCC">
        <w:t xml:space="preserve"> regulatory </w:t>
      </w:r>
      <w:r w:rsidR="00484493">
        <w:t>obligations</w:t>
      </w:r>
      <w:r w:rsidR="00705CCC">
        <w:t xml:space="preserve"> under the licence or by applicable legislation</w:t>
      </w:r>
      <w:r w:rsidR="00484493">
        <w:t xml:space="preserve">. </w:t>
      </w:r>
      <w:bookmarkEnd w:id="4"/>
    </w:p>
    <w:p w14:paraId="2A9382B7" w14:textId="574B7EA0" w:rsidR="005077EC" w:rsidRDefault="005077EC" w:rsidP="009648D8">
      <w:pPr>
        <w:pStyle w:val="ListParagraph"/>
        <w:numPr>
          <w:ilvl w:val="1"/>
          <w:numId w:val="30"/>
        </w:numPr>
        <w:spacing w:before="200" w:after="200"/>
        <w:ind w:left="567" w:hanging="567"/>
        <w:contextualSpacing w:val="0"/>
      </w:pPr>
      <w:bookmarkStart w:id="5" w:name="_Toc442328906"/>
      <w:r>
        <w:t xml:space="preserve">In </w:t>
      </w:r>
      <w:r w:rsidR="000F3ABD">
        <w:t>February 2016</w:t>
      </w:r>
      <w:r w:rsidR="000A44CC">
        <w:t>,</w:t>
      </w:r>
      <w:r>
        <w:t xml:space="preserve"> the Commission issued </w:t>
      </w:r>
      <w:r w:rsidR="000B3305">
        <w:t>Compliance Framework and Reporti</w:t>
      </w:r>
      <w:r w:rsidR="00440671">
        <w:t>ng Guidelines. The Guidelines provide additional details on the Commission’s requirements.</w:t>
      </w:r>
    </w:p>
    <w:p w14:paraId="2F5CF58D" w14:textId="0645ABF3" w:rsidR="00440671" w:rsidRPr="00440671" w:rsidRDefault="00440671" w:rsidP="00440671">
      <w:pPr>
        <w:pStyle w:val="ListParagraph"/>
        <w:numPr>
          <w:ilvl w:val="1"/>
          <w:numId w:val="30"/>
        </w:numPr>
        <w:spacing w:before="200" w:after="200"/>
        <w:ind w:left="567" w:hanging="567"/>
        <w:contextualSpacing w:val="0"/>
      </w:pPr>
      <w:r>
        <w:t>In particular</w:t>
      </w:r>
      <w:r w:rsidR="000A44CC">
        <w:t>,</w:t>
      </w:r>
      <w:r>
        <w:t xml:space="preserve"> the Guidelines note that </w:t>
      </w:r>
      <w:r w:rsidRPr="00440671">
        <w:t>the annual compliance reporting and declaration requirements do not apply to Independent Power Producer (IPP) licence holders</w:t>
      </w:r>
      <w:r w:rsidR="00C07368">
        <w:t>.</w:t>
      </w:r>
    </w:p>
    <w:p w14:paraId="45D29C7F" w14:textId="48964A76" w:rsidR="005077EC" w:rsidRDefault="005077EC" w:rsidP="009648D8">
      <w:pPr>
        <w:pStyle w:val="ListParagraph"/>
        <w:numPr>
          <w:ilvl w:val="1"/>
          <w:numId w:val="30"/>
        </w:numPr>
        <w:spacing w:before="200" w:after="0"/>
        <w:ind w:left="567" w:hanging="567"/>
        <w:contextualSpacing w:val="0"/>
      </w:pPr>
      <w:r>
        <w:t xml:space="preserve">The </w:t>
      </w:r>
      <w:r w:rsidR="00D30E30">
        <w:t xml:space="preserve">Commission </w:t>
      </w:r>
      <w:r>
        <w:t>require</w:t>
      </w:r>
      <w:r w:rsidR="00D30E30">
        <w:t>s</w:t>
      </w:r>
      <w:r>
        <w:t xml:space="preserve"> an annual Compliance Report </w:t>
      </w:r>
      <w:r w:rsidR="00D30E30">
        <w:t>from licence holder</w:t>
      </w:r>
      <w:r w:rsidR="00440671">
        <w:t>’</w:t>
      </w:r>
      <w:r w:rsidR="00D30E30">
        <w:t>s by</w:t>
      </w:r>
      <w:r>
        <w:t xml:space="preserve"> </w:t>
      </w:r>
      <w:r w:rsidRPr="00440671">
        <w:rPr>
          <w:b/>
        </w:rPr>
        <w:t>31 August</w:t>
      </w:r>
      <w:r w:rsidR="00440671">
        <w:t xml:space="preserve"> each year</w:t>
      </w:r>
      <w:r>
        <w:t xml:space="preserve"> with a declaration of responsibility from the Board of the licensee:</w:t>
      </w:r>
    </w:p>
    <w:p w14:paraId="614E05AE" w14:textId="77777777" w:rsidR="00940EE8" w:rsidRDefault="005077EC" w:rsidP="00940EE8">
      <w:pPr>
        <w:pStyle w:val="ListParagraph"/>
        <w:numPr>
          <w:ilvl w:val="0"/>
          <w:numId w:val="28"/>
        </w:numPr>
        <w:spacing w:before="200" w:after="200"/>
        <w:ind w:left="993" w:hanging="426"/>
        <w:contextualSpacing w:val="0"/>
      </w:pPr>
      <w:r w:rsidRPr="00663A05">
        <w:t xml:space="preserve">that the licensee maintains an appropriate compliance framework that complies with the requirements of its licence as set out in </w:t>
      </w:r>
      <w:r>
        <w:t>the Compliance Fra</w:t>
      </w:r>
      <w:r w:rsidR="005C549C">
        <w:t>mework and Reporting Guidelines</w:t>
      </w:r>
    </w:p>
    <w:p w14:paraId="63DB0B52" w14:textId="093CC1CD" w:rsidR="005077EC" w:rsidRDefault="005077EC" w:rsidP="00940EE8">
      <w:pPr>
        <w:pStyle w:val="ListParagraph"/>
        <w:numPr>
          <w:ilvl w:val="0"/>
          <w:numId w:val="28"/>
        </w:numPr>
        <w:spacing w:before="200" w:after="200"/>
        <w:ind w:left="993" w:hanging="426"/>
        <w:contextualSpacing w:val="0"/>
      </w:pPr>
      <w:r>
        <w:lastRenderedPageBreak/>
        <w:t>the licensee has complied with all licence obligations during the immediately preceding financial year, with the exception of those non-compliances listed in the Compliance Report.</w:t>
      </w:r>
      <w:r>
        <w:rPr>
          <w:rStyle w:val="FootnoteReference"/>
        </w:rPr>
        <w:footnoteReference w:id="2"/>
      </w:r>
    </w:p>
    <w:p w14:paraId="7F48E1E6" w14:textId="3741C08B" w:rsidR="00371220" w:rsidRDefault="00371220" w:rsidP="00371220">
      <w:pPr>
        <w:pStyle w:val="ListParagraph"/>
        <w:numPr>
          <w:ilvl w:val="1"/>
          <w:numId w:val="30"/>
        </w:numPr>
        <w:spacing w:before="200" w:after="200"/>
        <w:ind w:left="567" w:hanging="567"/>
        <w:contextualSpacing w:val="0"/>
      </w:pPr>
      <w:r>
        <w:t>The information sought by the Commission as part of the annual Compliance Report is consistent with the type of information that the business should be providing to its board, with further information supplemented by an audit process from time to time.</w:t>
      </w:r>
    </w:p>
    <w:p w14:paraId="2451DDC2" w14:textId="77777777" w:rsidR="00A52B16" w:rsidRPr="009F29A1" w:rsidRDefault="00A52B16" w:rsidP="009F29A1">
      <w:pPr>
        <w:pStyle w:val="UtilComHeading2"/>
        <w:rPr>
          <w:color w:val="31849B" w:themeColor="accent5" w:themeShade="BF"/>
          <w:lang w:eastAsia="en-AU"/>
        </w:rPr>
      </w:pPr>
      <w:bookmarkStart w:id="6" w:name="_Toc442328911"/>
      <w:bookmarkEnd w:id="5"/>
      <w:r w:rsidRPr="009F29A1">
        <w:rPr>
          <w:color w:val="31849B" w:themeColor="accent5" w:themeShade="BF"/>
          <w:lang w:eastAsia="en-AU"/>
        </w:rPr>
        <w:t>Commission’s Approach to Compliance</w:t>
      </w:r>
    </w:p>
    <w:p w14:paraId="73B5208F" w14:textId="77777777" w:rsidR="00DB3FE7" w:rsidRDefault="00A52B16" w:rsidP="009648D8">
      <w:pPr>
        <w:pStyle w:val="ListParagraph"/>
        <w:numPr>
          <w:ilvl w:val="1"/>
          <w:numId w:val="30"/>
        </w:numPr>
        <w:spacing w:before="200" w:after="0"/>
        <w:ind w:left="567" w:hanging="567"/>
        <w:contextualSpacing w:val="0"/>
      </w:pPr>
      <w:r>
        <w:t>The Commission’s compliance monitoring program consists of three main elements:</w:t>
      </w:r>
    </w:p>
    <w:p w14:paraId="06AF10ED" w14:textId="3B408728" w:rsidR="00A52B16" w:rsidRDefault="00A52B16" w:rsidP="00A52B16">
      <w:pPr>
        <w:pStyle w:val="UtilComBulletText"/>
        <w:spacing w:line="300" w:lineRule="atLeast"/>
      </w:pPr>
      <w:r>
        <w:t>risk ident</w:t>
      </w:r>
      <w:r w:rsidR="005C549C">
        <w:t>ification and risk assessment</w:t>
      </w:r>
    </w:p>
    <w:p w14:paraId="05291B0F" w14:textId="348508B1" w:rsidR="00A52B16" w:rsidRDefault="005C549C" w:rsidP="00A52B16">
      <w:pPr>
        <w:pStyle w:val="UtilComBulletText"/>
        <w:spacing w:line="300" w:lineRule="atLeast"/>
      </w:pPr>
      <w:r>
        <w:t>ensuring compliance</w:t>
      </w:r>
    </w:p>
    <w:p w14:paraId="14FFC274" w14:textId="77777777" w:rsidR="00A52B16" w:rsidRDefault="00A52B16" w:rsidP="00A52B16">
      <w:pPr>
        <w:pStyle w:val="UtilComBulletText"/>
        <w:spacing w:line="300" w:lineRule="atLeast"/>
      </w:pPr>
      <w:r>
        <w:t>enforcement.</w:t>
      </w:r>
    </w:p>
    <w:p w14:paraId="32D391DE" w14:textId="77777777" w:rsidR="00A52B16" w:rsidRDefault="00A52B16" w:rsidP="009648D8">
      <w:pPr>
        <w:pStyle w:val="ListParagraph"/>
        <w:numPr>
          <w:ilvl w:val="1"/>
          <w:numId w:val="30"/>
        </w:numPr>
        <w:spacing w:before="200" w:after="200"/>
        <w:ind w:left="567" w:hanging="567"/>
        <w:contextualSpacing w:val="0"/>
        <w:rPr>
          <w:rFonts w:cs="Arial"/>
          <w:szCs w:val="22"/>
        </w:rPr>
      </w:pPr>
      <w:r>
        <w:rPr>
          <w:rFonts w:cs="Arial"/>
          <w:szCs w:val="22"/>
        </w:rPr>
        <w:t xml:space="preserve">Regulated entities must systematically identify </w:t>
      </w:r>
      <w:r>
        <w:t xml:space="preserve">compliance obligations and the way in which they impact on activities, products and services, which may include a register of compliance obligations (for example, a Compliance Register). The </w:t>
      </w:r>
      <w:r>
        <w:rPr>
          <w:rFonts w:cs="Arial"/>
          <w:szCs w:val="22"/>
        </w:rPr>
        <w:t xml:space="preserve">identification and ranking of risks is the responsibility of the </w:t>
      </w:r>
      <w:r w:rsidR="004A56F0">
        <w:rPr>
          <w:rFonts w:cs="Arial"/>
          <w:szCs w:val="22"/>
        </w:rPr>
        <w:t>licensee</w:t>
      </w:r>
      <w:r>
        <w:rPr>
          <w:rFonts w:cs="Arial"/>
          <w:szCs w:val="22"/>
        </w:rPr>
        <w:t>.</w:t>
      </w:r>
    </w:p>
    <w:p w14:paraId="798FAE30" w14:textId="77777777" w:rsidR="00A52B16" w:rsidRDefault="004A56F0" w:rsidP="009648D8">
      <w:pPr>
        <w:pStyle w:val="ListParagraph"/>
        <w:numPr>
          <w:ilvl w:val="1"/>
          <w:numId w:val="30"/>
        </w:numPr>
        <w:spacing w:before="200" w:after="200"/>
        <w:ind w:left="567" w:hanging="567"/>
        <w:contextualSpacing w:val="0"/>
      </w:pPr>
      <w:r>
        <w:t xml:space="preserve">A </w:t>
      </w:r>
      <w:r w:rsidR="00A52B16">
        <w:t xml:space="preserve">licensee is to report any material compliance breaches to the Commission as soon as is reasonably possible after the breach is identified. </w:t>
      </w:r>
    </w:p>
    <w:p w14:paraId="181A5EA7" w14:textId="77777777" w:rsidR="00DB3FE7" w:rsidRDefault="004A56F0" w:rsidP="009648D8">
      <w:pPr>
        <w:pStyle w:val="ListParagraph"/>
        <w:numPr>
          <w:ilvl w:val="1"/>
          <w:numId w:val="30"/>
        </w:numPr>
        <w:spacing w:before="200" w:after="0"/>
        <w:ind w:left="567" w:hanging="567"/>
        <w:contextualSpacing w:val="0"/>
      </w:pPr>
      <w:r>
        <w:t xml:space="preserve">The Commission considers a breach to be ‘material’ when </w:t>
      </w:r>
      <w:r w:rsidR="00705CCC">
        <w:t xml:space="preserve">it </w:t>
      </w:r>
      <w:r>
        <w:t>has the following attributes:</w:t>
      </w:r>
    </w:p>
    <w:p w14:paraId="46ADDFD8" w14:textId="6D9EFC6A" w:rsidR="00DB3FE7" w:rsidRDefault="004A56F0" w:rsidP="00DB3FE7">
      <w:pPr>
        <w:pStyle w:val="UtilComBulletText"/>
        <w:spacing w:line="300" w:lineRule="atLeast"/>
      </w:pPr>
      <w:r>
        <w:t>incident adversely affects customers</w:t>
      </w:r>
      <w:r w:rsidR="00156763">
        <w:t xml:space="preserve"> (financially and/or service provision)</w:t>
      </w:r>
    </w:p>
    <w:p w14:paraId="17713DA2" w14:textId="053216BD" w:rsidR="00DB3FE7" w:rsidRDefault="004A56F0" w:rsidP="00DB3FE7">
      <w:pPr>
        <w:pStyle w:val="UtilComBulletText"/>
        <w:spacing w:line="300" w:lineRule="atLeast"/>
      </w:pPr>
      <w:r>
        <w:t>a significant nu</w:t>
      </w:r>
      <w:r w:rsidR="005C549C">
        <w:t>mber of customers are affected</w:t>
      </w:r>
    </w:p>
    <w:p w14:paraId="6E56335C" w14:textId="16DDB501" w:rsidR="00DB3FE7" w:rsidRDefault="004A56F0" w:rsidP="00DB3FE7">
      <w:pPr>
        <w:pStyle w:val="UtilComBulletText"/>
        <w:spacing w:line="300" w:lineRule="atLeast"/>
      </w:pPr>
      <w:r>
        <w:t>regulated entity’s ability to pro</w:t>
      </w:r>
      <w:r w:rsidR="005C549C">
        <w:t>vide services is compromised</w:t>
      </w:r>
      <w:r>
        <w:t xml:space="preserve"> </w:t>
      </w:r>
    </w:p>
    <w:p w14:paraId="7BFD4382" w14:textId="77777777" w:rsidR="00DB3FE7" w:rsidRDefault="004A56F0" w:rsidP="00DB3FE7">
      <w:pPr>
        <w:pStyle w:val="UtilComBulletText"/>
        <w:spacing w:line="300" w:lineRule="atLeast"/>
      </w:pPr>
      <w:r>
        <w:t>public health and safety is threatened.</w:t>
      </w:r>
      <w:r w:rsidR="00872669">
        <w:rPr>
          <w:rStyle w:val="FootnoteReference"/>
        </w:rPr>
        <w:footnoteReference w:id="3"/>
      </w:r>
    </w:p>
    <w:p w14:paraId="3E13D26E" w14:textId="77777777" w:rsidR="00DB3FE7" w:rsidRDefault="004A56F0" w:rsidP="009648D8">
      <w:pPr>
        <w:pStyle w:val="ListParagraph"/>
        <w:numPr>
          <w:ilvl w:val="1"/>
          <w:numId w:val="30"/>
        </w:numPr>
        <w:spacing w:before="200" w:after="200"/>
        <w:ind w:left="567" w:hanging="567"/>
        <w:contextualSpacing w:val="0"/>
      </w:pPr>
      <w:r>
        <w:t xml:space="preserve">Should a licensee be in doubt as to whether </w:t>
      </w:r>
      <w:r w:rsidR="00705CCC">
        <w:t xml:space="preserve">or not </w:t>
      </w:r>
      <w:r>
        <w:t xml:space="preserve">a breach is material, it would be advisable and prudent to notify the Commission. Licensees must also consider the impact of repeated individual non-material breaches and </w:t>
      </w:r>
      <w:r w:rsidR="003D7D27">
        <w:t>the possibility that</w:t>
      </w:r>
      <w:r>
        <w:t>, in totality, these lead to a material breach.</w:t>
      </w:r>
      <w:r w:rsidR="00872669">
        <w:rPr>
          <w:rStyle w:val="FootnoteReference"/>
        </w:rPr>
        <w:footnoteReference w:id="4"/>
      </w:r>
    </w:p>
    <w:p w14:paraId="197C97B6" w14:textId="1475DB03" w:rsidR="00DB3FE7" w:rsidRDefault="004A56F0" w:rsidP="009648D8">
      <w:pPr>
        <w:pStyle w:val="ListParagraph"/>
        <w:numPr>
          <w:ilvl w:val="1"/>
          <w:numId w:val="30"/>
        </w:numPr>
        <w:spacing w:before="200" w:after="0"/>
        <w:ind w:left="567" w:hanging="567"/>
        <w:contextualSpacing w:val="0"/>
      </w:pPr>
      <w:r>
        <w:t>Where a regulated entity has not been complian</w:t>
      </w:r>
      <w:r w:rsidR="00E84926">
        <w:t>t</w:t>
      </w:r>
      <w:r>
        <w:t>, the Commission expects</w:t>
      </w:r>
      <w:r w:rsidR="00E84926">
        <w:t xml:space="preserve"> a</w:t>
      </w:r>
      <w:r>
        <w:t xml:space="preserve"> breach notification provided to the Commission to contain the following:</w:t>
      </w:r>
    </w:p>
    <w:p w14:paraId="5BD4DB1C" w14:textId="3E50A83C" w:rsidR="00DB3FE7" w:rsidRDefault="004A56F0" w:rsidP="00DB3FE7">
      <w:pPr>
        <w:pStyle w:val="UtilComBulletText"/>
        <w:spacing w:line="300" w:lineRule="atLeast"/>
      </w:pPr>
      <w:r>
        <w:t>brief statement explaining the circumsta</w:t>
      </w:r>
      <w:r w:rsidR="00FF048C">
        <w:t xml:space="preserve">nces and reasons for the </w:t>
      </w:r>
      <w:r w:rsidR="005C549C">
        <w:t>breach</w:t>
      </w:r>
    </w:p>
    <w:p w14:paraId="0FE6B1A4" w14:textId="003ACED3" w:rsidR="00DB3FE7" w:rsidRDefault="004A56F0" w:rsidP="00DB3FE7">
      <w:pPr>
        <w:pStyle w:val="UtilComBulletText"/>
        <w:spacing w:line="300" w:lineRule="atLeast"/>
      </w:pPr>
      <w:r>
        <w:t>brief statement explaining any delay</w:t>
      </w:r>
      <w:r w:rsidR="005C549C">
        <w:t xml:space="preserve"> in reporting the breach</w:t>
      </w:r>
    </w:p>
    <w:p w14:paraId="2039ACB5" w14:textId="570C9D82" w:rsidR="00DB3FE7" w:rsidRDefault="004A56F0" w:rsidP="00DB3FE7">
      <w:pPr>
        <w:pStyle w:val="UtilComBulletText"/>
        <w:spacing w:line="300" w:lineRule="atLeast"/>
      </w:pPr>
      <w:r>
        <w:t>r</w:t>
      </w:r>
      <w:r w:rsidR="005C549C">
        <w:t>elevant regulatory provision(s)</w:t>
      </w:r>
    </w:p>
    <w:p w14:paraId="5FA36435" w14:textId="1D02AABA" w:rsidR="00DB3FE7" w:rsidRDefault="004A56F0" w:rsidP="00DB3FE7">
      <w:pPr>
        <w:pStyle w:val="UtilComBulletText"/>
        <w:spacing w:line="300" w:lineRule="atLeast"/>
      </w:pPr>
      <w:r>
        <w:t>con</w:t>
      </w:r>
      <w:r w:rsidR="005C549C">
        <w:t>sequences of non-compliance</w:t>
      </w:r>
    </w:p>
    <w:p w14:paraId="1A4837E6" w14:textId="77777777" w:rsidR="00DB3FE7" w:rsidRDefault="004A56F0" w:rsidP="00DB3FE7">
      <w:pPr>
        <w:pStyle w:val="UtilComBulletText"/>
        <w:spacing w:line="300" w:lineRule="atLeast"/>
      </w:pPr>
      <w:r>
        <w:t>remedial measures.</w:t>
      </w:r>
      <w:r w:rsidR="00872669">
        <w:rPr>
          <w:rStyle w:val="FootnoteReference"/>
        </w:rPr>
        <w:footnoteReference w:id="5"/>
      </w:r>
    </w:p>
    <w:p w14:paraId="775C9886" w14:textId="5E07E588" w:rsidR="003E6088" w:rsidRDefault="00DE4078" w:rsidP="009648D8">
      <w:pPr>
        <w:pStyle w:val="ListParagraph"/>
        <w:numPr>
          <w:ilvl w:val="1"/>
          <w:numId w:val="30"/>
        </w:numPr>
        <w:spacing w:before="200" w:after="200"/>
        <w:ind w:left="567" w:hanging="567"/>
        <w:contextualSpacing w:val="0"/>
      </w:pPr>
      <w:r>
        <w:lastRenderedPageBreak/>
        <w:t>The licensee’s compliance framework must contain a process for escalating and reporting breaches to executiv</w:t>
      </w:r>
      <w:r w:rsidR="00B92705">
        <w:t>e/senior level management, the B</w:t>
      </w:r>
      <w:r>
        <w:t>oard of the licensee and the Commission.</w:t>
      </w:r>
      <w:r w:rsidR="00872669">
        <w:rPr>
          <w:rStyle w:val="FootnoteReference"/>
        </w:rPr>
        <w:footnoteReference w:id="6"/>
      </w:r>
      <w:r w:rsidR="00B8746C">
        <w:t xml:space="preserve"> </w:t>
      </w:r>
      <w:r w:rsidR="003E6088">
        <w:t>The Chief Executive O</w:t>
      </w:r>
      <w:r w:rsidR="00B92705">
        <w:t>fficer (or equivalent) and the B</w:t>
      </w:r>
      <w:r w:rsidR="003E6088">
        <w:t>oard of the licensee must be made aware of any material breaches without delay and the process for remediation of a breach.</w:t>
      </w:r>
      <w:r w:rsidR="00872669">
        <w:rPr>
          <w:rStyle w:val="FootnoteReference"/>
        </w:rPr>
        <w:footnoteReference w:id="7"/>
      </w:r>
    </w:p>
    <w:p w14:paraId="36544A2F" w14:textId="77777777" w:rsidR="00DE4078" w:rsidRPr="00FE5C00" w:rsidRDefault="00DE4078" w:rsidP="009648D8">
      <w:pPr>
        <w:pStyle w:val="ListParagraph"/>
        <w:numPr>
          <w:ilvl w:val="1"/>
          <w:numId w:val="30"/>
        </w:numPr>
        <w:spacing w:before="200" w:after="200"/>
        <w:ind w:left="567" w:hanging="567"/>
        <w:contextualSpacing w:val="0"/>
      </w:pPr>
      <w:r>
        <w:t xml:space="preserve">The Commission expects regulated entities to establish, implement, and maintain a compliance process or compliance framework that reflects industry best practice </w:t>
      </w:r>
      <w:r>
        <w:br/>
        <w:t>(that is, ISO 19600:2015 Compliance management systems – Guidelines</w:t>
      </w:r>
      <w:r>
        <w:rPr>
          <w:rFonts w:cs="Arial"/>
          <w:szCs w:val="18"/>
        </w:rPr>
        <w:t xml:space="preserve"> or equivalent).</w:t>
      </w:r>
    </w:p>
    <w:p w14:paraId="2FB46E9B" w14:textId="77777777" w:rsidR="00A52B16" w:rsidRPr="009F29A1" w:rsidRDefault="00A52B16" w:rsidP="009F29A1">
      <w:pPr>
        <w:pStyle w:val="UtilComHeading2"/>
        <w:rPr>
          <w:color w:val="31849B" w:themeColor="accent5" w:themeShade="BF"/>
          <w:lang w:eastAsia="en-AU"/>
        </w:rPr>
      </w:pPr>
      <w:bookmarkStart w:id="7" w:name="_Toc310589247"/>
      <w:bookmarkStart w:id="8" w:name="_Toc436218921"/>
      <w:r w:rsidRPr="009F29A1">
        <w:rPr>
          <w:color w:val="31849B" w:themeColor="accent5" w:themeShade="BF"/>
          <w:lang w:eastAsia="en-AU"/>
        </w:rPr>
        <w:t xml:space="preserve">Risk Identification and Risk </w:t>
      </w:r>
      <w:bookmarkEnd w:id="7"/>
      <w:r w:rsidRPr="009F29A1">
        <w:rPr>
          <w:color w:val="31849B" w:themeColor="accent5" w:themeShade="BF"/>
          <w:lang w:eastAsia="en-AU"/>
        </w:rPr>
        <w:t>Assessment</w:t>
      </w:r>
      <w:bookmarkEnd w:id="8"/>
    </w:p>
    <w:p w14:paraId="7B0EC074" w14:textId="3406BECC" w:rsidR="009F29A1" w:rsidRDefault="00A52B16" w:rsidP="009648D8">
      <w:pPr>
        <w:pStyle w:val="ListParagraph"/>
        <w:numPr>
          <w:ilvl w:val="1"/>
          <w:numId w:val="30"/>
        </w:numPr>
        <w:spacing w:before="200" w:after="200"/>
        <w:ind w:left="567" w:hanging="567"/>
        <w:contextualSpacing w:val="0"/>
      </w:pPr>
      <w:r w:rsidRPr="009F29A1">
        <w:rPr>
          <w:rFonts w:cs="Arial"/>
          <w:szCs w:val="18"/>
        </w:rPr>
        <w:t>The Commission considers that the compliance obligations of regulated entities include both relevant compliance requirements</w:t>
      </w:r>
      <w:r w:rsidR="00D916BE" w:rsidRPr="009F29A1">
        <w:rPr>
          <w:rFonts w:cs="Arial"/>
          <w:szCs w:val="18"/>
        </w:rPr>
        <w:t xml:space="preserve">, such as legislation, statutory </w:t>
      </w:r>
      <w:r w:rsidR="00440671">
        <w:rPr>
          <w:rFonts w:cs="Arial"/>
          <w:szCs w:val="18"/>
        </w:rPr>
        <w:t>obligations, codes and licences.</w:t>
      </w:r>
      <w:r w:rsidRPr="009F29A1">
        <w:rPr>
          <w:rFonts w:cs="Arial"/>
          <w:szCs w:val="18"/>
        </w:rPr>
        <w:t xml:space="preserve"> </w:t>
      </w:r>
    </w:p>
    <w:p w14:paraId="69B1D18D" w14:textId="77777777" w:rsidR="00A52B16" w:rsidRDefault="00156763" w:rsidP="009648D8">
      <w:pPr>
        <w:pStyle w:val="ListParagraph"/>
        <w:numPr>
          <w:ilvl w:val="1"/>
          <w:numId w:val="30"/>
        </w:numPr>
        <w:spacing w:before="200" w:after="200"/>
        <w:ind w:left="567" w:hanging="567"/>
        <w:contextualSpacing w:val="0"/>
      </w:pPr>
      <w:r>
        <w:t xml:space="preserve">The register of regulatory compliance obligations </w:t>
      </w:r>
      <w:r w:rsidR="00A52B16">
        <w:t>of the licensee must be sufficiently robust and detailed in identifying the licensee’s compliance obligations from all legislative and licence obligations.</w:t>
      </w:r>
    </w:p>
    <w:p w14:paraId="65C0F912" w14:textId="7501F73C" w:rsidR="00A52B16" w:rsidRPr="006B48A8" w:rsidRDefault="00E84926" w:rsidP="009648D8">
      <w:pPr>
        <w:pStyle w:val="ListParagraph"/>
        <w:numPr>
          <w:ilvl w:val="1"/>
          <w:numId w:val="30"/>
        </w:numPr>
        <w:spacing w:before="200" w:after="200"/>
        <w:ind w:left="567" w:hanging="567"/>
        <w:contextualSpacing w:val="0"/>
        <w:rPr>
          <w:szCs w:val="22"/>
        </w:rPr>
      </w:pPr>
      <w:r>
        <w:t>A</w:t>
      </w:r>
      <w:r w:rsidR="003D7D27">
        <w:t xml:space="preserve"> </w:t>
      </w:r>
      <w:r w:rsidR="00A52B16" w:rsidRPr="00F6339A">
        <w:t xml:space="preserve">licensee should have processes in place to identify new and changed laws, </w:t>
      </w:r>
      <w:r w:rsidR="00A52B16" w:rsidRPr="00A52B16">
        <w:rPr>
          <w:szCs w:val="22"/>
        </w:rPr>
        <w:t>regulations, codes and other compliance obligations to ensure ongoing compliance.</w:t>
      </w:r>
      <w:r w:rsidR="00A52B16">
        <w:t xml:space="preserve"> Licensees should have in place processes to</w:t>
      </w:r>
      <w:r w:rsidR="00A52B16" w:rsidRPr="00F6339A">
        <w:t xml:space="preserve"> evaluate the impact of the identified changes and implement any changes in the management of the compliance obligations</w:t>
      </w:r>
      <w:r w:rsidR="00A52B16" w:rsidRPr="00F6339A">
        <w:rPr>
          <w:rFonts w:ascii="Cambria" w:hAnsi="Cambria" w:cs="Cambria"/>
          <w:szCs w:val="22"/>
          <w:lang w:val="en-AU" w:eastAsia="en-AU"/>
        </w:rPr>
        <w:t>.</w:t>
      </w:r>
      <w:r w:rsidR="00A52B16" w:rsidRPr="007E25FF">
        <w:rPr>
          <w:rStyle w:val="FootnoteReference"/>
          <w:rFonts w:cs="Arial"/>
          <w:szCs w:val="22"/>
        </w:rPr>
        <w:footnoteReference w:id="8"/>
      </w:r>
    </w:p>
    <w:bookmarkEnd w:id="6"/>
    <w:p w14:paraId="04994A57" w14:textId="25059DA5" w:rsidR="00E36F46" w:rsidRPr="009F29A1" w:rsidRDefault="00E36F46" w:rsidP="009F29A1">
      <w:pPr>
        <w:pStyle w:val="UtilComHeading2"/>
        <w:rPr>
          <w:color w:val="31849B" w:themeColor="accent5" w:themeShade="BF"/>
          <w:lang w:eastAsia="en-AU"/>
        </w:rPr>
      </w:pPr>
      <w:r w:rsidRPr="009F29A1">
        <w:rPr>
          <w:color w:val="31849B" w:themeColor="accent5" w:themeShade="BF"/>
          <w:lang w:eastAsia="en-AU"/>
        </w:rPr>
        <w:t>Compliance Reports</w:t>
      </w:r>
    </w:p>
    <w:p w14:paraId="703ECC86" w14:textId="3B3138A9" w:rsidR="00E36F46" w:rsidRDefault="009F48BC" w:rsidP="009648D8">
      <w:pPr>
        <w:pStyle w:val="ListParagraph"/>
        <w:numPr>
          <w:ilvl w:val="1"/>
          <w:numId w:val="30"/>
        </w:numPr>
        <w:spacing w:before="200" w:after="200"/>
        <w:ind w:left="567" w:hanging="567"/>
        <w:contextualSpacing w:val="0"/>
      </w:pPr>
      <w:r>
        <w:t>For 2017</w:t>
      </w:r>
      <w:r w:rsidR="00E36F46">
        <w:t>-1</w:t>
      </w:r>
      <w:r>
        <w:t>8</w:t>
      </w:r>
      <w:r w:rsidR="00E36F46">
        <w:t xml:space="preserve">, the </w:t>
      </w:r>
      <w:r w:rsidR="00E36F46" w:rsidRPr="00E36F46">
        <w:t xml:space="preserve">Commission </w:t>
      </w:r>
      <w:r w:rsidR="00440671">
        <w:t>received</w:t>
      </w:r>
      <w:r w:rsidR="00E36F46" w:rsidRPr="00E36F46">
        <w:t xml:space="preserve"> Compliance Report</w:t>
      </w:r>
      <w:r w:rsidR="00552E9B">
        <w:t>s,</w:t>
      </w:r>
      <w:r w:rsidR="00B92705">
        <w:t xml:space="preserve"> with a declaration by its B</w:t>
      </w:r>
      <w:r w:rsidR="00E36F46" w:rsidRPr="00E36F46">
        <w:t>oard</w:t>
      </w:r>
      <w:r w:rsidR="00552E9B">
        <w:t xml:space="preserve"> (or alternative)</w:t>
      </w:r>
      <w:r w:rsidR="00E36F46" w:rsidRPr="00E36F46">
        <w:t xml:space="preserve"> in </w:t>
      </w:r>
      <w:r w:rsidR="009C4138">
        <w:t>respect to</w:t>
      </w:r>
      <w:r w:rsidR="00E36F46" w:rsidRPr="00E36F46">
        <w:t xml:space="preserve"> the following</w:t>
      </w:r>
      <w:r w:rsidR="00552E9B">
        <w:t xml:space="preserve"> titles and</w:t>
      </w:r>
      <w:r w:rsidR="00E36F46" w:rsidRPr="00E36F46">
        <w:t xml:space="preserve"> licences.</w:t>
      </w:r>
    </w:p>
    <w:p w14:paraId="6051740A" w14:textId="60B410CD" w:rsidR="00A702AF" w:rsidRPr="007E764E" w:rsidRDefault="00A702AF" w:rsidP="00265E01">
      <w:pPr>
        <w:ind w:left="567"/>
        <w:rPr>
          <w:b/>
          <w:sz w:val="16"/>
          <w:szCs w:val="16"/>
        </w:rPr>
      </w:pPr>
      <w:bookmarkStart w:id="9" w:name="_Toc442328914"/>
      <w:r w:rsidRPr="007E764E">
        <w:rPr>
          <w:b/>
          <w:sz w:val="16"/>
          <w:szCs w:val="16"/>
        </w:rPr>
        <w:t>Table 1.1</w:t>
      </w:r>
    </w:p>
    <w:tbl>
      <w:tblPr>
        <w:tblW w:w="4637" w:type="pct"/>
        <w:tblInd w:w="6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56"/>
        <w:gridCol w:w="3148"/>
      </w:tblGrid>
      <w:tr w:rsidR="00A702AF" w:rsidRPr="00CD0BDF" w14:paraId="33154B0F" w14:textId="77777777" w:rsidTr="003C3AF0">
        <w:trPr>
          <w:trHeight w:val="360"/>
        </w:trPr>
        <w:tc>
          <w:tcPr>
            <w:tcW w:w="3127" w:type="pct"/>
            <w:tcBorders>
              <w:top w:val="single" w:sz="4" w:space="0" w:color="auto"/>
              <w:bottom w:val="single" w:sz="4" w:space="0" w:color="auto"/>
              <w:right w:val="single" w:sz="4" w:space="0" w:color="auto"/>
            </w:tcBorders>
            <w:vAlign w:val="center"/>
          </w:tcPr>
          <w:p w14:paraId="2FDD8E7B" w14:textId="77777777" w:rsidR="00A702AF" w:rsidRPr="002F053A" w:rsidRDefault="00A702AF" w:rsidP="00CB4DE9">
            <w:pPr>
              <w:pStyle w:val="UtilComTableColumnHeading"/>
              <w:spacing w:line="240" w:lineRule="auto"/>
            </w:pPr>
            <w:r>
              <w:t>Licensee</w:t>
            </w:r>
          </w:p>
        </w:tc>
        <w:tc>
          <w:tcPr>
            <w:tcW w:w="1873" w:type="pct"/>
            <w:tcBorders>
              <w:top w:val="single" w:sz="4" w:space="0" w:color="auto"/>
              <w:left w:val="single" w:sz="4" w:space="0" w:color="auto"/>
              <w:bottom w:val="single" w:sz="4" w:space="0" w:color="auto"/>
            </w:tcBorders>
            <w:vAlign w:val="center"/>
          </w:tcPr>
          <w:p w14:paraId="61AFDF45" w14:textId="77777777" w:rsidR="00A702AF" w:rsidRPr="002F053A" w:rsidRDefault="00A702AF" w:rsidP="00F9446E">
            <w:pPr>
              <w:pStyle w:val="UtilComTableColumnHeading"/>
              <w:spacing w:line="240" w:lineRule="auto"/>
            </w:pPr>
            <w:r>
              <w:t>Licence Held</w:t>
            </w:r>
          </w:p>
        </w:tc>
      </w:tr>
      <w:tr w:rsidR="00AA690F" w:rsidRPr="00CD0BDF" w14:paraId="6C6E1B4B" w14:textId="77777777" w:rsidTr="003C3AF0">
        <w:trPr>
          <w:trHeight w:val="360"/>
        </w:trPr>
        <w:tc>
          <w:tcPr>
            <w:tcW w:w="3127" w:type="pct"/>
            <w:tcBorders>
              <w:top w:val="single" w:sz="4" w:space="0" w:color="auto"/>
              <w:bottom w:val="single" w:sz="4" w:space="0" w:color="BFBFBF" w:themeColor="background1" w:themeShade="BF"/>
              <w:right w:val="single" w:sz="4" w:space="0" w:color="auto"/>
            </w:tcBorders>
          </w:tcPr>
          <w:p w14:paraId="6C2027C1" w14:textId="29ED59AA" w:rsidR="00AA690F" w:rsidRDefault="00FC07B1" w:rsidP="00E52510">
            <w:pPr>
              <w:pStyle w:val="UtilComTabletext"/>
              <w:spacing w:line="240" w:lineRule="auto"/>
            </w:pPr>
            <w:r>
              <w:t>EDL NGD (NT) Pty Ltd</w:t>
            </w:r>
          </w:p>
        </w:tc>
        <w:tc>
          <w:tcPr>
            <w:tcW w:w="1873" w:type="pct"/>
            <w:tcBorders>
              <w:top w:val="single" w:sz="4" w:space="0" w:color="auto"/>
              <w:left w:val="single" w:sz="4" w:space="0" w:color="auto"/>
              <w:bottom w:val="single" w:sz="4" w:space="0" w:color="BFBFBF" w:themeColor="background1" w:themeShade="BF"/>
            </w:tcBorders>
            <w:tcMar>
              <w:right w:w="567" w:type="dxa"/>
            </w:tcMar>
          </w:tcPr>
          <w:p w14:paraId="28A210E0" w14:textId="4F752522" w:rsidR="00AA690F" w:rsidRDefault="00FC07B1" w:rsidP="00E52510">
            <w:pPr>
              <w:pStyle w:val="UtilComTableNumbers"/>
              <w:spacing w:line="240" w:lineRule="auto"/>
              <w:ind w:right="-458"/>
              <w:jc w:val="left"/>
            </w:pPr>
            <w:r>
              <w:t xml:space="preserve">Generation, </w:t>
            </w:r>
            <w:r w:rsidR="00AA690F">
              <w:t>Retail</w:t>
            </w:r>
          </w:p>
        </w:tc>
      </w:tr>
      <w:tr w:rsidR="00A702AF" w:rsidRPr="00CD0BDF" w14:paraId="09794DCA" w14:textId="77777777" w:rsidTr="003C3AF0">
        <w:trPr>
          <w:trHeight w:val="360"/>
        </w:trPr>
        <w:tc>
          <w:tcPr>
            <w:tcW w:w="3127" w:type="pct"/>
            <w:tcBorders>
              <w:top w:val="single" w:sz="4" w:space="0" w:color="BFBFBF" w:themeColor="background1" w:themeShade="BF"/>
              <w:bottom w:val="single" w:sz="4" w:space="0" w:color="BFBFBF" w:themeColor="background1" w:themeShade="BF"/>
              <w:right w:val="single" w:sz="4" w:space="0" w:color="auto"/>
            </w:tcBorders>
          </w:tcPr>
          <w:p w14:paraId="52ED54FE" w14:textId="1195A84D" w:rsidR="00A702AF" w:rsidRDefault="00FC07B1" w:rsidP="00AA690F">
            <w:pPr>
              <w:pStyle w:val="UtilComTabletext"/>
              <w:spacing w:line="240" w:lineRule="auto"/>
            </w:pPr>
            <w:r>
              <w:t>ERM Power Retail Pty Ltd</w:t>
            </w:r>
          </w:p>
        </w:tc>
        <w:tc>
          <w:tcPr>
            <w:tcW w:w="1873" w:type="pct"/>
            <w:tcBorders>
              <w:top w:val="single" w:sz="4" w:space="0" w:color="BFBFBF" w:themeColor="background1" w:themeShade="BF"/>
              <w:left w:val="single" w:sz="4" w:space="0" w:color="auto"/>
              <w:bottom w:val="single" w:sz="4" w:space="0" w:color="BFBFBF" w:themeColor="background1" w:themeShade="BF"/>
            </w:tcBorders>
            <w:tcMar>
              <w:right w:w="567" w:type="dxa"/>
            </w:tcMar>
          </w:tcPr>
          <w:p w14:paraId="75E2663E" w14:textId="2EBACDC7" w:rsidR="00A702AF" w:rsidRDefault="00A702AF" w:rsidP="00F9446E">
            <w:pPr>
              <w:pStyle w:val="UtilComTableNumbers"/>
              <w:spacing w:line="240" w:lineRule="auto"/>
              <w:ind w:right="-458"/>
              <w:jc w:val="left"/>
            </w:pPr>
            <w:r>
              <w:t>Retail</w:t>
            </w:r>
          </w:p>
        </w:tc>
      </w:tr>
      <w:tr w:rsidR="003C3AF0" w:rsidRPr="00CD0BDF" w14:paraId="047701E4" w14:textId="77777777" w:rsidTr="003C3AF0">
        <w:trPr>
          <w:trHeight w:val="360"/>
        </w:trPr>
        <w:tc>
          <w:tcPr>
            <w:tcW w:w="3127" w:type="pct"/>
            <w:tcBorders>
              <w:top w:val="single" w:sz="4" w:space="0" w:color="BFBFBF" w:themeColor="background1" w:themeShade="BF"/>
              <w:bottom w:val="single" w:sz="4" w:space="0" w:color="BFBFBF" w:themeColor="background1" w:themeShade="BF"/>
              <w:right w:val="single" w:sz="4" w:space="0" w:color="auto"/>
            </w:tcBorders>
          </w:tcPr>
          <w:p w14:paraId="6EBCBFD9" w14:textId="175140CD" w:rsidR="003C3AF0" w:rsidRDefault="003C3AF0" w:rsidP="00E52510">
            <w:pPr>
              <w:pStyle w:val="UtilComTabletext"/>
              <w:spacing w:line="240" w:lineRule="auto"/>
            </w:pPr>
            <w:r>
              <w:t>Jacana Energy (Power Retail Corporation trading as Jacana Energy)</w:t>
            </w:r>
          </w:p>
        </w:tc>
        <w:tc>
          <w:tcPr>
            <w:tcW w:w="1873" w:type="pct"/>
            <w:tcBorders>
              <w:top w:val="single" w:sz="4" w:space="0" w:color="BFBFBF" w:themeColor="background1" w:themeShade="BF"/>
              <w:left w:val="single" w:sz="4" w:space="0" w:color="auto"/>
              <w:bottom w:val="single" w:sz="4" w:space="0" w:color="BFBFBF" w:themeColor="background1" w:themeShade="BF"/>
            </w:tcBorders>
            <w:tcMar>
              <w:right w:w="567" w:type="dxa"/>
            </w:tcMar>
          </w:tcPr>
          <w:p w14:paraId="5A18CCD6" w14:textId="77777777" w:rsidR="003C3AF0" w:rsidRDefault="003C3AF0" w:rsidP="00E52510">
            <w:pPr>
              <w:pStyle w:val="UtilComTableNumbers"/>
              <w:spacing w:line="240" w:lineRule="auto"/>
              <w:ind w:right="-458"/>
              <w:jc w:val="left"/>
            </w:pPr>
            <w:r>
              <w:t>Retail</w:t>
            </w:r>
          </w:p>
        </w:tc>
      </w:tr>
      <w:tr w:rsidR="00A702AF" w:rsidRPr="00CD0BDF" w14:paraId="38EBF385" w14:textId="77777777" w:rsidTr="003C3AF0">
        <w:trPr>
          <w:trHeight w:val="360"/>
        </w:trPr>
        <w:tc>
          <w:tcPr>
            <w:tcW w:w="3127" w:type="pct"/>
            <w:tcBorders>
              <w:top w:val="single" w:sz="4" w:space="0" w:color="BFBFBF" w:themeColor="background1" w:themeShade="BF"/>
              <w:bottom w:val="single" w:sz="4" w:space="0" w:color="BFBFBF" w:themeColor="background1" w:themeShade="BF"/>
              <w:right w:val="single" w:sz="4" w:space="0" w:color="auto"/>
            </w:tcBorders>
          </w:tcPr>
          <w:p w14:paraId="0DA9FC34" w14:textId="77777777" w:rsidR="00A702AF" w:rsidRPr="002F053A" w:rsidRDefault="00A702AF" w:rsidP="00032E00">
            <w:pPr>
              <w:pStyle w:val="UtilComTabletext"/>
              <w:spacing w:line="240" w:lineRule="auto"/>
            </w:pPr>
            <w:r>
              <w:t>Power and Water Corporation</w:t>
            </w:r>
          </w:p>
        </w:tc>
        <w:tc>
          <w:tcPr>
            <w:tcW w:w="1873" w:type="pct"/>
            <w:tcBorders>
              <w:top w:val="single" w:sz="4" w:space="0" w:color="BFBFBF" w:themeColor="background1" w:themeShade="BF"/>
              <w:left w:val="single" w:sz="4" w:space="0" w:color="auto"/>
              <w:bottom w:val="single" w:sz="4" w:space="0" w:color="BFBFBF" w:themeColor="background1" w:themeShade="BF"/>
            </w:tcBorders>
            <w:tcMar>
              <w:right w:w="567" w:type="dxa"/>
            </w:tcMar>
          </w:tcPr>
          <w:p w14:paraId="4D3D04BF" w14:textId="44962831" w:rsidR="00A702AF" w:rsidRPr="002D5729" w:rsidRDefault="00A702AF" w:rsidP="00F9446E">
            <w:pPr>
              <w:pStyle w:val="UtilComTableNumbers"/>
              <w:spacing w:line="240" w:lineRule="auto"/>
              <w:ind w:right="-458"/>
              <w:jc w:val="left"/>
            </w:pPr>
            <w:r>
              <w:t>Network, System Control, Generation, Retail, Water Supply Services, Sewerage Supply Service</w:t>
            </w:r>
            <w:r w:rsidR="00520DD3">
              <w:t>s</w:t>
            </w:r>
            <w:r>
              <w:t xml:space="preserve"> </w:t>
            </w:r>
          </w:p>
        </w:tc>
      </w:tr>
      <w:tr w:rsidR="00A702AF" w:rsidRPr="00CD0BDF" w14:paraId="5948B1EE" w14:textId="77777777" w:rsidTr="003C3AF0">
        <w:trPr>
          <w:trHeight w:val="360"/>
        </w:trPr>
        <w:tc>
          <w:tcPr>
            <w:tcW w:w="3127" w:type="pct"/>
            <w:tcBorders>
              <w:top w:val="single" w:sz="4" w:space="0" w:color="BFBFBF" w:themeColor="background1" w:themeShade="BF"/>
              <w:bottom w:val="single" w:sz="4" w:space="0" w:color="BFBFBF" w:themeColor="background1" w:themeShade="BF"/>
              <w:right w:val="single" w:sz="4" w:space="0" w:color="auto"/>
            </w:tcBorders>
          </w:tcPr>
          <w:p w14:paraId="5BA446B4" w14:textId="77777777" w:rsidR="00A702AF" w:rsidRDefault="00A702AF" w:rsidP="00032E00">
            <w:pPr>
              <w:pStyle w:val="UtilComTabletext"/>
              <w:spacing w:line="240" w:lineRule="auto"/>
            </w:pPr>
            <w:r>
              <w:t>QEnergy Limited</w:t>
            </w:r>
          </w:p>
        </w:tc>
        <w:tc>
          <w:tcPr>
            <w:tcW w:w="1873" w:type="pct"/>
            <w:tcBorders>
              <w:top w:val="single" w:sz="4" w:space="0" w:color="BFBFBF" w:themeColor="background1" w:themeShade="BF"/>
              <w:left w:val="single" w:sz="4" w:space="0" w:color="auto"/>
              <w:bottom w:val="single" w:sz="4" w:space="0" w:color="BFBFBF" w:themeColor="background1" w:themeShade="BF"/>
            </w:tcBorders>
            <w:tcMar>
              <w:right w:w="567" w:type="dxa"/>
            </w:tcMar>
          </w:tcPr>
          <w:p w14:paraId="48394CEB" w14:textId="77777777" w:rsidR="00A702AF" w:rsidRDefault="00A702AF" w:rsidP="00F9446E">
            <w:pPr>
              <w:pStyle w:val="UtilComTableNumbers"/>
              <w:spacing w:line="240" w:lineRule="auto"/>
              <w:ind w:right="-458"/>
              <w:jc w:val="left"/>
            </w:pPr>
            <w:r>
              <w:t>Retail</w:t>
            </w:r>
          </w:p>
        </w:tc>
      </w:tr>
      <w:tr w:rsidR="00A702AF" w:rsidRPr="00CD0BDF" w14:paraId="77348A6D" w14:textId="77777777" w:rsidTr="003C3AF0">
        <w:trPr>
          <w:trHeight w:val="360"/>
        </w:trPr>
        <w:tc>
          <w:tcPr>
            <w:tcW w:w="3127" w:type="pct"/>
            <w:tcBorders>
              <w:top w:val="single" w:sz="4" w:space="0" w:color="BFBFBF" w:themeColor="background1" w:themeShade="BF"/>
              <w:bottom w:val="single" w:sz="4" w:space="0" w:color="BFBFBF" w:themeColor="background1" w:themeShade="BF"/>
              <w:right w:val="single" w:sz="4" w:space="0" w:color="auto"/>
            </w:tcBorders>
          </w:tcPr>
          <w:p w14:paraId="54DEDA24" w14:textId="77777777" w:rsidR="00A702AF" w:rsidRDefault="00A702AF" w:rsidP="00032E00">
            <w:pPr>
              <w:pStyle w:val="UtilComTabletext"/>
              <w:spacing w:line="240" w:lineRule="auto"/>
            </w:pPr>
            <w:r>
              <w:t>Rimfire Energy Pty Ltd</w:t>
            </w:r>
          </w:p>
        </w:tc>
        <w:tc>
          <w:tcPr>
            <w:tcW w:w="1873" w:type="pct"/>
            <w:tcBorders>
              <w:top w:val="single" w:sz="4" w:space="0" w:color="BFBFBF" w:themeColor="background1" w:themeShade="BF"/>
              <w:left w:val="single" w:sz="4" w:space="0" w:color="auto"/>
              <w:bottom w:val="single" w:sz="4" w:space="0" w:color="BFBFBF" w:themeColor="background1" w:themeShade="BF"/>
            </w:tcBorders>
            <w:tcMar>
              <w:right w:w="567" w:type="dxa"/>
            </w:tcMar>
          </w:tcPr>
          <w:p w14:paraId="04637963" w14:textId="77777777" w:rsidR="00A702AF" w:rsidRDefault="00A702AF" w:rsidP="00F9446E">
            <w:pPr>
              <w:pStyle w:val="UtilComTableNumbers"/>
              <w:spacing w:line="240" w:lineRule="auto"/>
              <w:ind w:right="-458"/>
              <w:jc w:val="left"/>
            </w:pPr>
            <w:r>
              <w:t>Retail</w:t>
            </w:r>
          </w:p>
        </w:tc>
      </w:tr>
      <w:tr w:rsidR="003C3AF0" w:rsidRPr="00CD0BDF" w14:paraId="1B9886C7" w14:textId="77777777" w:rsidTr="003C3AF0">
        <w:trPr>
          <w:trHeight w:val="360"/>
        </w:trPr>
        <w:tc>
          <w:tcPr>
            <w:tcW w:w="3127" w:type="pct"/>
            <w:tcBorders>
              <w:top w:val="single" w:sz="4" w:space="0" w:color="BFBFBF" w:themeColor="background1" w:themeShade="BF"/>
              <w:bottom w:val="single" w:sz="4" w:space="0" w:color="auto"/>
              <w:right w:val="single" w:sz="4" w:space="0" w:color="auto"/>
            </w:tcBorders>
          </w:tcPr>
          <w:p w14:paraId="13A3CC4D" w14:textId="70312C50" w:rsidR="003C3AF0" w:rsidRDefault="003C3AF0" w:rsidP="00E52510">
            <w:pPr>
              <w:pStyle w:val="UtilComTabletext"/>
              <w:spacing w:line="240" w:lineRule="auto"/>
            </w:pPr>
            <w:r>
              <w:t xml:space="preserve">Territory Generation (Power Generation Corporation trading as Territory Generation) </w:t>
            </w:r>
          </w:p>
        </w:tc>
        <w:tc>
          <w:tcPr>
            <w:tcW w:w="1873" w:type="pct"/>
            <w:tcBorders>
              <w:top w:val="single" w:sz="4" w:space="0" w:color="BFBFBF" w:themeColor="background1" w:themeShade="BF"/>
              <w:left w:val="single" w:sz="4" w:space="0" w:color="auto"/>
              <w:bottom w:val="single" w:sz="4" w:space="0" w:color="auto"/>
            </w:tcBorders>
            <w:tcMar>
              <w:right w:w="567" w:type="dxa"/>
            </w:tcMar>
          </w:tcPr>
          <w:p w14:paraId="0DE1697D" w14:textId="77777777" w:rsidR="003C3AF0" w:rsidRDefault="003C3AF0" w:rsidP="00E52510">
            <w:pPr>
              <w:pStyle w:val="UtilComTableNumbers"/>
              <w:spacing w:line="240" w:lineRule="auto"/>
              <w:ind w:right="-458"/>
              <w:jc w:val="left"/>
            </w:pPr>
            <w:r>
              <w:t>Generation</w:t>
            </w:r>
          </w:p>
        </w:tc>
      </w:tr>
    </w:tbl>
    <w:p w14:paraId="39BF5ED2" w14:textId="77777777" w:rsidR="009F29A1" w:rsidRDefault="009F29A1" w:rsidP="009F29A1">
      <w:pPr>
        <w:pStyle w:val="ListParagraph"/>
        <w:spacing w:before="0" w:after="0" w:line="240" w:lineRule="auto"/>
        <w:ind w:left="567"/>
        <w:contextualSpacing w:val="0"/>
      </w:pPr>
    </w:p>
    <w:p w14:paraId="32CEB655" w14:textId="77777777" w:rsidR="00DB3FE7" w:rsidRDefault="0051247F" w:rsidP="00AA690F">
      <w:pPr>
        <w:pStyle w:val="NumberLevel1"/>
        <w:pageBreakBefore/>
        <w:tabs>
          <w:tab w:val="num" w:pos="2559"/>
        </w:tabs>
        <w:spacing w:before="500"/>
        <w:ind w:left="431" w:hanging="431"/>
      </w:pPr>
      <w:bookmarkStart w:id="10" w:name="_Toc442328915"/>
      <w:bookmarkEnd w:id="9"/>
      <w:r>
        <w:lastRenderedPageBreak/>
        <w:t>CHAPTER 2</w:t>
      </w:r>
    </w:p>
    <w:p w14:paraId="3F35AA27" w14:textId="66724ECC" w:rsidR="009B548B" w:rsidRPr="003E3A6B" w:rsidRDefault="0051247F" w:rsidP="002358BB">
      <w:pPr>
        <w:pStyle w:val="UtilComHeading2"/>
        <w:rPr>
          <w:color w:val="31849B" w:themeColor="accent5" w:themeShade="BF"/>
          <w:lang w:eastAsia="en-AU"/>
        </w:rPr>
      </w:pPr>
      <w:r w:rsidRPr="003E3A6B">
        <w:rPr>
          <w:color w:val="31849B" w:themeColor="accent5" w:themeShade="BF"/>
          <w:lang w:eastAsia="en-AU"/>
        </w:rPr>
        <w:t>Breaches Reported 201</w:t>
      </w:r>
      <w:r w:rsidR="009F48BC">
        <w:rPr>
          <w:color w:val="31849B" w:themeColor="accent5" w:themeShade="BF"/>
          <w:lang w:eastAsia="en-AU"/>
        </w:rPr>
        <w:t>7</w:t>
      </w:r>
      <w:r w:rsidR="00E668DD">
        <w:rPr>
          <w:color w:val="31849B" w:themeColor="accent5" w:themeShade="BF"/>
          <w:lang w:eastAsia="en-AU"/>
        </w:rPr>
        <w:t>-1</w:t>
      </w:r>
      <w:r w:rsidR="009F48BC">
        <w:rPr>
          <w:color w:val="31849B" w:themeColor="accent5" w:themeShade="BF"/>
          <w:lang w:eastAsia="en-AU"/>
        </w:rPr>
        <w:t>8</w:t>
      </w:r>
    </w:p>
    <w:p w14:paraId="4DEAF6C2" w14:textId="77D44973" w:rsidR="0097319D" w:rsidRPr="00583D4F" w:rsidRDefault="0097319D" w:rsidP="00991851">
      <w:pPr>
        <w:pStyle w:val="ListParagraph"/>
        <w:numPr>
          <w:ilvl w:val="0"/>
          <w:numId w:val="13"/>
        </w:numPr>
        <w:spacing w:before="200" w:after="200"/>
        <w:ind w:left="709" w:hanging="720"/>
        <w:contextualSpacing w:val="0"/>
      </w:pPr>
      <w:bookmarkStart w:id="11" w:name="_Toc442328916"/>
      <w:bookmarkEnd w:id="10"/>
      <w:r>
        <w:t>Where breaches have been reported</w:t>
      </w:r>
      <w:r w:rsidR="0051247F">
        <w:t>,</w:t>
      </w:r>
      <w:r>
        <w:t xml:space="preserve"> the Commission provides comment on whether</w:t>
      </w:r>
      <w:r w:rsidR="003D7D27">
        <w:t xml:space="preserve"> or not</w:t>
      </w:r>
      <w:r>
        <w:t xml:space="preserve"> it considers the breaches to be material</w:t>
      </w:r>
      <w:r w:rsidR="00032E00">
        <w:t>,</w:t>
      </w:r>
      <w:r>
        <w:t xml:space="preserve"> the Commission’s overall assessment of the licensee’s compliance and any mitigating factors.</w:t>
      </w:r>
      <w:bookmarkEnd w:id="11"/>
    </w:p>
    <w:p w14:paraId="4A09569B" w14:textId="01C3C5C9" w:rsidR="0097319D" w:rsidRDefault="0097319D" w:rsidP="00991851">
      <w:pPr>
        <w:pStyle w:val="ListParagraph"/>
        <w:numPr>
          <w:ilvl w:val="0"/>
          <w:numId w:val="13"/>
        </w:numPr>
        <w:spacing w:before="200" w:after="200"/>
        <w:ind w:left="709" w:hanging="720"/>
        <w:contextualSpacing w:val="0"/>
      </w:pPr>
      <w:bookmarkStart w:id="12" w:name="_Toc442328917"/>
      <w:r>
        <w:t xml:space="preserve">In assessing whether breaches are material, the Commission also considers the licensee’s remedial actions, factors behind each breach, level of cooperation and initiative in being forthcoming and open to reporting breaches, and the </w:t>
      </w:r>
      <w:r w:rsidR="00B87099">
        <w:t>licensee’s self</w:t>
      </w:r>
      <w:r w:rsidR="000A44CC">
        <w:noBreakHyphen/>
      </w:r>
      <w:r>
        <w:t>assessment</w:t>
      </w:r>
      <w:r w:rsidR="00FF048C">
        <w:t> </w:t>
      </w:r>
      <w:r>
        <w:t>of the materiality of the breach.</w:t>
      </w:r>
      <w:bookmarkEnd w:id="12"/>
    </w:p>
    <w:p w14:paraId="5192C8C9" w14:textId="77777777" w:rsidR="00FF048C" w:rsidRDefault="00FF048C" w:rsidP="00FF048C">
      <w:pPr>
        <w:pStyle w:val="UtilComHeading3"/>
      </w:pPr>
      <w:r>
        <w:t>EDL NGD (NT) Pty Ltd</w:t>
      </w:r>
    </w:p>
    <w:p w14:paraId="072DB7DE" w14:textId="33ADEF4E" w:rsidR="00FF048C" w:rsidRPr="00F769DB" w:rsidRDefault="00FF048C" w:rsidP="00CC08ED">
      <w:pPr>
        <w:pStyle w:val="ListParagraph"/>
        <w:numPr>
          <w:ilvl w:val="0"/>
          <w:numId w:val="13"/>
        </w:numPr>
        <w:spacing w:before="200" w:after="200"/>
        <w:ind w:left="709" w:hanging="720"/>
        <w:contextualSpacing w:val="0"/>
      </w:pPr>
      <w:r>
        <w:t>No breaches were reported by E</w:t>
      </w:r>
      <w:r w:rsidR="009F48BC">
        <w:t>DL NGD (NT) Pty Ltd for the 2017-18</w:t>
      </w:r>
      <w:r>
        <w:t xml:space="preserve"> financial year. </w:t>
      </w:r>
    </w:p>
    <w:p w14:paraId="13B8F4F4" w14:textId="77777777" w:rsidR="00AA690F" w:rsidRDefault="00AA690F" w:rsidP="00AA690F">
      <w:pPr>
        <w:pStyle w:val="UtilComHeading3"/>
      </w:pPr>
      <w:r>
        <w:t>ERM Power Retail Pty Ltd</w:t>
      </w:r>
    </w:p>
    <w:p w14:paraId="3999E20C" w14:textId="4AB45F2D" w:rsidR="00AA690F" w:rsidRPr="00F769DB" w:rsidRDefault="00AA690F" w:rsidP="00AA690F">
      <w:pPr>
        <w:pStyle w:val="ListParagraph"/>
        <w:numPr>
          <w:ilvl w:val="0"/>
          <w:numId w:val="13"/>
        </w:numPr>
        <w:spacing w:before="200" w:after="200"/>
        <w:ind w:left="709" w:hanging="720"/>
        <w:contextualSpacing w:val="0"/>
      </w:pPr>
      <w:r>
        <w:t xml:space="preserve">No breaches were reported by ERM Power Retail Pty Ltd for the </w:t>
      </w:r>
      <w:r w:rsidR="009F48BC">
        <w:t xml:space="preserve">2017-18 </w:t>
      </w:r>
      <w:r>
        <w:t xml:space="preserve">financial year. </w:t>
      </w:r>
    </w:p>
    <w:p w14:paraId="187A8A58" w14:textId="77777777" w:rsidR="00387EFD" w:rsidRPr="0060711E" w:rsidRDefault="00387EFD" w:rsidP="00387EFD">
      <w:pPr>
        <w:pStyle w:val="UtilComHeading3"/>
      </w:pPr>
      <w:r w:rsidRPr="0060711E">
        <w:t>Jac</w:t>
      </w:r>
      <w:r w:rsidRPr="0060711E">
        <w:rPr>
          <w:b w:val="0"/>
        </w:rPr>
        <w:t>a</w:t>
      </w:r>
      <w:r w:rsidRPr="0060711E">
        <w:t>na Energy</w:t>
      </w:r>
    </w:p>
    <w:p w14:paraId="087BA2F8" w14:textId="1DCBB9AF" w:rsidR="001366C3" w:rsidRPr="0060711E" w:rsidRDefault="00CC08ED" w:rsidP="00991851">
      <w:pPr>
        <w:pStyle w:val="ListParagraph"/>
        <w:numPr>
          <w:ilvl w:val="0"/>
          <w:numId w:val="13"/>
        </w:numPr>
        <w:spacing w:before="200" w:after="200"/>
        <w:ind w:left="709" w:hanging="720"/>
        <w:contextualSpacing w:val="0"/>
      </w:pPr>
      <w:r w:rsidRPr="0060711E">
        <w:t xml:space="preserve">Jacana Energy reported </w:t>
      </w:r>
      <w:r w:rsidR="009A7CB0">
        <w:t>two</w:t>
      </w:r>
      <w:r w:rsidRPr="0060711E">
        <w:t xml:space="preserve"> breaches</w:t>
      </w:r>
      <w:r w:rsidR="009A7CB0">
        <w:t xml:space="preserve"> to its retail licence and one breach to the System Control Technical Code</w:t>
      </w:r>
      <w:r w:rsidR="006F3C33">
        <w:t xml:space="preserve"> (SCTC)</w:t>
      </w:r>
      <w:r w:rsidR="009A7CB0">
        <w:t>. Further, Jacana advised of two compliance issues for noting</w:t>
      </w:r>
      <w:r w:rsidRPr="0060711E">
        <w:t>.</w:t>
      </w:r>
    </w:p>
    <w:p w14:paraId="3E2AFB03" w14:textId="6B418F6E" w:rsidR="001366C3" w:rsidRDefault="009A7CB0" w:rsidP="001366C3">
      <w:pPr>
        <w:pStyle w:val="ListParagraph"/>
        <w:numPr>
          <w:ilvl w:val="0"/>
          <w:numId w:val="13"/>
        </w:numPr>
        <w:spacing w:before="200" w:after="200"/>
        <w:ind w:left="709" w:hanging="720"/>
        <w:contextualSpacing w:val="0"/>
      </w:pPr>
      <w:r>
        <w:t>In July 2017</w:t>
      </w:r>
      <w:r w:rsidR="001F4FA0">
        <w:t>,</w:t>
      </w:r>
      <w:r w:rsidR="00CC08ED" w:rsidRPr="0060711E">
        <w:t xml:space="preserve"> Jacana Energy</w:t>
      </w:r>
      <w:r w:rsidR="00420836">
        <w:t xml:space="preserve"> reviewed </w:t>
      </w:r>
      <w:r w:rsidR="00520CCD">
        <w:t xml:space="preserve">its </w:t>
      </w:r>
      <w:r w:rsidR="00420836">
        <w:t xml:space="preserve">customer data </w:t>
      </w:r>
      <w:r w:rsidR="00520CCD">
        <w:t>following the</w:t>
      </w:r>
      <w:r w:rsidR="00420836">
        <w:t xml:space="preserve"> implementation of its new Retail Operating System</w:t>
      </w:r>
      <w:r w:rsidR="006D6B93">
        <w:t xml:space="preserve"> (ROS)</w:t>
      </w:r>
      <w:r w:rsidR="00420836">
        <w:t xml:space="preserve"> and</w:t>
      </w:r>
      <w:r w:rsidR="00CC08ED" w:rsidRPr="0060711E">
        <w:t xml:space="preserve"> identified </w:t>
      </w:r>
      <w:r>
        <w:t xml:space="preserve">14 </w:t>
      </w:r>
      <w:r w:rsidR="00520CCD">
        <w:t xml:space="preserve">Commercial and Industrial </w:t>
      </w:r>
      <w:r w:rsidR="00107FE3">
        <w:t xml:space="preserve">(C&amp;I) </w:t>
      </w:r>
      <w:r>
        <w:t xml:space="preserve">customers </w:t>
      </w:r>
      <w:r w:rsidR="00420836">
        <w:t>that needed to move from contracted pricing to the Pricing Order, as their consumption trended under 750MWh for three consecutive months</w:t>
      </w:r>
      <w:r w:rsidR="00CC08ED" w:rsidRPr="0060711E">
        <w:t>.</w:t>
      </w:r>
      <w:r w:rsidR="00420836">
        <w:t xml:space="preserve"> </w:t>
      </w:r>
      <w:r w:rsidR="006D6B93">
        <w:t>D</w:t>
      </w:r>
      <w:r w:rsidR="00520CCD">
        <w:t>ue to complications with the application of network charges for these customers, they were charged contracted pricing instead of applicable Pricing Order charges for one month.</w:t>
      </w:r>
      <w:r w:rsidR="00EB1044">
        <w:t xml:space="preserve"> Breaches to clause 17.3 of Jacana Energy’s Retail Licence</w:t>
      </w:r>
      <w:r w:rsidR="006D6B93">
        <w:t xml:space="preserve"> continued for the remainder of the reporting period at an average of one customer per month. Jacana Energy indicates that the issue is being addressed through data improvements through the ROS and new processes.</w:t>
      </w:r>
    </w:p>
    <w:p w14:paraId="246D84F3" w14:textId="12FC7C33" w:rsidR="00D62A00" w:rsidRDefault="003B23BC" w:rsidP="001366C3">
      <w:pPr>
        <w:pStyle w:val="ListParagraph"/>
        <w:numPr>
          <w:ilvl w:val="0"/>
          <w:numId w:val="13"/>
        </w:numPr>
        <w:spacing w:before="200" w:after="200"/>
        <w:ind w:left="709" w:hanging="720"/>
        <w:contextualSpacing w:val="0"/>
      </w:pPr>
      <w:r>
        <w:t>Through its customer complaints process, Jacana Energy identified six instances of disconnections made in error (Wrongful Disconnections</w:t>
      </w:r>
      <w:r w:rsidR="00040ABB">
        <w:t xml:space="preserve"> is a breach of clause 23 of Jacana Energy’s Retail Licence</w:t>
      </w:r>
      <w:r>
        <w:t>), and is aware of a number of other Wrongful Disconnections that did not progress through the customer complaints process due to speedy reconnection. Jacana Energy states that customer care agent error is the main reason for Wrongful Disconnections and that it is working with its agents</w:t>
      </w:r>
      <w:r w:rsidR="00D62A00">
        <w:t>,</w:t>
      </w:r>
      <w:r>
        <w:t xml:space="preserve"> through training and performance management</w:t>
      </w:r>
      <w:r w:rsidR="00D62A00">
        <w:t>,</w:t>
      </w:r>
      <w:r>
        <w:t xml:space="preserve"> to reduce the occurrence of Wrongful Disconnections.</w:t>
      </w:r>
      <w:r w:rsidR="00D62A00">
        <w:t xml:space="preserve"> Jacana Energy states that if power cannot be restored for these customers on the same day, it may offer payment of up to $150 per day without power or reimbursement of up to $200 per day for hotel accommodation.</w:t>
      </w:r>
    </w:p>
    <w:p w14:paraId="4A57551D" w14:textId="68738FF9" w:rsidR="00D70A99" w:rsidRDefault="00D62A00" w:rsidP="001366C3">
      <w:pPr>
        <w:pStyle w:val="ListParagraph"/>
        <w:numPr>
          <w:ilvl w:val="0"/>
          <w:numId w:val="13"/>
        </w:numPr>
        <w:spacing w:before="200" w:after="200"/>
        <w:ind w:left="709" w:hanging="720"/>
        <w:contextualSpacing w:val="0"/>
      </w:pPr>
      <w:r>
        <w:t xml:space="preserve">Jacana Energy states that it is looking to develop its system reporting to record Wrongful Disconnection events, rather than relying on a review of customer </w:t>
      </w:r>
      <w:r>
        <w:lastRenderedPageBreak/>
        <w:t xml:space="preserve">complaints to identify this type of breach. </w:t>
      </w:r>
      <w:r w:rsidR="00EB1044">
        <w:t xml:space="preserve">The Commission agrees that a better system is needed. </w:t>
      </w:r>
    </w:p>
    <w:p w14:paraId="4C44EB17" w14:textId="43C1FF14" w:rsidR="00EB1044" w:rsidRDefault="00332CF6" w:rsidP="001366C3">
      <w:pPr>
        <w:pStyle w:val="ListParagraph"/>
        <w:numPr>
          <w:ilvl w:val="0"/>
          <w:numId w:val="13"/>
        </w:numPr>
        <w:spacing w:before="200" w:after="200"/>
        <w:ind w:left="709" w:hanging="720"/>
        <w:contextualSpacing w:val="0"/>
      </w:pPr>
      <w:r>
        <w:t xml:space="preserve">Jacana Energy states that it was informed by </w:t>
      </w:r>
      <w:r w:rsidR="00107FE3">
        <w:t>a large C&amp;I customer</w:t>
      </w:r>
      <w:r>
        <w:t xml:space="preserve"> in August 2017 that it</w:t>
      </w:r>
      <w:r w:rsidR="00107FE3">
        <w:t xml:space="preserve"> had ceased operations</w:t>
      </w:r>
      <w:r>
        <w:t>. The C&amp;I customer</w:t>
      </w:r>
      <w:r w:rsidR="00107FE3">
        <w:t xml:space="preserve"> </w:t>
      </w:r>
      <w:r>
        <w:t xml:space="preserve">provided its revised consumption forecast for 2017-18 to Jacana Energy, which showed a substantial reduction in consumption. However, this information was not provided to PWC System Control in accordance with clause 3.11.4 of the </w:t>
      </w:r>
      <w:r w:rsidR="006F3C33">
        <w:t>SCTC</w:t>
      </w:r>
      <w:r>
        <w:t>. Jacana Energy states that no customers were impacted as a result of this breach</w:t>
      </w:r>
      <w:r w:rsidR="00D248FF">
        <w:t xml:space="preserve"> and that it is developing a business process to ensure that System Control is advised as appropriate in the future</w:t>
      </w:r>
      <w:r>
        <w:t>.</w:t>
      </w:r>
    </w:p>
    <w:p w14:paraId="28C65682" w14:textId="74FFB533" w:rsidR="00B7141D" w:rsidRDefault="00B7141D" w:rsidP="001366C3">
      <w:pPr>
        <w:pStyle w:val="ListParagraph"/>
        <w:numPr>
          <w:ilvl w:val="0"/>
          <w:numId w:val="13"/>
        </w:numPr>
        <w:spacing w:before="200" w:after="200"/>
        <w:ind w:left="709" w:hanging="720"/>
        <w:contextualSpacing w:val="0"/>
      </w:pPr>
      <w:r>
        <w:t>Jacana Energy advise</w:t>
      </w:r>
      <w:r w:rsidR="002A7D3A">
        <w:t>s</w:t>
      </w:r>
      <w:r>
        <w:t xml:space="preserve"> that it is continuing to address partial compliance issues identified through the Merit Partners audit of Jacana Energy’s compliance processes and systems. Actions still underway during 2017-18 included a comprehensive review of Jacana Energy’s compliance framework, policy and procedure (including the processes for breach identification and reporting) and </w:t>
      </w:r>
      <w:r w:rsidR="0081321F">
        <w:t xml:space="preserve">the roll-out of new training </w:t>
      </w:r>
      <w:r w:rsidR="00A84EFF">
        <w:t xml:space="preserve">on Jacana Energy’s compliance obligations </w:t>
      </w:r>
      <w:r w:rsidR="0081321F">
        <w:t>to employees.</w:t>
      </w:r>
    </w:p>
    <w:p w14:paraId="7BC8BA58" w14:textId="254A53B4" w:rsidR="002A7D3A" w:rsidRPr="0060711E" w:rsidRDefault="002A7D3A" w:rsidP="001366C3">
      <w:pPr>
        <w:pStyle w:val="ListParagraph"/>
        <w:numPr>
          <w:ilvl w:val="0"/>
          <w:numId w:val="13"/>
        </w:numPr>
        <w:spacing w:before="200" w:after="200"/>
        <w:ind w:left="709" w:hanging="720"/>
        <w:contextualSpacing w:val="0"/>
      </w:pPr>
      <w:r>
        <w:t xml:space="preserve">Jacana Energy has been actively consulting with the Commission on its inability to report on all performance indicators on a quarterly and regional basis and provide four years of historical data, as required under clause 5.1.1 of the Electricity Industry Performance Code (EIPC) due to system limitations. Jacana Energy has committed to </w:t>
      </w:r>
      <w:r w:rsidR="00277810">
        <w:t>report against further performance indicators as soon as possible and undertake a project to develop its system reporting to enable it to meet its obligations in future years.</w:t>
      </w:r>
    </w:p>
    <w:p w14:paraId="6C4355A3" w14:textId="77777777" w:rsidR="00FF048C" w:rsidRPr="00B63999" w:rsidRDefault="00FF048C" w:rsidP="00FF048C">
      <w:pPr>
        <w:pStyle w:val="UtilComHeading3"/>
        <w:rPr>
          <w:lang w:val="en-US"/>
        </w:rPr>
      </w:pPr>
      <w:r w:rsidRPr="00B63999">
        <w:rPr>
          <w:lang w:val="en-US"/>
        </w:rPr>
        <w:t>Power and Water Corporation</w:t>
      </w:r>
    </w:p>
    <w:p w14:paraId="6E3949D8" w14:textId="7A9DB882" w:rsidR="00FF048C" w:rsidRDefault="00AD1E1E" w:rsidP="00FF048C">
      <w:pPr>
        <w:pStyle w:val="ListParagraph"/>
        <w:numPr>
          <w:ilvl w:val="0"/>
          <w:numId w:val="13"/>
        </w:numPr>
        <w:spacing w:before="200" w:after="200"/>
        <w:ind w:left="709" w:hanging="720"/>
        <w:contextualSpacing w:val="0"/>
      </w:pPr>
      <w:bookmarkStart w:id="13" w:name="_Toc442328924"/>
      <w:r>
        <w:t>PWC reported no</w:t>
      </w:r>
      <w:r w:rsidR="004F59F7" w:rsidRPr="00B63999">
        <w:t xml:space="preserve"> material breaches for the current reporting period</w:t>
      </w:r>
      <w:r>
        <w:t xml:space="preserve"> in its report and declaration dated 29 August 2018</w:t>
      </w:r>
      <w:r w:rsidR="004F59F7" w:rsidRPr="00B63999">
        <w:t>.</w:t>
      </w:r>
    </w:p>
    <w:p w14:paraId="06B1A009" w14:textId="212626E9" w:rsidR="00800D13" w:rsidRDefault="00AD1E1E" w:rsidP="00FF048C">
      <w:pPr>
        <w:pStyle w:val="ListParagraph"/>
        <w:numPr>
          <w:ilvl w:val="0"/>
          <w:numId w:val="13"/>
        </w:numPr>
        <w:spacing w:before="200" w:after="200"/>
        <w:ind w:left="709" w:hanging="720"/>
        <w:contextualSpacing w:val="0"/>
      </w:pPr>
      <w:r>
        <w:t xml:space="preserve">However, the Commission notes </w:t>
      </w:r>
      <w:r w:rsidR="00800D13">
        <w:t>separate advice provided by PWC on 4 August 2018 of a breach of the 2014 Network Price Determination</w:t>
      </w:r>
      <w:r w:rsidR="00A90C41">
        <w:t xml:space="preserve"> (NPD)</w:t>
      </w:r>
      <w:r w:rsidR="00800D13">
        <w:t xml:space="preserve"> that occurred between 1</w:t>
      </w:r>
      <w:r w:rsidR="00A90C41">
        <w:t> </w:t>
      </w:r>
      <w:r w:rsidR="00800D13">
        <w:t>April 2018 and 31 July 2018</w:t>
      </w:r>
      <w:r w:rsidR="002C0C52">
        <w:t>, which spans over two annual compliance reporting periods</w:t>
      </w:r>
      <w:r w:rsidR="00800D13">
        <w:t xml:space="preserve">. The breach occurred during the transition of Jacana Energy from PWC’s billing system whereby PWC incorrectly levied Alternate Control Charges to Jacana Energy for greenfield sites. </w:t>
      </w:r>
    </w:p>
    <w:p w14:paraId="054283C5" w14:textId="4886EC34" w:rsidR="00800D13" w:rsidRDefault="002C0C52" w:rsidP="00FF048C">
      <w:pPr>
        <w:pStyle w:val="ListParagraph"/>
        <w:numPr>
          <w:ilvl w:val="0"/>
          <w:numId w:val="13"/>
        </w:numPr>
        <w:spacing w:before="200" w:after="200"/>
        <w:ind w:left="709" w:hanging="720"/>
        <w:contextualSpacing w:val="0"/>
      </w:pPr>
      <w:r>
        <w:t>On 17 October 2018, PWC advised that a</w:t>
      </w:r>
      <w:r w:rsidR="00800D13">
        <w:t xml:space="preserve"> </w:t>
      </w:r>
      <w:r w:rsidR="00F86162">
        <w:t>joint</w:t>
      </w:r>
      <w:r w:rsidR="00800D13">
        <w:t xml:space="preserve"> investigation</w:t>
      </w:r>
      <w:r w:rsidR="00F86162">
        <w:t xml:space="preserve"> by PWC and Jacana Energy</w:t>
      </w:r>
      <w:r w:rsidR="00800D13">
        <w:t xml:space="preserve"> </w:t>
      </w:r>
      <w:r w:rsidR="00A90C41">
        <w:t xml:space="preserve">of the NPD </w:t>
      </w:r>
      <w:r w:rsidR="00F86162">
        <w:t xml:space="preserve">breach </w:t>
      </w:r>
      <w:r w:rsidR="00800D13">
        <w:t>found that 139 incorrect transactions occurred, 59 ‘end use’ customers received an invoice</w:t>
      </w:r>
      <w:r>
        <w:t xml:space="preserve"> including the charge and have subsequently received a refund and 80 ‘end use’ customers were not invoiced for the charge</w:t>
      </w:r>
      <w:r w:rsidR="000C562E">
        <w:t>,</w:t>
      </w:r>
      <w:r>
        <w:t xml:space="preserve"> as the invoice was delayed and corrected prior to sending to the relevant customers.</w:t>
      </w:r>
    </w:p>
    <w:p w14:paraId="0FBC52AF" w14:textId="71381BD4" w:rsidR="00AD1E1E" w:rsidRDefault="002C0C52" w:rsidP="00FF048C">
      <w:pPr>
        <w:pStyle w:val="ListParagraph"/>
        <w:numPr>
          <w:ilvl w:val="0"/>
          <w:numId w:val="13"/>
        </w:numPr>
        <w:spacing w:before="200" w:after="200"/>
        <w:ind w:left="709" w:hanging="720"/>
        <w:contextualSpacing w:val="0"/>
      </w:pPr>
      <w:r>
        <w:t>PW</w:t>
      </w:r>
      <w:r w:rsidR="000C562E">
        <w:t>C</w:t>
      </w:r>
      <w:r>
        <w:t xml:space="preserve"> advises that it is undertaking improvements to ensure no further breaches occur, including a review of its Business to Business process and additional training. </w:t>
      </w:r>
    </w:p>
    <w:p w14:paraId="36A47B33" w14:textId="0742B8E7" w:rsidR="002C0C52" w:rsidRDefault="002C0C52" w:rsidP="00FF048C">
      <w:pPr>
        <w:pStyle w:val="ListParagraph"/>
        <w:numPr>
          <w:ilvl w:val="0"/>
          <w:numId w:val="13"/>
        </w:numPr>
        <w:spacing w:before="200" w:after="200"/>
        <w:ind w:left="709" w:hanging="720"/>
        <w:contextualSpacing w:val="0"/>
      </w:pPr>
      <w:r>
        <w:t xml:space="preserve">Responsibility for the regulation of electricity networks was transferred from the Commission to the Australian Energy Regulator </w:t>
      </w:r>
      <w:r w:rsidR="0002366A">
        <w:t xml:space="preserve">(AER) </w:t>
      </w:r>
      <w:r>
        <w:t xml:space="preserve">on 1 July 2015 under the </w:t>
      </w:r>
      <w:r w:rsidRPr="009C24E8">
        <w:rPr>
          <w:i/>
        </w:rPr>
        <w:t xml:space="preserve">National Electricity (Northern Territory) </w:t>
      </w:r>
      <w:r w:rsidR="009C24E8" w:rsidRPr="009C24E8">
        <w:rPr>
          <w:i/>
        </w:rPr>
        <w:t xml:space="preserve">(National Uniform Legislation) </w:t>
      </w:r>
      <w:r w:rsidR="0002366A" w:rsidRPr="009C24E8">
        <w:rPr>
          <w:i/>
        </w:rPr>
        <w:t>Act</w:t>
      </w:r>
      <w:r w:rsidR="0002366A">
        <w:t xml:space="preserve">. PWC </w:t>
      </w:r>
      <w:r w:rsidR="0002366A">
        <w:lastRenderedPageBreak/>
        <w:t>states that it has advised the AER of this breach. The Commission is not privy to what enforcement action the AER may take as a result of this breach.</w:t>
      </w:r>
    </w:p>
    <w:p w14:paraId="330BFE91" w14:textId="77777777" w:rsidR="006C21EF" w:rsidRPr="006C21EF" w:rsidRDefault="006C21EF" w:rsidP="006C21EF">
      <w:pPr>
        <w:pStyle w:val="ListParagraph"/>
        <w:numPr>
          <w:ilvl w:val="0"/>
          <w:numId w:val="13"/>
        </w:numPr>
        <w:spacing w:before="200" w:after="200"/>
        <w:ind w:left="709" w:hanging="720"/>
        <w:contextualSpacing w:val="0"/>
      </w:pPr>
      <w:r w:rsidRPr="006C21EF">
        <w:rPr>
          <w:rFonts w:cs="Arial"/>
        </w:rPr>
        <w:t>45 non-material non-compliance events were reported, including 12 for non-compliance with internal controls and a number of events/issues not of relevance to the Commission, such as safety related asset condition and hazard issues reported to Northern Territory Worksafe, the Department of Health and/or the Northern Territory Environmental Protection Authority as appropriate.</w:t>
      </w:r>
    </w:p>
    <w:p w14:paraId="5BEC1B4F" w14:textId="77777777" w:rsidR="00F86EC1" w:rsidRDefault="00AF7EAC" w:rsidP="00B63999">
      <w:pPr>
        <w:pStyle w:val="ListParagraph"/>
        <w:numPr>
          <w:ilvl w:val="0"/>
          <w:numId w:val="13"/>
        </w:numPr>
        <w:spacing w:before="200" w:after="200"/>
        <w:ind w:left="709" w:hanging="720"/>
        <w:contextualSpacing w:val="0"/>
      </w:pPr>
      <w:r>
        <w:t>The Commission notes that PWC</w:t>
      </w:r>
      <w:r w:rsidR="001F4FA0">
        <w:t>’s</w:t>
      </w:r>
      <w:r>
        <w:t xml:space="preserve"> </w:t>
      </w:r>
      <w:r w:rsidR="001F4FA0">
        <w:t>compliance declaration</w:t>
      </w:r>
      <w:r>
        <w:t xml:space="preserve"> detailed</w:t>
      </w:r>
      <w:r w:rsidR="00C02CFB">
        <w:t xml:space="preserve"> further</w:t>
      </w:r>
      <w:r>
        <w:t xml:space="preserve"> improvements</w:t>
      </w:r>
      <w:r w:rsidR="00C02CFB">
        <w:t xml:space="preserve"> </w:t>
      </w:r>
      <w:r>
        <w:t xml:space="preserve">to </w:t>
      </w:r>
      <w:r w:rsidR="00C02CFB">
        <w:t>its</w:t>
      </w:r>
      <w:r>
        <w:t xml:space="preserve"> Compliance Management System in order to meet the Commission’s Compliance Framework and Reporting Guidelines</w:t>
      </w:r>
      <w:r w:rsidR="00C02CFB">
        <w:t>, which build on those reported in 2016-17</w:t>
      </w:r>
      <w:r w:rsidR="00F86EC1">
        <w:t xml:space="preserve">. </w:t>
      </w:r>
    </w:p>
    <w:p w14:paraId="45DC0DA2" w14:textId="1DBAB425" w:rsidR="00AF7EAC" w:rsidRPr="00B63999" w:rsidRDefault="00F86EC1" w:rsidP="00B63999">
      <w:pPr>
        <w:pStyle w:val="ListParagraph"/>
        <w:numPr>
          <w:ilvl w:val="0"/>
          <w:numId w:val="13"/>
        </w:numPr>
        <w:spacing w:before="200" w:after="200"/>
        <w:ind w:left="709" w:hanging="720"/>
        <w:contextualSpacing w:val="0"/>
      </w:pPr>
      <w:r>
        <w:t>The Commission acknowledges PWC’s serious efforts in developing adequate compliance systems and processes</w:t>
      </w:r>
      <w:r w:rsidR="00AF7EAC">
        <w:t>.</w:t>
      </w:r>
    </w:p>
    <w:bookmarkEnd w:id="13"/>
    <w:p w14:paraId="42671463" w14:textId="77777777" w:rsidR="00387EFD" w:rsidRPr="00CC08ED" w:rsidRDefault="00387EFD" w:rsidP="00387EFD">
      <w:pPr>
        <w:pStyle w:val="UtilComHeading3"/>
      </w:pPr>
      <w:r w:rsidRPr="00CC08ED">
        <w:t>QEnergy Limited</w:t>
      </w:r>
    </w:p>
    <w:p w14:paraId="0785F36F" w14:textId="3FD5B50C" w:rsidR="00387EFD" w:rsidRDefault="00387EFD" w:rsidP="00991851">
      <w:pPr>
        <w:pStyle w:val="ListParagraph"/>
        <w:numPr>
          <w:ilvl w:val="0"/>
          <w:numId w:val="13"/>
        </w:numPr>
        <w:spacing w:before="200" w:after="200"/>
        <w:ind w:left="709" w:hanging="720"/>
        <w:contextualSpacing w:val="0"/>
      </w:pPr>
      <w:r w:rsidRPr="00CC08ED">
        <w:t>No breaches were reported by QEnergy Limited for the 201</w:t>
      </w:r>
      <w:r w:rsidR="007D6C9B">
        <w:t>7</w:t>
      </w:r>
      <w:r w:rsidR="004E3E84" w:rsidRPr="00CC08ED">
        <w:t>-1</w:t>
      </w:r>
      <w:r w:rsidR="007D6C9B">
        <w:t>8</w:t>
      </w:r>
      <w:r w:rsidR="004E3E84" w:rsidRPr="00CC08ED">
        <w:t xml:space="preserve"> </w:t>
      </w:r>
      <w:r w:rsidRPr="00CC08ED">
        <w:t xml:space="preserve">financial year. </w:t>
      </w:r>
    </w:p>
    <w:p w14:paraId="38D89828" w14:textId="77777777" w:rsidR="00387EFD" w:rsidRDefault="00387EFD" w:rsidP="00387EFD">
      <w:pPr>
        <w:pStyle w:val="UtilComHeading3"/>
      </w:pPr>
      <w:r>
        <w:t>Rimfire Energy Pty Ltd</w:t>
      </w:r>
    </w:p>
    <w:p w14:paraId="6851FE29" w14:textId="10B67296" w:rsidR="007A7473" w:rsidRPr="007A7473" w:rsidRDefault="00E36F46" w:rsidP="00E36F46">
      <w:pPr>
        <w:pStyle w:val="ListParagraph"/>
        <w:numPr>
          <w:ilvl w:val="0"/>
          <w:numId w:val="13"/>
        </w:numPr>
        <w:spacing w:before="200" w:after="200"/>
        <w:ind w:left="709" w:hanging="720"/>
        <w:contextualSpacing w:val="0"/>
      </w:pPr>
      <w:r w:rsidRPr="00B37B7B">
        <w:t xml:space="preserve">No breaches were reported by </w:t>
      </w:r>
      <w:r>
        <w:t>Rimfire Energy</w:t>
      </w:r>
      <w:r w:rsidR="00CC08ED">
        <w:t xml:space="preserve"> for the 201</w:t>
      </w:r>
      <w:r w:rsidR="007D6C9B">
        <w:t>7</w:t>
      </w:r>
      <w:r w:rsidRPr="00B37B7B">
        <w:t>-1</w:t>
      </w:r>
      <w:r w:rsidR="007D6C9B">
        <w:t>8</w:t>
      </w:r>
      <w:r w:rsidRPr="00B37B7B">
        <w:t xml:space="preserve"> financial year. </w:t>
      </w:r>
      <w:r w:rsidR="007A7473" w:rsidRPr="007A7473">
        <w:t xml:space="preserve"> </w:t>
      </w:r>
    </w:p>
    <w:p w14:paraId="6E2EACF6" w14:textId="77777777" w:rsidR="00FF048C" w:rsidRDefault="00FF048C" w:rsidP="00FF048C">
      <w:pPr>
        <w:pStyle w:val="UtilComHeading3"/>
      </w:pPr>
      <w:r>
        <w:t>Territory Generation</w:t>
      </w:r>
    </w:p>
    <w:p w14:paraId="0FAE5680" w14:textId="00E6A352" w:rsidR="00FF048C" w:rsidRPr="00F769DB" w:rsidRDefault="00FF048C" w:rsidP="00FF048C">
      <w:pPr>
        <w:pStyle w:val="ListParagraph"/>
        <w:numPr>
          <w:ilvl w:val="0"/>
          <w:numId w:val="13"/>
        </w:numPr>
        <w:spacing w:before="200" w:after="200"/>
        <w:contextualSpacing w:val="0"/>
      </w:pPr>
      <w:r>
        <w:t>No breaches were reported by T</w:t>
      </w:r>
      <w:r w:rsidR="00CC08ED">
        <w:t>erritory Generation for the 201</w:t>
      </w:r>
      <w:r w:rsidR="007D6C9B">
        <w:t>7</w:t>
      </w:r>
      <w:r>
        <w:t>-1</w:t>
      </w:r>
      <w:r w:rsidR="007D6C9B">
        <w:t>8</w:t>
      </w:r>
      <w:r>
        <w:t xml:space="preserve"> financial year. </w:t>
      </w:r>
    </w:p>
    <w:sectPr w:rsidR="00FF048C" w:rsidRPr="00F769DB" w:rsidSect="00644666">
      <w:headerReference w:type="even" r:id="rId18"/>
      <w:pgSz w:w="11907" w:h="16840" w:code="9"/>
      <w:pgMar w:top="1134" w:right="1134" w:bottom="993"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93CEA" w14:textId="77777777" w:rsidR="001D5280" w:rsidRDefault="001D5280">
      <w:r>
        <w:separator/>
      </w:r>
    </w:p>
    <w:p w14:paraId="05F2906A" w14:textId="77777777" w:rsidR="001D5280" w:rsidRDefault="001D5280"/>
  </w:endnote>
  <w:endnote w:type="continuationSeparator" w:id="0">
    <w:p w14:paraId="60312057" w14:textId="77777777" w:rsidR="001D5280" w:rsidRDefault="001D5280">
      <w:r>
        <w:continuationSeparator/>
      </w:r>
    </w:p>
    <w:p w14:paraId="57B29DD1" w14:textId="77777777" w:rsidR="001D5280" w:rsidRDefault="001D52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MT Std Light">
    <w:panose1 w:val="020B03020304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577A0" w14:textId="054442FD" w:rsidR="003E62AE" w:rsidRPr="00EA0992" w:rsidRDefault="003E62AE" w:rsidP="00EA0992">
    <w:pPr>
      <w:pStyle w:val="Footer"/>
      <w:pBdr>
        <w:top w:val="single" w:sz="4" w:space="1" w:color="auto"/>
      </w:pBdr>
      <w:tabs>
        <w:tab w:val="clear" w:pos="4320"/>
        <w:tab w:val="clear" w:pos="8640"/>
        <w:tab w:val="right" w:pos="8505"/>
      </w:tabs>
      <w:rPr>
        <w:rFonts w:cs="Arial"/>
        <w:szCs w:val="18"/>
      </w:rPr>
    </w:pPr>
    <w:r w:rsidRPr="00EA0992">
      <w:rPr>
        <w:rFonts w:cs="Arial"/>
        <w:szCs w:val="18"/>
      </w:rPr>
      <w:fldChar w:fldCharType="begin"/>
    </w:r>
    <w:r w:rsidRPr="00EA0992">
      <w:rPr>
        <w:rFonts w:cs="Arial"/>
        <w:szCs w:val="18"/>
      </w:rPr>
      <w:instrText xml:space="preserve"> FILENAME </w:instrText>
    </w:r>
    <w:r w:rsidRPr="00EA0992">
      <w:rPr>
        <w:rFonts w:cs="Arial"/>
        <w:szCs w:val="18"/>
      </w:rPr>
      <w:fldChar w:fldCharType="separate"/>
    </w:r>
    <w:r w:rsidR="007A1AEA">
      <w:rPr>
        <w:rFonts w:cs="Arial"/>
        <w:noProof/>
        <w:szCs w:val="18"/>
      </w:rPr>
      <w:t>2016-17 Compliance Report (draft 01042018).docx</w:t>
    </w:r>
    <w:r w:rsidRPr="00EA0992">
      <w:rPr>
        <w:rFonts w:cs="Arial"/>
        <w:szCs w:val="18"/>
      </w:rPr>
      <w:fldChar w:fldCharType="end"/>
    </w:r>
    <w:r w:rsidRPr="00EA0992">
      <w:rPr>
        <w:rFonts w:cs="Arial"/>
        <w:szCs w:val="18"/>
      </w:rPr>
      <w:tab/>
    </w:r>
    <w:r w:rsidRPr="00EA0992">
      <w:rPr>
        <w:rFonts w:cs="Arial"/>
        <w:szCs w:val="18"/>
      </w:rPr>
      <w:fldChar w:fldCharType="begin"/>
    </w:r>
    <w:r w:rsidRPr="00EA0992">
      <w:rPr>
        <w:rFonts w:cs="Arial"/>
        <w:szCs w:val="18"/>
      </w:rPr>
      <w:instrText xml:space="preserve"> DATE  \@ "MMMM yyyy" </w:instrText>
    </w:r>
    <w:r w:rsidRPr="00EA0992">
      <w:rPr>
        <w:rFonts w:cs="Arial"/>
        <w:szCs w:val="18"/>
      </w:rPr>
      <w:fldChar w:fldCharType="separate"/>
    </w:r>
    <w:r w:rsidR="003274CA">
      <w:rPr>
        <w:rFonts w:cs="Arial"/>
        <w:noProof/>
        <w:szCs w:val="18"/>
      </w:rPr>
      <w:t>November 2018</w:t>
    </w:r>
    <w:r w:rsidRPr="00EA0992">
      <w:rPr>
        <w:rFonts w:cs="Arial"/>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C0A55" w14:textId="77777777" w:rsidR="003E62AE" w:rsidRDefault="003E62AE">
    <w:pPr>
      <w:framePr w:wrap="none" w:vAnchor="text" w:hAnchor="margin" w:xAlign="center" w:y="1"/>
    </w:pPr>
    <w:r>
      <w:fldChar w:fldCharType="begin"/>
    </w:r>
    <w:r>
      <w:instrText xml:space="preserve">PAGE  </w:instrText>
    </w:r>
    <w:r>
      <w:fldChar w:fldCharType="separate"/>
    </w:r>
    <w:r>
      <w:rPr>
        <w:noProof/>
      </w:rPr>
      <w:t>ii</w:t>
    </w:r>
    <w:r>
      <w:fldChar w:fldCharType="end"/>
    </w:r>
  </w:p>
  <w:p w14:paraId="09652311" w14:textId="77777777" w:rsidR="003E62AE" w:rsidRDefault="003E62AE">
    <w:pP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center" w:tblpY="14176"/>
      <w:tblOverlap w:val="never"/>
      <w:tblW w:w="8640" w:type="dxa"/>
      <w:tblCellMar>
        <w:left w:w="86" w:type="dxa"/>
        <w:right w:w="86" w:type="dxa"/>
      </w:tblCellMar>
      <w:tblLook w:val="0000" w:firstRow="0" w:lastRow="0" w:firstColumn="0" w:lastColumn="0" w:noHBand="0" w:noVBand="0"/>
    </w:tblPr>
    <w:tblGrid>
      <w:gridCol w:w="3234"/>
      <w:gridCol w:w="5406"/>
    </w:tblGrid>
    <w:tr w:rsidR="003E62AE" w:rsidRPr="00CD0BDF" w14:paraId="55015112" w14:textId="77777777" w:rsidTr="00E630D5">
      <w:trPr>
        <w:trHeight w:val="848"/>
      </w:trPr>
      <w:tc>
        <w:tcPr>
          <w:tcW w:w="3234" w:type="dxa"/>
          <w:vAlign w:val="center"/>
        </w:tcPr>
        <w:p w14:paraId="3D368347" w14:textId="77777777" w:rsidR="003E62AE" w:rsidRPr="00CD0BDF" w:rsidRDefault="003E62AE" w:rsidP="00E630D5">
          <w:pPr>
            <w:pStyle w:val="CompanyInformation"/>
            <w:rPr>
              <w:rFonts w:cs="Arial"/>
            </w:rPr>
          </w:pPr>
          <w:r>
            <w:rPr>
              <w:rFonts w:cs="Arial"/>
              <w:noProof/>
              <w:lang w:eastAsia="en-AU"/>
            </w:rPr>
            <w:drawing>
              <wp:inline distT="0" distB="0" distL="0" distR="0" wp14:anchorId="4928860C" wp14:editId="32AB6522">
                <wp:extent cx="1943100" cy="1028700"/>
                <wp:effectExtent l="0" t="0" r="0" b="0"/>
                <wp:docPr id="9" name="Picture 9" descr="UC_recolou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_recoloured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028700"/>
                        </a:xfrm>
                        <a:prstGeom prst="rect">
                          <a:avLst/>
                        </a:prstGeom>
                        <a:noFill/>
                        <a:ln>
                          <a:noFill/>
                        </a:ln>
                      </pic:spPr>
                    </pic:pic>
                  </a:graphicData>
                </a:graphic>
              </wp:inline>
            </w:drawing>
          </w:r>
        </w:p>
      </w:tc>
      <w:tc>
        <w:tcPr>
          <w:tcW w:w="5406" w:type="dxa"/>
          <w:vAlign w:val="bottom"/>
        </w:tcPr>
        <w:p w14:paraId="6F570F62" w14:textId="77777777" w:rsidR="003E62AE" w:rsidRPr="00BD2B44" w:rsidRDefault="003E62AE" w:rsidP="00E630D5">
          <w:pPr>
            <w:pStyle w:val="UtilComHeaderInfo"/>
          </w:pPr>
          <w:r>
            <w:t xml:space="preserve">Charles Darwin Centre, 19 The Mall </w:t>
          </w:r>
          <w:r w:rsidRPr="00BD2B44">
            <w:t>DARWIN NT 0800</w:t>
          </w:r>
        </w:p>
        <w:p w14:paraId="79F62593" w14:textId="77777777" w:rsidR="003E62AE" w:rsidRDefault="003E62AE" w:rsidP="00E630D5">
          <w:pPr>
            <w:pStyle w:val="UtilComHeaderInfo"/>
          </w:pPr>
          <w:r>
            <w:t xml:space="preserve">GPO Box 915 </w:t>
          </w:r>
          <w:r w:rsidRPr="00BD2B44">
            <w:t>DARWIN NT 0801</w:t>
          </w:r>
        </w:p>
        <w:p w14:paraId="730C65B8" w14:textId="77777777" w:rsidR="003E62AE" w:rsidRDefault="003E62AE" w:rsidP="00E630D5">
          <w:pPr>
            <w:pStyle w:val="UtilComHeaderInfo"/>
          </w:pPr>
          <w:r w:rsidRPr="00874A60">
            <w:t xml:space="preserve">Email: </w:t>
          </w:r>
          <w:r w:rsidRPr="002D4390">
            <w:t>utilities.commission@nt.gov.au</w:t>
          </w:r>
        </w:p>
        <w:p w14:paraId="3DA744A5" w14:textId="77777777" w:rsidR="003E62AE" w:rsidRPr="00CD0BDF" w:rsidRDefault="003E62AE" w:rsidP="00E630D5">
          <w:pPr>
            <w:pStyle w:val="UtilComHeaderInfo"/>
            <w:rPr>
              <w:rFonts w:cs="Arial"/>
            </w:rPr>
          </w:pPr>
          <w:r>
            <w:t xml:space="preserve">Website: </w:t>
          </w:r>
          <w:r w:rsidRPr="00CD0BDF">
            <w:t>www.utilicom.nt.gov.au</w:t>
          </w:r>
        </w:p>
      </w:tc>
    </w:tr>
  </w:tbl>
  <w:p w14:paraId="2E90054B" w14:textId="77777777" w:rsidR="003E62AE" w:rsidRDefault="003E62AE" w:rsidP="003C101A">
    <w:pPr>
      <w:pStyle w:val="Footer"/>
      <w:pBdr>
        <w:top w:val="single" w:sz="4" w:space="1" w:color="99CCFF"/>
      </w:pBdr>
      <w:spacing w:line="280" w:lineRule="atLea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6BBA7" w14:textId="6342E8DF" w:rsidR="003E62AE" w:rsidRPr="00EA0992" w:rsidRDefault="007B4D83" w:rsidP="003C101A">
    <w:pPr>
      <w:pStyle w:val="Footer"/>
      <w:pBdr>
        <w:top w:val="single" w:sz="4" w:space="1" w:color="99CCFF"/>
      </w:pBdr>
      <w:tabs>
        <w:tab w:val="clear" w:pos="4320"/>
        <w:tab w:val="clear" w:pos="8640"/>
        <w:tab w:val="right" w:pos="9072"/>
      </w:tabs>
      <w:spacing w:line="280" w:lineRule="exact"/>
      <w:rPr>
        <w:rFonts w:cs="Arial"/>
        <w:szCs w:val="18"/>
      </w:rPr>
    </w:pPr>
    <w:r>
      <w:t>Annual Compliance Report</w:t>
    </w:r>
    <w:r w:rsidRPr="00EA0992">
      <w:rPr>
        <w:rFonts w:cs="Arial"/>
        <w:szCs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98B46" w14:textId="29880C0C" w:rsidR="003E62AE" w:rsidRPr="00EA0992" w:rsidRDefault="003E62AE" w:rsidP="003C101A">
    <w:pPr>
      <w:pStyle w:val="Footer"/>
      <w:pBdr>
        <w:top w:val="single" w:sz="4" w:space="1" w:color="99CCFF"/>
      </w:pBdr>
      <w:tabs>
        <w:tab w:val="clear" w:pos="4320"/>
        <w:tab w:val="clear" w:pos="8640"/>
        <w:tab w:val="right" w:pos="9072"/>
      </w:tabs>
      <w:spacing w:line="280" w:lineRule="exact"/>
      <w:rPr>
        <w:rFonts w:cs="Arial"/>
        <w:szCs w:val="18"/>
      </w:rPr>
    </w:pPr>
    <w:r>
      <w:t>Annual Compliance Report</w:t>
    </w:r>
    <w:r w:rsidRPr="00EA0992">
      <w:rPr>
        <w:rFonts w:cs="Arial"/>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1C473" w14:textId="77777777" w:rsidR="001D5280" w:rsidRDefault="001D5280">
      <w:pPr>
        <w:spacing w:before="100" w:after="0" w:line="240" w:lineRule="auto"/>
      </w:pPr>
      <w:r>
        <w:separator/>
      </w:r>
    </w:p>
  </w:footnote>
  <w:footnote w:type="continuationSeparator" w:id="0">
    <w:p w14:paraId="46438CDD" w14:textId="77777777" w:rsidR="001D5280" w:rsidRDefault="001D5280">
      <w:pPr>
        <w:spacing w:before="0" w:after="0" w:line="240" w:lineRule="auto"/>
      </w:pPr>
      <w:r>
        <w:continuationSeparator/>
      </w:r>
    </w:p>
    <w:p w14:paraId="287FDF84" w14:textId="77777777" w:rsidR="001D5280" w:rsidRDefault="001D5280"/>
  </w:footnote>
  <w:footnote w:type="continuationNotice" w:id="1">
    <w:p w14:paraId="5F7C9961" w14:textId="77777777" w:rsidR="001D5280" w:rsidRDefault="001D5280">
      <w:pPr>
        <w:spacing w:before="0" w:after="0" w:line="240" w:lineRule="auto"/>
      </w:pPr>
    </w:p>
  </w:footnote>
  <w:footnote w:id="2">
    <w:p w14:paraId="2EF59299" w14:textId="77777777" w:rsidR="003E62AE" w:rsidRPr="000E3299" w:rsidRDefault="003E62AE" w:rsidP="005077EC">
      <w:pPr>
        <w:pStyle w:val="FootnoteText"/>
        <w:tabs>
          <w:tab w:val="left" w:pos="284"/>
        </w:tabs>
        <w:spacing w:before="0" w:after="0" w:line="240" w:lineRule="auto"/>
        <w:rPr>
          <w:sz w:val="16"/>
          <w:szCs w:val="16"/>
        </w:rPr>
      </w:pPr>
      <w:r w:rsidRPr="000E3299">
        <w:rPr>
          <w:rStyle w:val="FootnoteReference"/>
          <w:sz w:val="16"/>
          <w:szCs w:val="16"/>
        </w:rPr>
        <w:footnoteRef/>
      </w:r>
      <w:r w:rsidRPr="000E3299">
        <w:rPr>
          <w:sz w:val="16"/>
          <w:szCs w:val="16"/>
        </w:rPr>
        <w:tab/>
      </w:r>
      <w:hyperlink r:id="rId1" w:history="1">
        <w:r w:rsidRPr="000E3299">
          <w:rPr>
            <w:rStyle w:val="Hyperlink"/>
            <w:rFonts w:cs="Arial"/>
            <w:sz w:val="16"/>
            <w:szCs w:val="16"/>
          </w:rPr>
          <w:t>Compliance Framework and Reporting Guidelines, Final, February 2016</w:t>
        </w:r>
      </w:hyperlink>
      <w:r w:rsidRPr="000E3299">
        <w:rPr>
          <w:rFonts w:cs="Arial"/>
          <w:sz w:val="16"/>
          <w:szCs w:val="16"/>
        </w:rPr>
        <w:t>, page 15, para 3.42</w:t>
      </w:r>
    </w:p>
  </w:footnote>
  <w:footnote w:id="3">
    <w:p w14:paraId="1E05D6F8" w14:textId="77777777" w:rsidR="003E62AE" w:rsidRDefault="003E62AE" w:rsidP="00DB3FE7">
      <w:pPr>
        <w:pStyle w:val="FootnoteText"/>
        <w:tabs>
          <w:tab w:val="left" w:pos="284"/>
        </w:tabs>
        <w:spacing w:before="0" w:after="0" w:line="240" w:lineRule="auto"/>
      </w:pPr>
      <w:r w:rsidRPr="000E3299">
        <w:rPr>
          <w:rStyle w:val="FootnoteReference"/>
          <w:sz w:val="16"/>
          <w:szCs w:val="16"/>
        </w:rPr>
        <w:footnoteRef/>
      </w:r>
      <w:r w:rsidRPr="000E3299">
        <w:rPr>
          <w:sz w:val="16"/>
          <w:szCs w:val="16"/>
        </w:rPr>
        <w:tab/>
      </w:r>
      <w:r w:rsidRPr="000E3299">
        <w:rPr>
          <w:rFonts w:cs="Arial"/>
          <w:sz w:val="16"/>
          <w:szCs w:val="16"/>
        </w:rPr>
        <w:t>Ibid, page 12, para 3.23</w:t>
      </w:r>
    </w:p>
  </w:footnote>
  <w:footnote w:id="4">
    <w:p w14:paraId="6114A456" w14:textId="77777777" w:rsidR="003E62AE" w:rsidRPr="00644666" w:rsidRDefault="003E62AE" w:rsidP="00DB3FE7">
      <w:pPr>
        <w:pStyle w:val="FootnoteText"/>
        <w:tabs>
          <w:tab w:val="left" w:pos="284"/>
        </w:tabs>
        <w:spacing w:before="0" w:after="0" w:line="240" w:lineRule="auto"/>
        <w:rPr>
          <w:sz w:val="16"/>
          <w:szCs w:val="16"/>
        </w:rPr>
      </w:pPr>
      <w:r w:rsidRPr="00644666">
        <w:rPr>
          <w:rStyle w:val="FootnoteReference"/>
          <w:sz w:val="16"/>
          <w:szCs w:val="16"/>
        </w:rPr>
        <w:footnoteRef/>
      </w:r>
      <w:r w:rsidRPr="00644666">
        <w:rPr>
          <w:sz w:val="16"/>
          <w:szCs w:val="16"/>
        </w:rPr>
        <w:tab/>
      </w:r>
      <w:r w:rsidRPr="00644666">
        <w:rPr>
          <w:rFonts w:cs="Arial"/>
          <w:sz w:val="16"/>
          <w:szCs w:val="16"/>
        </w:rPr>
        <w:t>Ibid, page 12, para 3.24</w:t>
      </w:r>
    </w:p>
  </w:footnote>
  <w:footnote w:id="5">
    <w:p w14:paraId="6FF15294" w14:textId="77777777" w:rsidR="003E62AE" w:rsidRPr="00644666" w:rsidRDefault="003E62AE" w:rsidP="00DB3FE7">
      <w:pPr>
        <w:pStyle w:val="FootnoteText"/>
        <w:tabs>
          <w:tab w:val="left" w:pos="284"/>
        </w:tabs>
        <w:spacing w:before="0" w:after="0" w:line="240" w:lineRule="auto"/>
        <w:rPr>
          <w:sz w:val="16"/>
          <w:szCs w:val="16"/>
        </w:rPr>
      </w:pPr>
      <w:r w:rsidRPr="00644666">
        <w:rPr>
          <w:rStyle w:val="FootnoteReference"/>
          <w:sz w:val="16"/>
          <w:szCs w:val="16"/>
        </w:rPr>
        <w:footnoteRef/>
      </w:r>
      <w:r w:rsidRPr="00644666">
        <w:rPr>
          <w:sz w:val="16"/>
          <w:szCs w:val="16"/>
        </w:rPr>
        <w:tab/>
      </w:r>
      <w:r w:rsidRPr="00644666">
        <w:rPr>
          <w:rFonts w:cs="Arial"/>
          <w:sz w:val="16"/>
          <w:szCs w:val="16"/>
        </w:rPr>
        <w:t>Ibid,page 13, para 3.25</w:t>
      </w:r>
    </w:p>
  </w:footnote>
  <w:footnote w:id="6">
    <w:p w14:paraId="17F9E1B8" w14:textId="77777777" w:rsidR="003E62AE" w:rsidRPr="00644666" w:rsidRDefault="003E62AE" w:rsidP="00DB3FE7">
      <w:pPr>
        <w:pStyle w:val="FootnoteText"/>
        <w:tabs>
          <w:tab w:val="left" w:pos="284"/>
        </w:tabs>
        <w:spacing w:before="0" w:after="0" w:line="240" w:lineRule="auto"/>
        <w:rPr>
          <w:sz w:val="16"/>
          <w:szCs w:val="16"/>
        </w:rPr>
      </w:pPr>
      <w:r w:rsidRPr="00644666">
        <w:rPr>
          <w:rStyle w:val="FootnoteReference"/>
          <w:sz w:val="16"/>
          <w:szCs w:val="16"/>
        </w:rPr>
        <w:footnoteRef/>
      </w:r>
      <w:r w:rsidRPr="00644666">
        <w:rPr>
          <w:sz w:val="16"/>
          <w:szCs w:val="16"/>
        </w:rPr>
        <w:tab/>
      </w:r>
      <w:r w:rsidRPr="00644666">
        <w:rPr>
          <w:rFonts w:cs="Arial"/>
          <w:sz w:val="16"/>
          <w:szCs w:val="16"/>
        </w:rPr>
        <w:t>Ibid,page 13, para 3.26</w:t>
      </w:r>
    </w:p>
  </w:footnote>
  <w:footnote w:id="7">
    <w:p w14:paraId="6854FD53" w14:textId="77777777" w:rsidR="003E62AE" w:rsidRDefault="003E62AE" w:rsidP="00DB3FE7">
      <w:pPr>
        <w:pStyle w:val="FootnoteText"/>
        <w:tabs>
          <w:tab w:val="left" w:pos="284"/>
        </w:tabs>
        <w:spacing w:before="0" w:after="0" w:line="240" w:lineRule="auto"/>
      </w:pPr>
      <w:r w:rsidRPr="00644666">
        <w:rPr>
          <w:rStyle w:val="FootnoteReference"/>
          <w:sz w:val="16"/>
          <w:szCs w:val="16"/>
        </w:rPr>
        <w:footnoteRef/>
      </w:r>
      <w:r w:rsidRPr="00644666">
        <w:rPr>
          <w:sz w:val="16"/>
          <w:szCs w:val="16"/>
        </w:rPr>
        <w:tab/>
      </w:r>
      <w:r w:rsidRPr="00644666">
        <w:rPr>
          <w:rFonts w:cs="Arial"/>
          <w:sz w:val="16"/>
          <w:szCs w:val="16"/>
        </w:rPr>
        <w:t>Ibid,page 1</w:t>
      </w:r>
      <w:r>
        <w:rPr>
          <w:rFonts w:cs="Arial"/>
          <w:sz w:val="16"/>
          <w:szCs w:val="16"/>
        </w:rPr>
        <w:t>3, para 3.27</w:t>
      </w:r>
    </w:p>
  </w:footnote>
  <w:footnote w:id="8">
    <w:p w14:paraId="1F873CCF" w14:textId="64C2A466" w:rsidR="003E62AE" w:rsidRPr="00644666" w:rsidRDefault="003E62AE" w:rsidP="00DB3FE7">
      <w:pPr>
        <w:tabs>
          <w:tab w:val="left" w:pos="284"/>
        </w:tabs>
        <w:spacing w:before="0" w:after="0" w:line="240" w:lineRule="auto"/>
        <w:rPr>
          <w:rFonts w:cs="Arial"/>
          <w:sz w:val="16"/>
          <w:szCs w:val="16"/>
        </w:rPr>
      </w:pPr>
      <w:r w:rsidRPr="00644666">
        <w:rPr>
          <w:rFonts w:cs="Arial"/>
          <w:sz w:val="16"/>
          <w:szCs w:val="16"/>
          <w:vertAlign w:val="superscript"/>
        </w:rPr>
        <w:footnoteRef/>
      </w:r>
      <w:r w:rsidRPr="00644666">
        <w:rPr>
          <w:rFonts w:cs="Arial"/>
          <w:sz w:val="16"/>
          <w:szCs w:val="16"/>
        </w:rPr>
        <w:tab/>
        <w:t>Ibid, p</w:t>
      </w:r>
      <w:r>
        <w:rPr>
          <w:rFonts w:cs="Arial"/>
          <w:sz w:val="16"/>
          <w:szCs w:val="16"/>
        </w:rPr>
        <w:t xml:space="preserve">age </w:t>
      </w:r>
      <w:r w:rsidR="00940EE8">
        <w:rPr>
          <w:rFonts w:cs="Arial"/>
          <w:sz w:val="16"/>
          <w:szCs w:val="16"/>
        </w:rPr>
        <w:t>11, para.3.9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CC3CE" w14:textId="77777777" w:rsidR="003E62AE" w:rsidRDefault="003E62AE" w:rsidP="00EA0992">
    <w:pPr>
      <w:pStyle w:val="Header"/>
      <w:pBdr>
        <w:bottom w:val="single" w:sz="4" w:space="1" w:color="auto"/>
      </w:pBdr>
      <w:jc w:val="center"/>
    </w:pPr>
    <w:r>
      <w:fldChar w:fldCharType="begin"/>
    </w:r>
    <w:r>
      <w:instrText xml:space="preserve"> PAGE </w:instrText>
    </w:r>
    <w:r>
      <w:fldChar w:fldCharType="separate"/>
    </w:r>
    <w:r>
      <w:rPr>
        <w:noProof/>
      </w:rPr>
      <w:t>ii</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F0256" w14:textId="77777777" w:rsidR="003E62AE" w:rsidRPr="003C101A" w:rsidRDefault="003E62AE" w:rsidP="00457A43">
    <w:pPr>
      <w:pBdr>
        <w:bottom w:val="single" w:sz="4" w:space="1" w:color="99CCFF"/>
      </w:pBdr>
      <w:jc w:val="center"/>
      <w:rPr>
        <w:sz w:val="18"/>
        <w:szCs w:val="18"/>
      </w:rPr>
    </w:pPr>
    <w:r w:rsidRPr="003C101A">
      <w:rPr>
        <w:sz w:val="18"/>
        <w:szCs w:val="18"/>
      </w:rPr>
      <w:fldChar w:fldCharType="begin"/>
    </w:r>
    <w:r w:rsidRPr="003C101A">
      <w:rPr>
        <w:sz w:val="18"/>
        <w:szCs w:val="18"/>
      </w:rPr>
      <w:instrText xml:space="preserve"> PAGE </w:instrText>
    </w:r>
    <w:r w:rsidRPr="003C101A">
      <w:rPr>
        <w:sz w:val="18"/>
        <w:szCs w:val="18"/>
      </w:rPr>
      <w:fldChar w:fldCharType="separate"/>
    </w:r>
    <w:r w:rsidR="003274CA">
      <w:rPr>
        <w:noProof/>
        <w:sz w:val="18"/>
        <w:szCs w:val="18"/>
      </w:rPr>
      <w:t>7</w:t>
    </w:r>
    <w:r w:rsidRPr="003C101A">
      <w:rPr>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862F1" w14:textId="77777777" w:rsidR="003E62AE" w:rsidRPr="003C101A" w:rsidRDefault="003E62AE" w:rsidP="003C101A">
    <w:pPr>
      <w:pStyle w:val="Header"/>
      <w:pBdr>
        <w:bottom w:val="single" w:sz="4" w:space="1" w:color="99CCFF"/>
      </w:pBdr>
      <w:rPr>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AB190" w14:textId="2953414F" w:rsidR="003E62AE" w:rsidRPr="00CD0BDF" w:rsidRDefault="00FF048C" w:rsidP="00457A43">
    <w:pPr>
      <w:pStyle w:val="Header"/>
      <w:pBdr>
        <w:bottom w:val="single" w:sz="4" w:space="1" w:color="99CCFF"/>
      </w:pBdr>
      <w:jc w:val="center"/>
      <w:rPr>
        <w:rFonts w:cs="Arial"/>
        <w:sz w:val="18"/>
        <w:szCs w:val="18"/>
      </w:rPr>
    </w:pPr>
    <w:r>
      <w:rPr>
        <w:rFonts w:cs="Arial"/>
        <w:sz w:val="18"/>
        <w:szCs w:val="18"/>
      </w:rP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36512" w14:textId="77777777" w:rsidR="003E62AE" w:rsidRDefault="003E62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04141461"/>
    <w:multiLevelType w:val="hybridMultilevel"/>
    <w:tmpl w:val="A7CCAC68"/>
    <w:lvl w:ilvl="0" w:tplc="C3A62C14">
      <w:start w:val="1"/>
      <w:numFmt w:val="bullet"/>
      <w:pStyle w:val="MGBulletText"/>
      <w:lvlText w:val=""/>
      <w:lvlJc w:val="left"/>
      <w:pPr>
        <w:ind w:left="2138" w:hanging="360"/>
      </w:pPr>
      <w:rPr>
        <w:rFonts w:ascii="Symbol" w:hAnsi="Symbol" w:hint="default"/>
        <w:color w:val="005595"/>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 w15:restartNumberingAfterBreak="0">
    <w:nsid w:val="06ED575D"/>
    <w:multiLevelType w:val="multilevel"/>
    <w:tmpl w:val="C108C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D85A8E"/>
    <w:multiLevelType w:val="hybridMultilevel"/>
    <w:tmpl w:val="F836C566"/>
    <w:lvl w:ilvl="0" w:tplc="04E2D62C">
      <w:start w:val="1"/>
      <w:numFmt w:val="upperLetter"/>
      <w:lvlText w:val="%1)"/>
      <w:lvlJc w:val="left"/>
      <w:pPr>
        <w:ind w:left="349" w:hanging="360"/>
      </w:pPr>
      <w:rPr>
        <w:rFonts w:hint="default"/>
      </w:rPr>
    </w:lvl>
    <w:lvl w:ilvl="1" w:tplc="0C090019" w:tentative="1">
      <w:start w:val="1"/>
      <w:numFmt w:val="lowerLetter"/>
      <w:lvlText w:val="%2."/>
      <w:lvlJc w:val="left"/>
      <w:pPr>
        <w:ind w:left="1069" w:hanging="360"/>
      </w:pPr>
    </w:lvl>
    <w:lvl w:ilvl="2" w:tplc="0C09001B" w:tentative="1">
      <w:start w:val="1"/>
      <w:numFmt w:val="lowerRoman"/>
      <w:lvlText w:val="%3."/>
      <w:lvlJc w:val="right"/>
      <w:pPr>
        <w:ind w:left="1789" w:hanging="180"/>
      </w:pPr>
    </w:lvl>
    <w:lvl w:ilvl="3" w:tplc="0C09000F" w:tentative="1">
      <w:start w:val="1"/>
      <w:numFmt w:val="decimal"/>
      <w:lvlText w:val="%4."/>
      <w:lvlJc w:val="left"/>
      <w:pPr>
        <w:ind w:left="2509" w:hanging="360"/>
      </w:pPr>
    </w:lvl>
    <w:lvl w:ilvl="4" w:tplc="0C090019" w:tentative="1">
      <w:start w:val="1"/>
      <w:numFmt w:val="lowerLetter"/>
      <w:lvlText w:val="%5."/>
      <w:lvlJc w:val="left"/>
      <w:pPr>
        <w:ind w:left="3229" w:hanging="360"/>
      </w:pPr>
    </w:lvl>
    <w:lvl w:ilvl="5" w:tplc="0C09001B" w:tentative="1">
      <w:start w:val="1"/>
      <w:numFmt w:val="lowerRoman"/>
      <w:lvlText w:val="%6."/>
      <w:lvlJc w:val="right"/>
      <w:pPr>
        <w:ind w:left="3949" w:hanging="180"/>
      </w:pPr>
    </w:lvl>
    <w:lvl w:ilvl="6" w:tplc="0C09000F" w:tentative="1">
      <w:start w:val="1"/>
      <w:numFmt w:val="decimal"/>
      <w:lvlText w:val="%7."/>
      <w:lvlJc w:val="left"/>
      <w:pPr>
        <w:ind w:left="4669" w:hanging="360"/>
      </w:pPr>
    </w:lvl>
    <w:lvl w:ilvl="7" w:tplc="0C090019" w:tentative="1">
      <w:start w:val="1"/>
      <w:numFmt w:val="lowerLetter"/>
      <w:lvlText w:val="%8."/>
      <w:lvlJc w:val="left"/>
      <w:pPr>
        <w:ind w:left="5389" w:hanging="360"/>
      </w:pPr>
    </w:lvl>
    <w:lvl w:ilvl="8" w:tplc="0C09001B" w:tentative="1">
      <w:start w:val="1"/>
      <w:numFmt w:val="lowerRoman"/>
      <w:lvlText w:val="%9."/>
      <w:lvlJc w:val="right"/>
      <w:pPr>
        <w:ind w:left="6109" w:hanging="180"/>
      </w:pPr>
    </w:lvl>
  </w:abstractNum>
  <w:abstractNum w:abstractNumId="4" w15:restartNumberingAfterBreak="0">
    <w:nsid w:val="13DA337A"/>
    <w:multiLevelType w:val="multilevel"/>
    <w:tmpl w:val="27368EC0"/>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20C5B20"/>
    <w:multiLevelType w:val="hybridMultilevel"/>
    <w:tmpl w:val="37D8E8EE"/>
    <w:lvl w:ilvl="0" w:tplc="DC10E84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33A16F4"/>
    <w:multiLevelType w:val="hybridMultilevel"/>
    <w:tmpl w:val="EBD4C8E0"/>
    <w:lvl w:ilvl="0" w:tplc="89364B2A">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25E87DBC"/>
    <w:multiLevelType w:val="multilevel"/>
    <w:tmpl w:val="A2F6611E"/>
    <w:lvl w:ilvl="0">
      <w:start w:val="2"/>
      <w:numFmt w:val="decimal"/>
      <w:lvlText w:val="%1"/>
      <w:lvlJc w:val="left"/>
      <w:pPr>
        <w:tabs>
          <w:tab w:val="num" w:pos="450"/>
        </w:tabs>
        <w:ind w:left="450" w:hanging="450"/>
      </w:pPr>
      <w:rPr>
        <w:rFonts w:hint="default"/>
      </w:rPr>
    </w:lvl>
    <w:lvl w:ilvl="1">
      <w:start w:val="1"/>
      <w:numFmt w:val="decimal"/>
      <w:pStyle w:val="UtilComNumberItem2"/>
      <w:lvlText w:val="2.%2"/>
      <w:lvlJc w:val="left"/>
      <w:pPr>
        <w:tabs>
          <w:tab w:val="num" w:pos="690"/>
        </w:tabs>
        <w:ind w:left="690" w:hanging="450"/>
      </w:pPr>
      <w:rPr>
        <w:rFonts w:hint="default"/>
        <w:b w:val="0"/>
      </w:rPr>
    </w:lvl>
    <w:lvl w:ilvl="2">
      <w:start w:val="1"/>
      <w:numFmt w:val="decimal"/>
      <w:lvlText w:val="2.%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16"/>
        </w:tabs>
        <w:ind w:left="2016" w:hanging="1440"/>
      </w:pPr>
      <w:rPr>
        <w:rFonts w:hint="default"/>
      </w:rPr>
    </w:lvl>
  </w:abstractNum>
  <w:abstractNum w:abstractNumId="8" w15:restartNumberingAfterBreak="0">
    <w:nsid w:val="33C7149B"/>
    <w:multiLevelType w:val="hybridMultilevel"/>
    <w:tmpl w:val="66EE53AC"/>
    <w:lvl w:ilvl="0" w:tplc="A8DA1F9A">
      <w:start w:val="1"/>
      <w:numFmt w:val="lowerRoman"/>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466EEB"/>
    <w:multiLevelType w:val="hybridMultilevel"/>
    <w:tmpl w:val="4DB2F728"/>
    <w:lvl w:ilvl="0" w:tplc="692C3FF6">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15:restartNumberingAfterBreak="0">
    <w:nsid w:val="40A70B39"/>
    <w:multiLevelType w:val="hybridMultilevel"/>
    <w:tmpl w:val="75E2DB5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686883"/>
    <w:multiLevelType w:val="multilevel"/>
    <w:tmpl w:val="B9629EE2"/>
    <w:lvl w:ilvl="0">
      <w:start w:val="1"/>
      <w:numFmt w:val="bullet"/>
      <w:pStyle w:val="UtilComBulletText"/>
      <w:lvlText w:val=""/>
      <w:lvlJc w:val="left"/>
      <w:pPr>
        <w:tabs>
          <w:tab w:val="num" w:pos="964"/>
        </w:tabs>
        <w:ind w:left="964" w:hanging="397"/>
      </w:pPr>
      <w:rPr>
        <w:rFonts w:ascii="Symbol" w:hAnsi="Symbol" w:hint="default"/>
        <w:color w:val="auto"/>
      </w:rPr>
    </w:lvl>
    <w:lvl w:ilvl="1">
      <w:start w:val="1"/>
      <w:numFmt w:val="bullet"/>
      <w:lvlText w:val=""/>
      <w:lvlJc w:val="left"/>
      <w:pPr>
        <w:tabs>
          <w:tab w:val="num" w:pos="563"/>
        </w:tabs>
        <w:ind w:left="563" w:hanging="491"/>
      </w:pPr>
      <w:rPr>
        <w:rFonts w:ascii="Symbol" w:hAnsi="Symbol" w:hint="default"/>
        <w:color w:val="auto"/>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16"/>
        </w:tabs>
        <w:ind w:left="2016" w:hanging="1440"/>
      </w:pPr>
      <w:rPr>
        <w:rFonts w:hint="default"/>
      </w:rPr>
    </w:lvl>
  </w:abstractNum>
  <w:abstractNum w:abstractNumId="12" w15:restartNumberingAfterBreak="0">
    <w:nsid w:val="431D6415"/>
    <w:multiLevelType w:val="multilevel"/>
    <w:tmpl w:val="7CBEE498"/>
    <w:lvl w:ilvl="0">
      <w:start w:val="1"/>
      <w:numFmt w:val="lowerLetter"/>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45D65B4"/>
    <w:multiLevelType w:val="hybridMultilevel"/>
    <w:tmpl w:val="0380A1A8"/>
    <w:lvl w:ilvl="0" w:tplc="C3EEF764">
      <w:start w:val="1"/>
      <w:numFmt w:val="lowerLetter"/>
      <w:lvlText w:val="(%1)"/>
      <w:lvlJc w:val="left"/>
      <w:pPr>
        <w:ind w:left="404" w:hanging="360"/>
      </w:pPr>
      <w:rPr>
        <w:rFonts w:hint="default"/>
      </w:rPr>
    </w:lvl>
    <w:lvl w:ilvl="1" w:tplc="0C090019" w:tentative="1">
      <w:start w:val="1"/>
      <w:numFmt w:val="lowerLetter"/>
      <w:lvlText w:val="%2."/>
      <w:lvlJc w:val="left"/>
      <w:pPr>
        <w:ind w:left="1124" w:hanging="360"/>
      </w:pPr>
    </w:lvl>
    <w:lvl w:ilvl="2" w:tplc="0C09001B" w:tentative="1">
      <w:start w:val="1"/>
      <w:numFmt w:val="lowerRoman"/>
      <w:lvlText w:val="%3."/>
      <w:lvlJc w:val="right"/>
      <w:pPr>
        <w:ind w:left="1844" w:hanging="180"/>
      </w:pPr>
    </w:lvl>
    <w:lvl w:ilvl="3" w:tplc="0C09000F" w:tentative="1">
      <w:start w:val="1"/>
      <w:numFmt w:val="decimal"/>
      <w:lvlText w:val="%4."/>
      <w:lvlJc w:val="left"/>
      <w:pPr>
        <w:ind w:left="2564" w:hanging="360"/>
      </w:pPr>
    </w:lvl>
    <w:lvl w:ilvl="4" w:tplc="0C090019" w:tentative="1">
      <w:start w:val="1"/>
      <w:numFmt w:val="lowerLetter"/>
      <w:lvlText w:val="%5."/>
      <w:lvlJc w:val="left"/>
      <w:pPr>
        <w:ind w:left="3284" w:hanging="360"/>
      </w:pPr>
    </w:lvl>
    <w:lvl w:ilvl="5" w:tplc="0C09001B" w:tentative="1">
      <w:start w:val="1"/>
      <w:numFmt w:val="lowerRoman"/>
      <w:lvlText w:val="%6."/>
      <w:lvlJc w:val="right"/>
      <w:pPr>
        <w:ind w:left="4004" w:hanging="180"/>
      </w:pPr>
    </w:lvl>
    <w:lvl w:ilvl="6" w:tplc="0C09000F" w:tentative="1">
      <w:start w:val="1"/>
      <w:numFmt w:val="decimal"/>
      <w:lvlText w:val="%7."/>
      <w:lvlJc w:val="left"/>
      <w:pPr>
        <w:ind w:left="4724" w:hanging="360"/>
      </w:pPr>
    </w:lvl>
    <w:lvl w:ilvl="7" w:tplc="0C090019" w:tentative="1">
      <w:start w:val="1"/>
      <w:numFmt w:val="lowerLetter"/>
      <w:lvlText w:val="%8."/>
      <w:lvlJc w:val="left"/>
      <w:pPr>
        <w:ind w:left="5444" w:hanging="360"/>
      </w:pPr>
    </w:lvl>
    <w:lvl w:ilvl="8" w:tplc="0C09001B" w:tentative="1">
      <w:start w:val="1"/>
      <w:numFmt w:val="lowerRoman"/>
      <w:lvlText w:val="%9."/>
      <w:lvlJc w:val="right"/>
      <w:pPr>
        <w:ind w:left="6164" w:hanging="180"/>
      </w:pPr>
    </w:lvl>
  </w:abstractNum>
  <w:abstractNum w:abstractNumId="14" w15:restartNumberingAfterBreak="0">
    <w:nsid w:val="46673062"/>
    <w:multiLevelType w:val="hybridMultilevel"/>
    <w:tmpl w:val="A8183526"/>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4C4E03F9"/>
    <w:multiLevelType w:val="hybridMultilevel"/>
    <w:tmpl w:val="B5982E00"/>
    <w:lvl w:ilvl="0" w:tplc="AA04DD3C">
      <w:start w:val="1"/>
      <w:numFmt w:val="decimal"/>
      <w:lvlText w:val="1.%1"/>
      <w:lvlJc w:val="left"/>
      <w:pPr>
        <w:ind w:left="786" w:hanging="360"/>
      </w:pPr>
      <w:rPr>
        <w:rFonts w:hint="default"/>
      </w:rPr>
    </w:lvl>
    <w:lvl w:ilvl="1" w:tplc="9CBA274A">
      <w:start w:val="1"/>
      <w:numFmt w:val="decimal"/>
      <w:lvlText w:val="1.%2"/>
      <w:lvlJc w:val="left"/>
      <w:pPr>
        <w:ind w:left="644"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EAE2671"/>
    <w:multiLevelType w:val="multilevel"/>
    <w:tmpl w:val="FECECED2"/>
    <w:lvl w:ilvl="0">
      <w:start w:val="3"/>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7" w15:restartNumberingAfterBreak="0">
    <w:nsid w:val="539C56B9"/>
    <w:multiLevelType w:val="hybridMultilevel"/>
    <w:tmpl w:val="9AF29BE2"/>
    <w:lvl w:ilvl="0" w:tplc="DC10E84C">
      <w:start w:val="1"/>
      <w:numFmt w:val="bullet"/>
      <w:lvlText w:val=""/>
      <w:lvlJc w:val="left"/>
      <w:pPr>
        <w:ind w:left="1572" w:hanging="360"/>
      </w:pPr>
      <w:rPr>
        <w:rFonts w:ascii="Symbol" w:hAnsi="Symbol" w:hint="default"/>
      </w:rPr>
    </w:lvl>
    <w:lvl w:ilvl="1" w:tplc="0C090003" w:tentative="1">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18" w15:restartNumberingAfterBreak="0">
    <w:nsid w:val="5AE834C7"/>
    <w:multiLevelType w:val="multilevel"/>
    <w:tmpl w:val="5F5EFDF4"/>
    <w:lvl w:ilvl="0">
      <w:start w:val="2"/>
      <w:numFmt w:val="none"/>
      <w:lvlText w:val=""/>
      <w:lvlJc w:val="left"/>
      <w:pPr>
        <w:tabs>
          <w:tab w:val="num" w:pos="450"/>
        </w:tabs>
        <w:ind w:left="450" w:hanging="450"/>
      </w:pPr>
      <w:rPr>
        <w:rFonts w:hint="default"/>
      </w:rPr>
    </w:lvl>
    <w:lvl w:ilvl="1">
      <w:start w:val="1"/>
      <w:numFmt w:val="decimal"/>
      <w:pStyle w:val="31UtilComNumber"/>
      <w:lvlText w:val="3.%2"/>
      <w:lvlJc w:val="left"/>
      <w:pPr>
        <w:tabs>
          <w:tab w:val="num" w:pos="690"/>
        </w:tabs>
        <w:ind w:left="690" w:hanging="450"/>
      </w:pPr>
      <w:rPr>
        <w:rFonts w:hint="default"/>
        <w:b w:val="0"/>
      </w:rPr>
    </w:lvl>
    <w:lvl w:ilvl="2">
      <w:start w:val="1"/>
      <w:numFmt w:val="decimal"/>
      <w:lvlText w:val="2.%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16"/>
        </w:tabs>
        <w:ind w:left="2016" w:hanging="1440"/>
      </w:pPr>
      <w:rPr>
        <w:rFonts w:hint="default"/>
      </w:rPr>
    </w:lvl>
  </w:abstractNum>
  <w:abstractNum w:abstractNumId="19" w15:restartNumberingAfterBreak="0">
    <w:nsid w:val="63726976"/>
    <w:multiLevelType w:val="hybridMultilevel"/>
    <w:tmpl w:val="85383C82"/>
    <w:lvl w:ilvl="0" w:tplc="C85CF40C">
      <w:start w:val="1"/>
      <w:numFmt w:val="bullet"/>
      <w:pStyle w:val="Guideline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E75BBC"/>
    <w:multiLevelType w:val="hybridMultilevel"/>
    <w:tmpl w:val="2B7ED7EA"/>
    <w:lvl w:ilvl="0" w:tplc="0C090017">
      <w:start w:val="1"/>
      <w:numFmt w:val="lowerLetter"/>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C85453"/>
    <w:multiLevelType w:val="hybridMultilevel"/>
    <w:tmpl w:val="6978B6F2"/>
    <w:lvl w:ilvl="0" w:tplc="A24A9DE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F64136"/>
    <w:multiLevelType w:val="hybridMultilevel"/>
    <w:tmpl w:val="F354995E"/>
    <w:lvl w:ilvl="0" w:tplc="0C090017">
      <w:start w:val="1"/>
      <w:numFmt w:val="lowerLetter"/>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280EBF"/>
    <w:multiLevelType w:val="hybridMultilevel"/>
    <w:tmpl w:val="F43EABF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2893F36"/>
    <w:multiLevelType w:val="multilevel"/>
    <w:tmpl w:val="1FB019F0"/>
    <w:lvl w:ilvl="0">
      <w:start w:val="4"/>
      <w:numFmt w:val="decimal"/>
      <w:lvlText w:val="%1.1"/>
      <w:lvlJc w:val="left"/>
      <w:pPr>
        <w:tabs>
          <w:tab w:val="num" w:pos="450"/>
        </w:tabs>
        <w:ind w:left="450" w:hanging="450"/>
      </w:pPr>
      <w:rPr>
        <w:rFonts w:hint="default"/>
      </w:rPr>
    </w:lvl>
    <w:lvl w:ilvl="1">
      <w:start w:val="1"/>
      <w:numFmt w:val="decimal"/>
      <w:pStyle w:val="UtilComNumberedText"/>
      <w:lvlText w:val="%24.1"/>
      <w:lvlJc w:val="left"/>
      <w:pPr>
        <w:tabs>
          <w:tab w:val="num" w:pos="522"/>
        </w:tabs>
        <w:ind w:left="522" w:hanging="450"/>
      </w:pPr>
      <w:rPr>
        <w:rFonts w:hint="default"/>
        <w:b w:val="0"/>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16"/>
        </w:tabs>
        <w:ind w:left="2016" w:hanging="1440"/>
      </w:pPr>
      <w:rPr>
        <w:rFonts w:hint="default"/>
      </w:rPr>
    </w:lvl>
  </w:abstractNum>
  <w:abstractNum w:abstractNumId="25" w15:restartNumberingAfterBreak="0">
    <w:nsid w:val="74D9706A"/>
    <w:multiLevelType w:val="hybridMultilevel"/>
    <w:tmpl w:val="F43EABF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77B7CD7"/>
    <w:multiLevelType w:val="hybridMultilevel"/>
    <w:tmpl w:val="33CA31DA"/>
    <w:lvl w:ilvl="0" w:tplc="3E5A74C6">
      <w:start w:val="1"/>
      <w:numFmt w:val="lowerLetter"/>
      <w:pStyle w:val="UtilComLetterNumbering"/>
      <w:lvlText w:val="%1)"/>
      <w:lvlJc w:val="left"/>
      <w:pPr>
        <w:tabs>
          <w:tab w:val="num" w:pos="964"/>
        </w:tabs>
        <w:ind w:left="964" w:hanging="397"/>
      </w:pPr>
      <w:rPr>
        <w:rFonts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27" w15:restartNumberingAfterBreak="0">
    <w:nsid w:val="78995741"/>
    <w:multiLevelType w:val="hybridMultilevel"/>
    <w:tmpl w:val="66EE53AC"/>
    <w:lvl w:ilvl="0" w:tplc="A8DA1F9A">
      <w:start w:val="1"/>
      <w:numFmt w:val="lowerRoman"/>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4E39EF"/>
    <w:multiLevelType w:val="hybridMultilevel"/>
    <w:tmpl w:val="D54C41F6"/>
    <w:lvl w:ilvl="0" w:tplc="C85CF40C">
      <w:start w:val="1"/>
      <w:numFmt w:val="bullet"/>
      <w:lvlText w:val=""/>
      <w:lvlJc w:val="left"/>
      <w:pPr>
        <w:ind w:left="720" w:hanging="360"/>
      </w:pPr>
      <w:rPr>
        <w:rFonts w:ascii="Symbol" w:hAnsi="Symbol" w:hint="default"/>
      </w:rPr>
    </w:lvl>
    <w:lvl w:ilvl="1" w:tplc="01DCB77C">
      <w:start w:val="1"/>
      <w:numFmt w:val="bullet"/>
      <w:pStyle w:val="GuidelineTabledash"/>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197BC1"/>
    <w:multiLevelType w:val="hybridMultilevel"/>
    <w:tmpl w:val="E5D84832"/>
    <w:lvl w:ilvl="0" w:tplc="0C090017">
      <w:start w:val="1"/>
      <w:numFmt w:val="lowerLetter"/>
      <w:lvlText w:val="%1)"/>
      <w:lvlJc w:val="left"/>
      <w:pPr>
        <w:ind w:left="927"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21"/>
  </w:num>
  <w:num w:numId="3">
    <w:abstractNumId w:val="11"/>
  </w:num>
  <w:num w:numId="4">
    <w:abstractNumId w:val="7"/>
  </w:num>
  <w:num w:numId="5">
    <w:abstractNumId w:val="18"/>
  </w:num>
  <w:num w:numId="6">
    <w:abstractNumId w:val="24"/>
  </w:num>
  <w:num w:numId="7">
    <w:abstractNumId w:val="26"/>
  </w:num>
  <w:num w:numId="8">
    <w:abstractNumId w:val="19"/>
  </w:num>
  <w:num w:numId="9">
    <w:abstractNumId w:val="28"/>
  </w:num>
  <w:num w:numId="10">
    <w:abstractNumId w:val="15"/>
  </w:num>
  <w:num w:numId="11">
    <w:abstractNumId w:val="5"/>
  </w:num>
  <w:num w:numId="12">
    <w:abstractNumId w:val="13"/>
  </w:num>
  <w:num w:numId="13">
    <w:abstractNumId w:val="4"/>
  </w:num>
  <w:num w:numId="14">
    <w:abstractNumId w:val="17"/>
  </w:num>
  <w:num w:numId="15">
    <w:abstractNumId w:val="1"/>
  </w:num>
  <w:num w:numId="16">
    <w:abstractNumId w:val="16"/>
  </w:num>
  <w:num w:numId="17">
    <w:abstractNumId w:val="8"/>
  </w:num>
  <w:num w:numId="18">
    <w:abstractNumId w:val="22"/>
  </w:num>
  <w:num w:numId="19">
    <w:abstractNumId w:val="27"/>
  </w:num>
  <w:num w:numId="20">
    <w:abstractNumId w:val="20"/>
  </w:num>
  <w:num w:numId="21">
    <w:abstractNumId w:val="29"/>
  </w:num>
  <w:num w:numId="22">
    <w:abstractNumId w:val="9"/>
  </w:num>
  <w:num w:numId="23">
    <w:abstractNumId w:val="6"/>
  </w:num>
  <w:num w:numId="24">
    <w:abstractNumId w:val="12"/>
  </w:num>
  <w:num w:numId="25">
    <w:abstractNumId w:val="14"/>
  </w:num>
  <w:num w:numId="26">
    <w:abstractNumId w:val="10"/>
  </w:num>
  <w:num w:numId="27">
    <w:abstractNumId w:val="23"/>
  </w:num>
  <w:num w:numId="28">
    <w:abstractNumId w:val="25"/>
  </w:num>
  <w:num w:numId="29">
    <w:abstractNumId w:val="3"/>
  </w:num>
  <w:num w:numId="30">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myU7JSKPH/lgmHbPHNuis6pxv56RYgguDBuYqu3eZcJWaRzWJKVv0U52t90t1Zj15dmUphfVaqJGU2VAU5GLEQ==" w:salt="z4+F0NAr3Ni60pqSqTnvfA=="/>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97"/>
    <w:rsid w:val="00002435"/>
    <w:rsid w:val="00003079"/>
    <w:rsid w:val="00004B5B"/>
    <w:rsid w:val="00013446"/>
    <w:rsid w:val="00014342"/>
    <w:rsid w:val="000153DA"/>
    <w:rsid w:val="000175F9"/>
    <w:rsid w:val="00020BFA"/>
    <w:rsid w:val="00021039"/>
    <w:rsid w:val="0002366A"/>
    <w:rsid w:val="000301BC"/>
    <w:rsid w:val="00030443"/>
    <w:rsid w:val="00032E00"/>
    <w:rsid w:val="0003436F"/>
    <w:rsid w:val="00035941"/>
    <w:rsid w:val="00037306"/>
    <w:rsid w:val="00040ABB"/>
    <w:rsid w:val="00043069"/>
    <w:rsid w:val="00047BC3"/>
    <w:rsid w:val="0005025F"/>
    <w:rsid w:val="000504E0"/>
    <w:rsid w:val="0005270C"/>
    <w:rsid w:val="00052773"/>
    <w:rsid w:val="00053955"/>
    <w:rsid w:val="00057D21"/>
    <w:rsid w:val="000611EE"/>
    <w:rsid w:val="00062C3F"/>
    <w:rsid w:val="00065763"/>
    <w:rsid w:val="0006594C"/>
    <w:rsid w:val="000676FB"/>
    <w:rsid w:val="0007018F"/>
    <w:rsid w:val="00071AB1"/>
    <w:rsid w:val="000730C2"/>
    <w:rsid w:val="00073D5B"/>
    <w:rsid w:val="00075DD8"/>
    <w:rsid w:val="00076268"/>
    <w:rsid w:val="00077F33"/>
    <w:rsid w:val="0008641C"/>
    <w:rsid w:val="00091B25"/>
    <w:rsid w:val="00096548"/>
    <w:rsid w:val="000A0BE7"/>
    <w:rsid w:val="000A209A"/>
    <w:rsid w:val="000A272A"/>
    <w:rsid w:val="000A3818"/>
    <w:rsid w:val="000A44CC"/>
    <w:rsid w:val="000A5A4E"/>
    <w:rsid w:val="000A5CA7"/>
    <w:rsid w:val="000A7125"/>
    <w:rsid w:val="000A73D6"/>
    <w:rsid w:val="000A7671"/>
    <w:rsid w:val="000A7C23"/>
    <w:rsid w:val="000B027C"/>
    <w:rsid w:val="000B04D8"/>
    <w:rsid w:val="000B0A14"/>
    <w:rsid w:val="000B21F0"/>
    <w:rsid w:val="000B2FF9"/>
    <w:rsid w:val="000B3305"/>
    <w:rsid w:val="000B59DE"/>
    <w:rsid w:val="000C089E"/>
    <w:rsid w:val="000C3FD8"/>
    <w:rsid w:val="000C562E"/>
    <w:rsid w:val="000D1349"/>
    <w:rsid w:val="000D23FC"/>
    <w:rsid w:val="000D2502"/>
    <w:rsid w:val="000D2973"/>
    <w:rsid w:val="000D566F"/>
    <w:rsid w:val="000E3299"/>
    <w:rsid w:val="000E345C"/>
    <w:rsid w:val="000E4E81"/>
    <w:rsid w:val="000E6026"/>
    <w:rsid w:val="000E7DF5"/>
    <w:rsid w:val="000F1467"/>
    <w:rsid w:val="000F2860"/>
    <w:rsid w:val="000F3AA4"/>
    <w:rsid w:val="000F3ABD"/>
    <w:rsid w:val="000F7A5D"/>
    <w:rsid w:val="00101B26"/>
    <w:rsid w:val="0010538D"/>
    <w:rsid w:val="00107FE3"/>
    <w:rsid w:val="00110347"/>
    <w:rsid w:val="00110CD4"/>
    <w:rsid w:val="0011295E"/>
    <w:rsid w:val="00120343"/>
    <w:rsid w:val="00122679"/>
    <w:rsid w:val="00127A28"/>
    <w:rsid w:val="00127B06"/>
    <w:rsid w:val="001309E9"/>
    <w:rsid w:val="00132BBD"/>
    <w:rsid w:val="001366C3"/>
    <w:rsid w:val="00136A29"/>
    <w:rsid w:val="00136D8F"/>
    <w:rsid w:val="0014027E"/>
    <w:rsid w:val="00140D13"/>
    <w:rsid w:val="0014299B"/>
    <w:rsid w:val="00143B9C"/>
    <w:rsid w:val="0014495F"/>
    <w:rsid w:val="00144E16"/>
    <w:rsid w:val="00147A40"/>
    <w:rsid w:val="001506EB"/>
    <w:rsid w:val="001515B2"/>
    <w:rsid w:val="00151EA6"/>
    <w:rsid w:val="00152E92"/>
    <w:rsid w:val="00156763"/>
    <w:rsid w:val="0015679A"/>
    <w:rsid w:val="00157DE9"/>
    <w:rsid w:val="00163AED"/>
    <w:rsid w:val="00171AF8"/>
    <w:rsid w:val="0018105A"/>
    <w:rsid w:val="00184F56"/>
    <w:rsid w:val="001917BC"/>
    <w:rsid w:val="00191BC8"/>
    <w:rsid w:val="001A344F"/>
    <w:rsid w:val="001A7ABB"/>
    <w:rsid w:val="001B0524"/>
    <w:rsid w:val="001B0FBB"/>
    <w:rsid w:val="001B28A7"/>
    <w:rsid w:val="001B44A8"/>
    <w:rsid w:val="001B4DD3"/>
    <w:rsid w:val="001B69F5"/>
    <w:rsid w:val="001B6B35"/>
    <w:rsid w:val="001C58BC"/>
    <w:rsid w:val="001C5B67"/>
    <w:rsid w:val="001C692B"/>
    <w:rsid w:val="001C7A1F"/>
    <w:rsid w:val="001D1CF4"/>
    <w:rsid w:val="001D21E9"/>
    <w:rsid w:val="001D5280"/>
    <w:rsid w:val="001D53E7"/>
    <w:rsid w:val="001F4FA0"/>
    <w:rsid w:val="001F5DEB"/>
    <w:rsid w:val="00202F90"/>
    <w:rsid w:val="002040DE"/>
    <w:rsid w:val="002072CD"/>
    <w:rsid w:val="00212E11"/>
    <w:rsid w:val="0021306B"/>
    <w:rsid w:val="002159D8"/>
    <w:rsid w:val="0021602D"/>
    <w:rsid w:val="00220881"/>
    <w:rsid w:val="0022281D"/>
    <w:rsid w:val="00222A8F"/>
    <w:rsid w:val="00222AC1"/>
    <w:rsid w:val="00222F71"/>
    <w:rsid w:val="002240A9"/>
    <w:rsid w:val="00230BDF"/>
    <w:rsid w:val="00231E5A"/>
    <w:rsid w:val="00233BD8"/>
    <w:rsid w:val="00234128"/>
    <w:rsid w:val="002358BB"/>
    <w:rsid w:val="00241EA4"/>
    <w:rsid w:val="00246A2C"/>
    <w:rsid w:val="00247BA8"/>
    <w:rsid w:val="00262D52"/>
    <w:rsid w:val="00265E01"/>
    <w:rsid w:val="002709E4"/>
    <w:rsid w:val="002716CF"/>
    <w:rsid w:val="00273D78"/>
    <w:rsid w:val="0027453A"/>
    <w:rsid w:val="00277810"/>
    <w:rsid w:val="0028092B"/>
    <w:rsid w:val="002816D3"/>
    <w:rsid w:val="00282E34"/>
    <w:rsid w:val="00284F4E"/>
    <w:rsid w:val="002871F3"/>
    <w:rsid w:val="00291D6F"/>
    <w:rsid w:val="00295105"/>
    <w:rsid w:val="00295D96"/>
    <w:rsid w:val="00297C91"/>
    <w:rsid w:val="00297D14"/>
    <w:rsid w:val="002A12B8"/>
    <w:rsid w:val="002A1473"/>
    <w:rsid w:val="002A2E20"/>
    <w:rsid w:val="002A3481"/>
    <w:rsid w:val="002A3B4A"/>
    <w:rsid w:val="002A3CD0"/>
    <w:rsid w:val="002A539F"/>
    <w:rsid w:val="002A5ABC"/>
    <w:rsid w:val="002A5D4C"/>
    <w:rsid w:val="002A6AA1"/>
    <w:rsid w:val="002A6D4E"/>
    <w:rsid w:val="002A7D3A"/>
    <w:rsid w:val="002B163E"/>
    <w:rsid w:val="002B1DDB"/>
    <w:rsid w:val="002B25C1"/>
    <w:rsid w:val="002B3DFE"/>
    <w:rsid w:val="002B4043"/>
    <w:rsid w:val="002B5D42"/>
    <w:rsid w:val="002B6F0A"/>
    <w:rsid w:val="002B7219"/>
    <w:rsid w:val="002B752E"/>
    <w:rsid w:val="002C0C1A"/>
    <w:rsid w:val="002C0C52"/>
    <w:rsid w:val="002C21F6"/>
    <w:rsid w:val="002C3177"/>
    <w:rsid w:val="002C39A3"/>
    <w:rsid w:val="002C5A75"/>
    <w:rsid w:val="002D1FF3"/>
    <w:rsid w:val="002D2C68"/>
    <w:rsid w:val="002D2F24"/>
    <w:rsid w:val="002D3A83"/>
    <w:rsid w:val="002D5729"/>
    <w:rsid w:val="002E2F35"/>
    <w:rsid w:val="002E3F0C"/>
    <w:rsid w:val="002E5929"/>
    <w:rsid w:val="002F053A"/>
    <w:rsid w:val="002F4C96"/>
    <w:rsid w:val="002F5B02"/>
    <w:rsid w:val="002F68A3"/>
    <w:rsid w:val="003000B7"/>
    <w:rsid w:val="00302225"/>
    <w:rsid w:val="00302A92"/>
    <w:rsid w:val="00302D53"/>
    <w:rsid w:val="00302FDB"/>
    <w:rsid w:val="00303F16"/>
    <w:rsid w:val="00304A8B"/>
    <w:rsid w:val="00305D49"/>
    <w:rsid w:val="00306A2C"/>
    <w:rsid w:val="003111F9"/>
    <w:rsid w:val="0031184F"/>
    <w:rsid w:val="00311971"/>
    <w:rsid w:val="003123E4"/>
    <w:rsid w:val="00313A5B"/>
    <w:rsid w:val="0031468C"/>
    <w:rsid w:val="003146B9"/>
    <w:rsid w:val="00314DE6"/>
    <w:rsid w:val="003274CA"/>
    <w:rsid w:val="00330A17"/>
    <w:rsid w:val="00332CF6"/>
    <w:rsid w:val="00332E84"/>
    <w:rsid w:val="00335DA0"/>
    <w:rsid w:val="00340392"/>
    <w:rsid w:val="003441DB"/>
    <w:rsid w:val="00346F6E"/>
    <w:rsid w:val="00356212"/>
    <w:rsid w:val="00356FC4"/>
    <w:rsid w:val="00357221"/>
    <w:rsid w:val="0036201E"/>
    <w:rsid w:val="0036395A"/>
    <w:rsid w:val="00371220"/>
    <w:rsid w:val="00373D11"/>
    <w:rsid w:val="00376E8B"/>
    <w:rsid w:val="0038126F"/>
    <w:rsid w:val="00383EBA"/>
    <w:rsid w:val="00387E69"/>
    <w:rsid w:val="00387EFD"/>
    <w:rsid w:val="00391644"/>
    <w:rsid w:val="003917D9"/>
    <w:rsid w:val="00391E2E"/>
    <w:rsid w:val="003A10C1"/>
    <w:rsid w:val="003A21D7"/>
    <w:rsid w:val="003A2897"/>
    <w:rsid w:val="003A32E7"/>
    <w:rsid w:val="003A4A57"/>
    <w:rsid w:val="003A54E7"/>
    <w:rsid w:val="003B1E29"/>
    <w:rsid w:val="003B23BC"/>
    <w:rsid w:val="003B24A3"/>
    <w:rsid w:val="003B57C0"/>
    <w:rsid w:val="003B6A4F"/>
    <w:rsid w:val="003B7BBD"/>
    <w:rsid w:val="003C0D3E"/>
    <w:rsid w:val="003C101A"/>
    <w:rsid w:val="003C1E81"/>
    <w:rsid w:val="003C28EF"/>
    <w:rsid w:val="003C3635"/>
    <w:rsid w:val="003C3AF0"/>
    <w:rsid w:val="003C4FA7"/>
    <w:rsid w:val="003D1825"/>
    <w:rsid w:val="003D4F74"/>
    <w:rsid w:val="003D5ECF"/>
    <w:rsid w:val="003D61B7"/>
    <w:rsid w:val="003D7D27"/>
    <w:rsid w:val="003E3A6B"/>
    <w:rsid w:val="003E4453"/>
    <w:rsid w:val="003E5A8B"/>
    <w:rsid w:val="003E5A93"/>
    <w:rsid w:val="003E6088"/>
    <w:rsid w:val="003E62AE"/>
    <w:rsid w:val="003F1660"/>
    <w:rsid w:val="003F3FCA"/>
    <w:rsid w:val="003F66D9"/>
    <w:rsid w:val="003F6759"/>
    <w:rsid w:val="003F67A7"/>
    <w:rsid w:val="003F6D25"/>
    <w:rsid w:val="003F6FB3"/>
    <w:rsid w:val="003F733B"/>
    <w:rsid w:val="00400F9D"/>
    <w:rsid w:val="0040101D"/>
    <w:rsid w:val="00401C4A"/>
    <w:rsid w:val="00406D26"/>
    <w:rsid w:val="00407EFD"/>
    <w:rsid w:val="00411762"/>
    <w:rsid w:val="004119D9"/>
    <w:rsid w:val="004147D8"/>
    <w:rsid w:val="00415FF3"/>
    <w:rsid w:val="00420706"/>
    <w:rsid w:val="00420805"/>
    <w:rsid w:val="00420836"/>
    <w:rsid w:val="00421BC0"/>
    <w:rsid w:val="004247A5"/>
    <w:rsid w:val="00424CBB"/>
    <w:rsid w:val="004300D4"/>
    <w:rsid w:val="0043277F"/>
    <w:rsid w:val="00434D05"/>
    <w:rsid w:val="0043584F"/>
    <w:rsid w:val="00440671"/>
    <w:rsid w:val="00440F41"/>
    <w:rsid w:val="00444834"/>
    <w:rsid w:val="00446E4E"/>
    <w:rsid w:val="0045182F"/>
    <w:rsid w:val="00453C45"/>
    <w:rsid w:val="00457475"/>
    <w:rsid w:val="00457A43"/>
    <w:rsid w:val="00463C23"/>
    <w:rsid w:val="004704CA"/>
    <w:rsid w:val="004725E3"/>
    <w:rsid w:val="00472A60"/>
    <w:rsid w:val="004756BF"/>
    <w:rsid w:val="00476931"/>
    <w:rsid w:val="0047741B"/>
    <w:rsid w:val="0048351E"/>
    <w:rsid w:val="00483921"/>
    <w:rsid w:val="00484493"/>
    <w:rsid w:val="0048538B"/>
    <w:rsid w:val="00486252"/>
    <w:rsid w:val="00490E4B"/>
    <w:rsid w:val="00493EF3"/>
    <w:rsid w:val="00494C75"/>
    <w:rsid w:val="004A04A1"/>
    <w:rsid w:val="004A1262"/>
    <w:rsid w:val="004A1E19"/>
    <w:rsid w:val="004A2FC7"/>
    <w:rsid w:val="004A3B20"/>
    <w:rsid w:val="004A4B56"/>
    <w:rsid w:val="004A56F0"/>
    <w:rsid w:val="004A58D4"/>
    <w:rsid w:val="004B0905"/>
    <w:rsid w:val="004B3560"/>
    <w:rsid w:val="004B4498"/>
    <w:rsid w:val="004B5562"/>
    <w:rsid w:val="004C0751"/>
    <w:rsid w:val="004C08C5"/>
    <w:rsid w:val="004C0CB0"/>
    <w:rsid w:val="004C12DA"/>
    <w:rsid w:val="004C1B5D"/>
    <w:rsid w:val="004C1FD0"/>
    <w:rsid w:val="004C5881"/>
    <w:rsid w:val="004C7665"/>
    <w:rsid w:val="004D478C"/>
    <w:rsid w:val="004D52BF"/>
    <w:rsid w:val="004D5C0D"/>
    <w:rsid w:val="004E2047"/>
    <w:rsid w:val="004E350C"/>
    <w:rsid w:val="004E3E84"/>
    <w:rsid w:val="004E5803"/>
    <w:rsid w:val="004E597F"/>
    <w:rsid w:val="004E73CA"/>
    <w:rsid w:val="004E7574"/>
    <w:rsid w:val="004E7B26"/>
    <w:rsid w:val="004F0B3E"/>
    <w:rsid w:val="004F1F09"/>
    <w:rsid w:val="004F59F7"/>
    <w:rsid w:val="004F769A"/>
    <w:rsid w:val="00500806"/>
    <w:rsid w:val="00500975"/>
    <w:rsid w:val="00500DE5"/>
    <w:rsid w:val="005019B2"/>
    <w:rsid w:val="00503575"/>
    <w:rsid w:val="005053A9"/>
    <w:rsid w:val="005077EC"/>
    <w:rsid w:val="00510056"/>
    <w:rsid w:val="00510BE1"/>
    <w:rsid w:val="005112A6"/>
    <w:rsid w:val="00511E1D"/>
    <w:rsid w:val="0051247F"/>
    <w:rsid w:val="00514918"/>
    <w:rsid w:val="00514E0A"/>
    <w:rsid w:val="00517BD7"/>
    <w:rsid w:val="00517C2B"/>
    <w:rsid w:val="00517D47"/>
    <w:rsid w:val="00520CCD"/>
    <w:rsid w:val="00520DD3"/>
    <w:rsid w:val="00524BA5"/>
    <w:rsid w:val="00532057"/>
    <w:rsid w:val="0054367D"/>
    <w:rsid w:val="0054414B"/>
    <w:rsid w:val="00546FB0"/>
    <w:rsid w:val="00551877"/>
    <w:rsid w:val="00552772"/>
    <w:rsid w:val="00552E9B"/>
    <w:rsid w:val="005544FD"/>
    <w:rsid w:val="005555CC"/>
    <w:rsid w:val="0056465E"/>
    <w:rsid w:val="00564813"/>
    <w:rsid w:val="00565677"/>
    <w:rsid w:val="0056625C"/>
    <w:rsid w:val="00570D08"/>
    <w:rsid w:val="00572210"/>
    <w:rsid w:val="00576AFE"/>
    <w:rsid w:val="00577A39"/>
    <w:rsid w:val="00581062"/>
    <w:rsid w:val="00581277"/>
    <w:rsid w:val="00583D4F"/>
    <w:rsid w:val="005859C9"/>
    <w:rsid w:val="00593489"/>
    <w:rsid w:val="005958CF"/>
    <w:rsid w:val="005A29BC"/>
    <w:rsid w:val="005A5B54"/>
    <w:rsid w:val="005A6892"/>
    <w:rsid w:val="005B0921"/>
    <w:rsid w:val="005B0ADF"/>
    <w:rsid w:val="005B0C30"/>
    <w:rsid w:val="005B1EA4"/>
    <w:rsid w:val="005B699D"/>
    <w:rsid w:val="005B7275"/>
    <w:rsid w:val="005B7516"/>
    <w:rsid w:val="005C11FC"/>
    <w:rsid w:val="005C2D21"/>
    <w:rsid w:val="005C48A6"/>
    <w:rsid w:val="005C549C"/>
    <w:rsid w:val="005C683A"/>
    <w:rsid w:val="005C7A16"/>
    <w:rsid w:val="005C7E50"/>
    <w:rsid w:val="005D23C7"/>
    <w:rsid w:val="005D316B"/>
    <w:rsid w:val="005D5CE2"/>
    <w:rsid w:val="005E694C"/>
    <w:rsid w:val="005E79AF"/>
    <w:rsid w:val="005E7F6E"/>
    <w:rsid w:val="005F106F"/>
    <w:rsid w:val="005F540B"/>
    <w:rsid w:val="005F7D32"/>
    <w:rsid w:val="00602451"/>
    <w:rsid w:val="00603776"/>
    <w:rsid w:val="0060711E"/>
    <w:rsid w:val="00612369"/>
    <w:rsid w:val="00615454"/>
    <w:rsid w:val="00617B84"/>
    <w:rsid w:val="00617C81"/>
    <w:rsid w:val="00621789"/>
    <w:rsid w:val="00623475"/>
    <w:rsid w:val="006272DA"/>
    <w:rsid w:val="00627A0C"/>
    <w:rsid w:val="006324DB"/>
    <w:rsid w:val="00637DC8"/>
    <w:rsid w:val="006404BF"/>
    <w:rsid w:val="00640608"/>
    <w:rsid w:val="00644666"/>
    <w:rsid w:val="00650EFB"/>
    <w:rsid w:val="00651C8B"/>
    <w:rsid w:val="00652CAC"/>
    <w:rsid w:val="0065464D"/>
    <w:rsid w:val="00655D76"/>
    <w:rsid w:val="00662F77"/>
    <w:rsid w:val="00663C02"/>
    <w:rsid w:val="00670FE5"/>
    <w:rsid w:val="00671412"/>
    <w:rsid w:val="0068001F"/>
    <w:rsid w:val="00681DD6"/>
    <w:rsid w:val="00681DFD"/>
    <w:rsid w:val="006828D8"/>
    <w:rsid w:val="006844A7"/>
    <w:rsid w:val="00684ABC"/>
    <w:rsid w:val="006876B1"/>
    <w:rsid w:val="006953F0"/>
    <w:rsid w:val="0069568E"/>
    <w:rsid w:val="006A17AB"/>
    <w:rsid w:val="006A5D8C"/>
    <w:rsid w:val="006A5F9F"/>
    <w:rsid w:val="006A676E"/>
    <w:rsid w:val="006A72AB"/>
    <w:rsid w:val="006B23C6"/>
    <w:rsid w:val="006B48A8"/>
    <w:rsid w:val="006C19EE"/>
    <w:rsid w:val="006C21EF"/>
    <w:rsid w:val="006C2D21"/>
    <w:rsid w:val="006C3D52"/>
    <w:rsid w:val="006D31B6"/>
    <w:rsid w:val="006D54F1"/>
    <w:rsid w:val="006D6B93"/>
    <w:rsid w:val="006E0DBB"/>
    <w:rsid w:val="006E2058"/>
    <w:rsid w:val="006E3A87"/>
    <w:rsid w:val="006E5C28"/>
    <w:rsid w:val="006E7285"/>
    <w:rsid w:val="006F3BC4"/>
    <w:rsid w:val="006F3C33"/>
    <w:rsid w:val="006F5B2F"/>
    <w:rsid w:val="00705CCC"/>
    <w:rsid w:val="00706701"/>
    <w:rsid w:val="00711B07"/>
    <w:rsid w:val="007120EC"/>
    <w:rsid w:val="00715039"/>
    <w:rsid w:val="00720551"/>
    <w:rsid w:val="00721E44"/>
    <w:rsid w:val="00734C1B"/>
    <w:rsid w:val="00735EAC"/>
    <w:rsid w:val="00737C46"/>
    <w:rsid w:val="0074125F"/>
    <w:rsid w:val="00741703"/>
    <w:rsid w:val="00744CDA"/>
    <w:rsid w:val="00745582"/>
    <w:rsid w:val="007463F8"/>
    <w:rsid w:val="00746887"/>
    <w:rsid w:val="007508A5"/>
    <w:rsid w:val="00751F20"/>
    <w:rsid w:val="00752A15"/>
    <w:rsid w:val="00753D39"/>
    <w:rsid w:val="00755C79"/>
    <w:rsid w:val="00755D87"/>
    <w:rsid w:val="00760D6C"/>
    <w:rsid w:val="007616AF"/>
    <w:rsid w:val="007618B8"/>
    <w:rsid w:val="0077065C"/>
    <w:rsid w:val="00772705"/>
    <w:rsid w:val="007755F2"/>
    <w:rsid w:val="007770DC"/>
    <w:rsid w:val="00781255"/>
    <w:rsid w:val="007812BB"/>
    <w:rsid w:val="007815B4"/>
    <w:rsid w:val="00781B15"/>
    <w:rsid w:val="00783AFB"/>
    <w:rsid w:val="00786F08"/>
    <w:rsid w:val="00790116"/>
    <w:rsid w:val="007964CF"/>
    <w:rsid w:val="007A002E"/>
    <w:rsid w:val="007A1AEA"/>
    <w:rsid w:val="007A2200"/>
    <w:rsid w:val="007A2770"/>
    <w:rsid w:val="007A2B31"/>
    <w:rsid w:val="007A4FBA"/>
    <w:rsid w:val="007A7473"/>
    <w:rsid w:val="007B098B"/>
    <w:rsid w:val="007B1297"/>
    <w:rsid w:val="007B1E76"/>
    <w:rsid w:val="007B23FF"/>
    <w:rsid w:val="007B2CC5"/>
    <w:rsid w:val="007B2CEE"/>
    <w:rsid w:val="007B4B80"/>
    <w:rsid w:val="007B4D83"/>
    <w:rsid w:val="007B5749"/>
    <w:rsid w:val="007B576A"/>
    <w:rsid w:val="007C39ED"/>
    <w:rsid w:val="007C656E"/>
    <w:rsid w:val="007D6651"/>
    <w:rsid w:val="007D6C9B"/>
    <w:rsid w:val="007D799E"/>
    <w:rsid w:val="007E0B2A"/>
    <w:rsid w:val="007E0E5A"/>
    <w:rsid w:val="007E3578"/>
    <w:rsid w:val="007E4E95"/>
    <w:rsid w:val="007E6018"/>
    <w:rsid w:val="007E764E"/>
    <w:rsid w:val="007F2F5E"/>
    <w:rsid w:val="007F3049"/>
    <w:rsid w:val="007F4738"/>
    <w:rsid w:val="00800036"/>
    <w:rsid w:val="00800D13"/>
    <w:rsid w:val="00810B98"/>
    <w:rsid w:val="0081215E"/>
    <w:rsid w:val="0081321F"/>
    <w:rsid w:val="00813759"/>
    <w:rsid w:val="00814878"/>
    <w:rsid w:val="008156AF"/>
    <w:rsid w:val="00820643"/>
    <w:rsid w:val="00821095"/>
    <w:rsid w:val="00821532"/>
    <w:rsid w:val="00822764"/>
    <w:rsid w:val="00822AF5"/>
    <w:rsid w:val="008236DC"/>
    <w:rsid w:val="00830D00"/>
    <w:rsid w:val="008344E0"/>
    <w:rsid w:val="00836009"/>
    <w:rsid w:val="00840D26"/>
    <w:rsid w:val="008466CD"/>
    <w:rsid w:val="00852081"/>
    <w:rsid w:val="00857751"/>
    <w:rsid w:val="0086346A"/>
    <w:rsid w:val="00863D3D"/>
    <w:rsid w:val="00865446"/>
    <w:rsid w:val="008677AD"/>
    <w:rsid w:val="0087248C"/>
    <w:rsid w:val="00872669"/>
    <w:rsid w:val="00872B23"/>
    <w:rsid w:val="00881503"/>
    <w:rsid w:val="0088155A"/>
    <w:rsid w:val="008847F6"/>
    <w:rsid w:val="00890180"/>
    <w:rsid w:val="00892BED"/>
    <w:rsid w:val="008931EA"/>
    <w:rsid w:val="008932C5"/>
    <w:rsid w:val="0089457F"/>
    <w:rsid w:val="00895E8F"/>
    <w:rsid w:val="00895F8E"/>
    <w:rsid w:val="008A06E3"/>
    <w:rsid w:val="008A5F7F"/>
    <w:rsid w:val="008A6919"/>
    <w:rsid w:val="008A76CA"/>
    <w:rsid w:val="008B2DBD"/>
    <w:rsid w:val="008B3499"/>
    <w:rsid w:val="008B789B"/>
    <w:rsid w:val="008C11DD"/>
    <w:rsid w:val="008C79B9"/>
    <w:rsid w:val="008D2232"/>
    <w:rsid w:val="008D2B3E"/>
    <w:rsid w:val="008D535F"/>
    <w:rsid w:val="008D5ABC"/>
    <w:rsid w:val="008E0406"/>
    <w:rsid w:val="008F17E6"/>
    <w:rsid w:val="0090579C"/>
    <w:rsid w:val="00906366"/>
    <w:rsid w:val="00910E54"/>
    <w:rsid w:val="00910E6C"/>
    <w:rsid w:val="009112A5"/>
    <w:rsid w:val="00912DE0"/>
    <w:rsid w:val="00914ADA"/>
    <w:rsid w:val="0092098B"/>
    <w:rsid w:val="00921303"/>
    <w:rsid w:val="00922449"/>
    <w:rsid w:val="009245AA"/>
    <w:rsid w:val="00930A41"/>
    <w:rsid w:val="0093137B"/>
    <w:rsid w:val="00932693"/>
    <w:rsid w:val="009346B7"/>
    <w:rsid w:val="0093522F"/>
    <w:rsid w:val="00935D6E"/>
    <w:rsid w:val="00937D06"/>
    <w:rsid w:val="00937F10"/>
    <w:rsid w:val="00940EE8"/>
    <w:rsid w:val="00942703"/>
    <w:rsid w:val="0095219B"/>
    <w:rsid w:val="0095284D"/>
    <w:rsid w:val="00956351"/>
    <w:rsid w:val="009645A1"/>
    <w:rsid w:val="009648D8"/>
    <w:rsid w:val="009709CC"/>
    <w:rsid w:val="009716F1"/>
    <w:rsid w:val="00971960"/>
    <w:rsid w:val="00971A83"/>
    <w:rsid w:val="0097319D"/>
    <w:rsid w:val="009767E0"/>
    <w:rsid w:val="00981791"/>
    <w:rsid w:val="00984DBC"/>
    <w:rsid w:val="0099016A"/>
    <w:rsid w:val="00991851"/>
    <w:rsid w:val="00992376"/>
    <w:rsid w:val="009A1159"/>
    <w:rsid w:val="009A2F74"/>
    <w:rsid w:val="009A4B84"/>
    <w:rsid w:val="009A7CB0"/>
    <w:rsid w:val="009B1195"/>
    <w:rsid w:val="009B4C29"/>
    <w:rsid w:val="009B548B"/>
    <w:rsid w:val="009B7C5F"/>
    <w:rsid w:val="009C2250"/>
    <w:rsid w:val="009C24E8"/>
    <w:rsid w:val="009C4138"/>
    <w:rsid w:val="009C60C7"/>
    <w:rsid w:val="009C7163"/>
    <w:rsid w:val="009D2F81"/>
    <w:rsid w:val="009D5B38"/>
    <w:rsid w:val="009D7F47"/>
    <w:rsid w:val="009E5515"/>
    <w:rsid w:val="009F29A1"/>
    <w:rsid w:val="009F2B06"/>
    <w:rsid w:val="009F3E94"/>
    <w:rsid w:val="009F40A9"/>
    <w:rsid w:val="009F48BC"/>
    <w:rsid w:val="009F55BF"/>
    <w:rsid w:val="00A02429"/>
    <w:rsid w:val="00A03EE9"/>
    <w:rsid w:val="00A041E2"/>
    <w:rsid w:val="00A05D7B"/>
    <w:rsid w:val="00A063FA"/>
    <w:rsid w:val="00A066DC"/>
    <w:rsid w:val="00A210E7"/>
    <w:rsid w:val="00A21984"/>
    <w:rsid w:val="00A23442"/>
    <w:rsid w:val="00A23B8A"/>
    <w:rsid w:val="00A25010"/>
    <w:rsid w:val="00A3037F"/>
    <w:rsid w:val="00A31125"/>
    <w:rsid w:val="00A351E4"/>
    <w:rsid w:val="00A4370D"/>
    <w:rsid w:val="00A43EB7"/>
    <w:rsid w:val="00A512AB"/>
    <w:rsid w:val="00A51A80"/>
    <w:rsid w:val="00A5218C"/>
    <w:rsid w:val="00A52B16"/>
    <w:rsid w:val="00A554E9"/>
    <w:rsid w:val="00A56266"/>
    <w:rsid w:val="00A573A3"/>
    <w:rsid w:val="00A6573F"/>
    <w:rsid w:val="00A66195"/>
    <w:rsid w:val="00A702AF"/>
    <w:rsid w:val="00A717DA"/>
    <w:rsid w:val="00A724B7"/>
    <w:rsid w:val="00A7287B"/>
    <w:rsid w:val="00A73FA3"/>
    <w:rsid w:val="00A745CA"/>
    <w:rsid w:val="00A75244"/>
    <w:rsid w:val="00A755D2"/>
    <w:rsid w:val="00A75637"/>
    <w:rsid w:val="00A75D86"/>
    <w:rsid w:val="00A76BD8"/>
    <w:rsid w:val="00A778F6"/>
    <w:rsid w:val="00A8381B"/>
    <w:rsid w:val="00A84EFF"/>
    <w:rsid w:val="00A86E1F"/>
    <w:rsid w:val="00A86F8B"/>
    <w:rsid w:val="00A9020E"/>
    <w:rsid w:val="00A90C41"/>
    <w:rsid w:val="00A90F43"/>
    <w:rsid w:val="00A92B16"/>
    <w:rsid w:val="00A9387A"/>
    <w:rsid w:val="00AA38EA"/>
    <w:rsid w:val="00AA66CB"/>
    <w:rsid w:val="00AA690F"/>
    <w:rsid w:val="00AB57E6"/>
    <w:rsid w:val="00AB610D"/>
    <w:rsid w:val="00AB7BA5"/>
    <w:rsid w:val="00AC052A"/>
    <w:rsid w:val="00AC0619"/>
    <w:rsid w:val="00AC2AF3"/>
    <w:rsid w:val="00AC64E0"/>
    <w:rsid w:val="00AC6FF3"/>
    <w:rsid w:val="00AD0EF9"/>
    <w:rsid w:val="00AD116D"/>
    <w:rsid w:val="00AD1E1E"/>
    <w:rsid w:val="00AD4996"/>
    <w:rsid w:val="00AD5D62"/>
    <w:rsid w:val="00AE1A4B"/>
    <w:rsid w:val="00AE3341"/>
    <w:rsid w:val="00AE3F72"/>
    <w:rsid w:val="00AE4A3A"/>
    <w:rsid w:val="00AE6DA7"/>
    <w:rsid w:val="00AE7804"/>
    <w:rsid w:val="00AF1961"/>
    <w:rsid w:val="00AF3B7C"/>
    <w:rsid w:val="00AF5323"/>
    <w:rsid w:val="00AF5857"/>
    <w:rsid w:val="00AF7EAC"/>
    <w:rsid w:val="00B0316D"/>
    <w:rsid w:val="00B04876"/>
    <w:rsid w:val="00B0548A"/>
    <w:rsid w:val="00B102BD"/>
    <w:rsid w:val="00B14387"/>
    <w:rsid w:val="00B14F2A"/>
    <w:rsid w:val="00B16232"/>
    <w:rsid w:val="00B16C7C"/>
    <w:rsid w:val="00B225A3"/>
    <w:rsid w:val="00B235F7"/>
    <w:rsid w:val="00B270E2"/>
    <w:rsid w:val="00B27E35"/>
    <w:rsid w:val="00B305DF"/>
    <w:rsid w:val="00B337A8"/>
    <w:rsid w:val="00B33D92"/>
    <w:rsid w:val="00B3473E"/>
    <w:rsid w:val="00B3493C"/>
    <w:rsid w:val="00B37B7B"/>
    <w:rsid w:val="00B4071C"/>
    <w:rsid w:val="00B44679"/>
    <w:rsid w:val="00B4517A"/>
    <w:rsid w:val="00B4653D"/>
    <w:rsid w:val="00B46C18"/>
    <w:rsid w:val="00B55F5D"/>
    <w:rsid w:val="00B56DD4"/>
    <w:rsid w:val="00B57747"/>
    <w:rsid w:val="00B57FA7"/>
    <w:rsid w:val="00B613FE"/>
    <w:rsid w:val="00B61D05"/>
    <w:rsid w:val="00B63999"/>
    <w:rsid w:val="00B67197"/>
    <w:rsid w:val="00B7141D"/>
    <w:rsid w:val="00B75DCD"/>
    <w:rsid w:val="00B81FA5"/>
    <w:rsid w:val="00B8398F"/>
    <w:rsid w:val="00B84B11"/>
    <w:rsid w:val="00B87099"/>
    <w:rsid w:val="00B8746C"/>
    <w:rsid w:val="00B9172D"/>
    <w:rsid w:val="00B923B9"/>
    <w:rsid w:val="00B92705"/>
    <w:rsid w:val="00B95035"/>
    <w:rsid w:val="00B95F96"/>
    <w:rsid w:val="00B9618E"/>
    <w:rsid w:val="00B96D2E"/>
    <w:rsid w:val="00B973EC"/>
    <w:rsid w:val="00BA0D8C"/>
    <w:rsid w:val="00BA668C"/>
    <w:rsid w:val="00BA6962"/>
    <w:rsid w:val="00BA7691"/>
    <w:rsid w:val="00BB1B3A"/>
    <w:rsid w:val="00BB73BA"/>
    <w:rsid w:val="00BB7E49"/>
    <w:rsid w:val="00BC2B65"/>
    <w:rsid w:val="00BC5A1C"/>
    <w:rsid w:val="00BC73DD"/>
    <w:rsid w:val="00BD009B"/>
    <w:rsid w:val="00BD02B7"/>
    <w:rsid w:val="00BD1607"/>
    <w:rsid w:val="00BD3D85"/>
    <w:rsid w:val="00BD4B90"/>
    <w:rsid w:val="00BE137D"/>
    <w:rsid w:val="00BE198D"/>
    <w:rsid w:val="00BE201E"/>
    <w:rsid w:val="00BE40E8"/>
    <w:rsid w:val="00BF1F32"/>
    <w:rsid w:val="00BF4981"/>
    <w:rsid w:val="00BF6E1C"/>
    <w:rsid w:val="00BF7966"/>
    <w:rsid w:val="00C01B1D"/>
    <w:rsid w:val="00C01B71"/>
    <w:rsid w:val="00C02CFB"/>
    <w:rsid w:val="00C048E8"/>
    <w:rsid w:val="00C07368"/>
    <w:rsid w:val="00C16EC7"/>
    <w:rsid w:val="00C17522"/>
    <w:rsid w:val="00C20673"/>
    <w:rsid w:val="00C23AE4"/>
    <w:rsid w:val="00C26EA8"/>
    <w:rsid w:val="00C307D2"/>
    <w:rsid w:val="00C33230"/>
    <w:rsid w:val="00C34332"/>
    <w:rsid w:val="00C35AD4"/>
    <w:rsid w:val="00C3602D"/>
    <w:rsid w:val="00C36862"/>
    <w:rsid w:val="00C369A8"/>
    <w:rsid w:val="00C40331"/>
    <w:rsid w:val="00C41C58"/>
    <w:rsid w:val="00C42F78"/>
    <w:rsid w:val="00C44A9B"/>
    <w:rsid w:val="00C46BF1"/>
    <w:rsid w:val="00C46C12"/>
    <w:rsid w:val="00C50E49"/>
    <w:rsid w:val="00C52C79"/>
    <w:rsid w:val="00C53700"/>
    <w:rsid w:val="00C5504F"/>
    <w:rsid w:val="00C61432"/>
    <w:rsid w:val="00C62F1A"/>
    <w:rsid w:val="00C67F3B"/>
    <w:rsid w:val="00C70060"/>
    <w:rsid w:val="00C76ABE"/>
    <w:rsid w:val="00C8050B"/>
    <w:rsid w:val="00C812FC"/>
    <w:rsid w:val="00C81DB3"/>
    <w:rsid w:val="00C8249A"/>
    <w:rsid w:val="00C82C6C"/>
    <w:rsid w:val="00C85057"/>
    <w:rsid w:val="00C90B27"/>
    <w:rsid w:val="00C94320"/>
    <w:rsid w:val="00C948D2"/>
    <w:rsid w:val="00C95717"/>
    <w:rsid w:val="00C969CE"/>
    <w:rsid w:val="00CA02D2"/>
    <w:rsid w:val="00CA3A3B"/>
    <w:rsid w:val="00CA3B15"/>
    <w:rsid w:val="00CA4ADE"/>
    <w:rsid w:val="00CA5254"/>
    <w:rsid w:val="00CA5A1A"/>
    <w:rsid w:val="00CA7C9D"/>
    <w:rsid w:val="00CB2CE7"/>
    <w:rsid w:val="00CB3BDB"/>
    <w:rsid w:val="00CB66B9"/>
    <w:rsid w:val="00CB79B5"/>
    <w:rsid w:val="00CC0620"/>
    <w:rsid w:val="00CC08ED"/>
    <w:rsid w:val="00CC1FFD"/>
    <w:rsid w:val="00CC3843"/>
    <w:rsid w:val="00CC5FB6"/>
    <w:rsid w:val="00CC7B2E"/>
    <w:rsid w:val="00CD0453"/>
    <w:rsid w:val="00CD0BDF"/>
    <w:rsid w:val="00CD2EC9"/>
    <w:rsid w:val="00CD34FD"/>
    <w:rsid w:val="00CD5DAF"/>
    <w:rsid w:val="00CD6956"/>
    <w:rsid w:val="00CD78D4"/>
    <w:rsid w:val="00CE132A"/>
    <w:rsid w:val="00CE2570"/>
    <w:rsid w:val="00CE3E7A"/>
    <w:rsid w:val="00CE5BED"/>
    <w:rsid w:val="00CF2180"/>
    <w:rsid w:val="00CF239E"/>
    <w:rsid w:val="00CF5E89"/>
    <w:rsid w:val="00CF6321"/>
    <w:rsid w:val="00CF73BD"/>
    <w:rsid w:val="00CF7F50"/>
    <w:rsid w:val="00D1111A"/>
    <w:rsid w:val="00D141B5"/>
    <w:rsid w:val="00D142F4"/>
    <w:rsid w:val="00D15DEC"/>
    <w:rsid w:val="00D17B03"/>
    <w:rsid w:val="00D20D63"/>
    <w:rsid w:val="00D2277B"/>
    <w:rsid w:val="00D23480"/>
    <w:rsid w:val="00D248FF"/>
    <w:rsid w:val="00D24E92"/>
    <w:rsid w:val="00D25E28"/>
    <w:rsid w:val="00D30E30"/>
    <w:rsid w:val="00D314D3"/>
    <w:rsid w:val="00D32D33"/>
    <w:rsid w:val="00D42525"/>
    <w:rsid w:val="00D42B2A"/>
    <w:rsid w:val="00D463A4"/>
    <w:rsid w:val="00D509BC"/>
    <w:rsid w:val="00D51CD5"/>
    <w:rsid w:val="00D568E8"/>
    <w:rsid w:val="00D60A42"/>
    <w:rsid w:val="00D62A00"/>
    <w:rsid w:val="00D64054"/>
    <w:rsid w:val="00D649C3"/>
    <w:rsid w:val="00D64EE5"/>
    <w:rsid w:val="00D70319"/>
    <w:rsid w:val="00D70A99"/>
    <w:rsid w:val="00D7446E"/>
    <w:rsid w:val="00D753D2"/>
    <w:rsid w:val="00D805C0"/>
    <w:rsid w:val="00D81A59"/>
    <w:rsid w:val="00D8449C"/>
    <w:rsid w:val="00D85108"/>
    <w:rsid w:val="00D85D87"/>
    <w:rsid w:val="00D85F7E"/>
    <w:rsid w:val="00D916BE"/>
    <w:rsid w:val="00D93461"/>
    <w:rsid w:val="00D944A7"/>
    <w:rsid w:val="00D95D7C"/>
    <w:rsid w:val="00D979B8"/>
    <w:rsid w:val="00DA5FA0"/>
    <w:rsid w:val="00DA7266"/>
    <w:rsid w:val="00DB10C0"/>
    <w:rsid w:val="00DB3FE7"/>
    <w:rsid w:val="00DB4ACF"/>
    <w:rsid w:val="00DB4D2C"/>
    <w:rsid w:val="00DB5548"/>
    <w:rsid w:val="00DB599E"/>
    <w:rsid w:val="00DB5FE4"/>
    <w:rsid w:val="00DC1729"/>
    <w:rsid w:val="00DC56FD"/>
    <w:rsid w:val="00DC6E7E"/>
    <w:rsid w:val="00DC7DAB"/>
    <w:rsid w:val="00DD451F"/>
    <w:rsid w:val="00DD4B7A"/>
    <w:rsid w:val="00DD5F07"/>
    <w:rsid w:val="00DE0B8E"/>
    <w:rsid w:val="00DE21C1"/>
    <w:rsid w:val="00DE38CE"/>
    <w:rsid w:val="00DE4078"/>
    <w:rsid w:val="00DF1062"/>
    <w:rsid w:val="00DF1281"/>
    <w:rsid w:val="00DF229F"/>
    <w:rsid w:val="00DF27F5"/>
    <w:rsid w:val="00DF2B83"/>
    <w:rsid w:val="00DF7CE3"/>
    <w:rsid w:val="00E00248"/>
    <w:rsid w:val="00E053F4"/>
    <w:rsid w:val="00E072DC"/>
    <w:rsid w:val="00E12C4B"/>
    <w:rsid w:val="00E13AEE"/>
    <w:rsid w:val="00E205EF"/>
    <w:rsid w:val="00E210AF"/>
    <w:rsid w:val="00E23436"/>
    <w:rsid w:val="00E23F06"/>
    <w:rsid w:val="00E30A58"/>
    <w:rsid w:val="00E3196B"/>
    <w:rsid w:val="00E347B7"/>
    <w:rsid w:val="00E35756"/>
    <w:rsid w:val="00E36F46"/>
    <w:rsid w:val="00E37C43"/>
    <w:rsid w:val="00E41FFE"/>
    <w:rsid w:val="00E423D3"/>
    <w:rsid w:val="00E467B1"/>
    <w:rsid w:val="00E47E49"/>
    <w:rsid w:val="00E511BF"/>
    <w:rsid w:val="00E55CD7"/>
    <w:rsid w:val="00E60859"/>
    <w:rsid w:val="00E608B1"/>
    <w:rsid w:val="00E630D5"/>
    <w:rsid w:val="00E663E1"/>
    <w:rsid w:val="00E668DD"/>
    <w:rsid w:val="00E70583"/>
    <w:rsid w:val="00E721AF"/>
    <w:rsid w:val="00E75ABB"/>
    <w:rsid w:val="00E77784"/>
    <w:rsid w:val="00E81EB9"/>
    <w:rsid w:val="00E82AFA"/>
    <w:rsid w:val="00E84853"/>
    <w:rsid w:val="00E84926"/>
    <w:rsid w:val="00E87F2C"/>
    <w:rsid w:val="00E9189F"/>
    <w:rsid w:val="00E936D6"/>
    <w:rsid w:val="00E97E96"/>
    <w:rsid w:val="00EA0992"/>
    <w:rsid w:val="00EB0F5C"/>
    <w:rsid w:val="00EB1044"/>
    <w:rsid w:val="00EB13E7"/>
    <w:rsid w:val="00EB1449"/>
    <w:rsid w:val="00EB160B"/>
    <w:rsid w:val="00EB1D35"/>
    <w:rsid w:val="00EB265D"/>
    <w:rsid w:val="00EB3FAE"/>
    <w:rsid w:val="00EB45EA"/>
    <w:rsid w:val="00EC175F"/>
    <w:rsid w:val="00EC7886"/>
    <w:rsid w:val="00ED0C85"/>
    <w:rsid w:val="00ED7CFB"/>
    <w:rsid w:val="00EE4418"/>
    <w:rsid w:val="00EF0D01"/>
    <w:rsid w:val="00EF2D72"/>
    <w:rsid w:val="00EF4641"/>
    <w:rsid w:val="00EF5238"/>
    <w:rsid w:val="00EF5AE5"/>
    <w:rsid w:val="00F0284C"/>
    <w:rsid w:val="00F0368A"/>
    <w:rsid w:val="00F03BBA"/>
    <w:rsid w:val="00F03D46"/>
    <w:rsid w:val="00F040B8"/>
    <w:rsid w:val="00F0638A"/>
    <w:rsid w:val="00F064F2"/>
    <w:rsid w:val="00F10D96"/>
    <w:rsid w:val="00F10DE8"/>
    <w:rsid w:val="00F12A7D"/>
    <w:rsid w:val="00F15C48"/>
    <w:rsid w:val="00F21440"/>
    <w:rsid w:val="00F229AB"/>
    <w:rsid w:val="00F234DC"/>
    <w:rsid w:val="00F238A0"/>
    <w:rsid w:val="00F238F4"/>
    <w:rsid w:val="00F3238C"/>
    <w:rsid w:val="00F3264F"/>
    <w:rsid w:val="00F35530"/>
    <w:rsid w:val="00F45F9A"/>
    <w:rsid w:val="00F516EE"/>
    <w:rsid w:val="00F53D44"/>
    <w:rsid w:val="00F56F32"/>
    <w:rsid w:val="00F5733D"/>
    <w:rsid w:val="00F64BB4"/>
    <w:rsid w:val="00F65656"/>
    <w:rsid w:val="00F65CE6"/>
    <w:rsid w:val="00F6628A"/>
    <w:rsid w:val="00F74386"/>
    <w:rsid w:val="00F769DB"/>
    <w:rsid w:val="00F8127B"/>
    <w:rsid w:val="00F820F4"/>
    <w:rsid w:val="00F8221A"/>
    <w:rsid w:val="00F82B9A"/>
    <w:rsid w:val="00F84D6E"/>
    <w:rsid w:val="00F86162"/>
    <w:rsid w:val="00F8644E"/>
    <w:rsid w:val="00F86EC1"/>
    <w:rsid w:val="00F9446E"/>
    <w:rsid w:val="00F954D4"/>
    <w:rsid w:val="00F956C8"/>
    <w:rsid w:val="00FA13D4"/>
    <w:rsid w:val="00FA2829"/>
    <w:rsid w:val="00FA4BC1"/>
    <w:rsid w:val="00FB159C"/>
    <w:rsid w:val="00FB1B10"/>
    <w:rsid w:val="00FB2152"/>
    <w:rsid w:val="00FB2352"/>
    <w:rsid w:val="00FB2743"/>
    <w:rsid w:val="00FB41BE"/>
    <w:rsid w:val="00FC001E"/>
    <w:rsid w:val="00FC07B1"/>
    <w:rsid w:val="00FC14CF"/>
    <w:rsid w:val="00FC4E17"/>
    <w:rsid w:val="00FC5308"/>
    <w:rsid w:val="00FC5CA4"/>
    <w:rsid w:val="00FC603E"/>
    <w:rsid w:val="00FD04A0"/>
    <w:rsid w:val="00FD6480"/>
    <w:rsid w:val="00FD72B5"/>
    <w:rsid w:val="00FD72C0"/>
    <w:rsid w:val="00FD78F4"/>
    <w:rsid w:val="00FE0CDF"/>
    <w:rsid w:val="00FE3896"/>
    <w:rsid w:val="00FE5B3E"/>
    <w:rsid w:val="00FE5B6F"/>
    <w:rsid w:val="00FE5C00"/>
    <w:rsid w:val="00FE6455"/>
    <w:rsid w:val="00FE79B4"/>
    <w:rsid w:val="00FF048C"/>
    <w:rsid w:val="00FF346C"/>
    <w:rsid w:val="00FF49D0"/>
    <w:rsid w:val="00FF70E1"/>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6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D8C"/>
    <w:pPr>
      <w:spacing w:before="60" w:after="60" w:line="300" w:lineRule="exact"/>
    </w:pPr>
    <w:rPr>
      <w:rFonts w:ascii="Arial" w:hAnsi="Arial"/>
      <w:sz w:val="22"/>
      <w:lang w:eastAsia="en-US"/>
    </w:rPr>
  </w:style>
  <w:style w:type="paragraph" w:styleId="Heading1">
    <w:name w:val="heading 1"/>
    <w:basedOn w:val="Normal"/>
    <w:next w:val="Normal"/>
    <w:qFormat/>
    <w:rsid w:val="00356212"/>
    <w:pPr>
      <w:keepNext/>
      <w:spacing w:before="240" w:after="40" w:line="240" w:lineRule="auto"/>
      <w:outlineLvl w:val="0"/>
    </w:pPr>
    <w:rPr>
      <w:b/>
      <w:caps/>
      <w:sz w:val="20"/>
      <w:szCs w:val="24"/>
    </w:rPr>
  </w:style>
  <w:style w:type="paragraph" w:styleId="Heading2">
    <w:name w:val="heading 2"/>
    <w:basedOn w:val="Normal"/>
    <w:next w:val="Normal"/>
    <w:link w:val="Heading2Char"/>
    <w:qFormat/>
    <w:rsid w:val="00356212"/>
    <w:pPr>
      <w:keepNext/>
      <w:spacing w:before="120" w:after="40" w:line="240" w:lineRule="auto"/>
      <w:ind w:left="360"/>
      <w:outlineLvl w:val="1"/>
    </w:pPr>
    <w:rPr>
      <w:b/>
    </w:rPr>
  </w:style>
  <w:style w:type="paragraph" w:styleId="Heading3">
    <w:name w:val="heading 3"/>
    <w:basedOn w:val="Heading2"/>
    <w:next w:val="Normal"/>
    <w:qFormat/>
    <w:rsid w:val="00C8050B"/>
    <w:pPr>
      <w:outlineLvl w:val="2"/>
    </w:pPr>
  </w:style>
  <w:style w:type="paragraph" w:styleId="Heading4">
    <w:name w:val="heading 4"/>
    <w:basedOn w:val="Normal"/>
    <w:next w:val="Normal"/>
    <w:qFormat/>
    <w:rsid w:val="003F6759"/>
    <w:pPr>
      <w:keepNext/>
      <w:keepLines/>
      <w:spacing w:after="240" w:line="240" w:lineRule="atLeast"/>
      <w:outlineLvl w:val="3"/>
    </w:pPr>
    <w:rPr>
      <w:spacing w:val="-4"/>
      <w:kern w:val="28"/>
    </w:rPr>
  </w:style>
  <w:style w:type="paragraph" w:styleId="Heading5">
    <w:name w:val="heading 5"/>
    <w:basedOn w:val="Normal"/>
    <w:next w:val="Normal"/>
    <w:qFormat/>
    <w:rsid w:val="003F6759"/>
    <w:pPr>
      <w:keepNext/>
      <w:keepLines/>
      <w:spacing w:line="240" w:lineRule="atLeast"/>
      <w:ind w:left="1440"/>
      <w:outlineLvl w:val="4"/>
    </w:pPr>
    <w:rPr>
      <w:spacing w:val="-4"/>
      <w:kern w:val="28"/>
    </w:rPr>
  </w:style>
  <w:style w:type="paragraph" w:styleId="Heading6">
    <w:name w:val="heading 6"/>
    <w:basedOn w:val="Normal"/>
    <w:next w:val="Normal"/>
    <w:qFormat/>
    <w:rsid w:val="003F6759"/>
    <w:pPr>
      <w:keepNext/>
      <w:keepLines/>
      <w:spacing w:before="140" w:line="220" w:lineRule="atLeast"/>
      <w:ind w:left="1440"/>
      <w:outlineLvl w:val="5"/>
    </w:pPr>
    <w:rPr>
      <w:i/>
      <w:spacing w:val="-4"/>
      <w:kern w:val="28"/>
    </w:rPr>
  </w:style>
  <w:style w:type="paragraph" w:styleId="Heading7">
    <w:name w:val="heading 7"/>
    <w:aliases w:val="cover date"/>
    <w:basedOn w:val="Normal"/>
    <w:next w:val="Normal"/>
    <w:qFormat/>
    <w:rsid w:val="003F6759"/>
    <w:pPr>
      <w:keepNext/>
      <w:keepLines/>
      <w:spacing w:before="140" w:line="220" w:lineRule="atLeast"/>
      <w:outlineLvl w:val="6"/>
    </w:pPr>
    <w:rPr>
      <w:spacing w:val="-4"/>
      <w:kern w:val="28"/>
    </w:rPr>
  </w:style>
  <w:style w:type="paragraph" w:styleId="Heading8">
    <w:name w:val="heading 8"/>
    <w:aliases w:val="Cover header"/>
    <w:basedOn w:val="Normal"/>
    <w:next w:val="Normal"/>
    <w:qFormat/>
    <w:rsid w:val="003F6759"/>
    <w:pPr>
      <w:keepNext/>
      <w:keepLines/>
      <w:spacing w:before="140" w:line="220" w:lineRule="atLeast"/>
      <w:outlineLvl w:val="7"/>
    </w:pPr>
    <w:rPr>
      <w:i/>
      <w:spacing w:val="-4"/>
      <w:kern w:val="28"/>
      <w:sz w:val="18"/>
    </w:rPr>
  </w:style>
  <w:style w:type="paragraph" w:styleId="Heading9">
    <w:name w:val="heading 9"/>
    <w:basedOn w:val="Normal"/>
    <w:next w:val="Normal"/>
    <w:qFormat/>
    <w:rsid w:val="003F6759"/>
    <w:pPr>
      <w:keepNext/>
      <w:keepLines/>
      <w:spacing w:before="140" w:line="220" w:lineRule="atLeast"/>
      <w:outlineLvl w:val="8"/>
    </w:pPr>
    <w:rPr>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12C4B"/>
    <w:rPr>
      <w:rFonts w:ascii="Arial" w:hAnsi="Arial"/>
      <w:b/>
      <w:sz w:val="22"/>
      <w:lang w:val="en-US" w:eastAsia="en-US" w:bidi="ar-SA"/>
    </w:rPr>
  </w:style>
  <w:style w:type="paragraph" w:customStyle="1" w:styleId="CompanyInformation">
    <w:name w:val="Company Information"/>
    <w:basedOn w:val="Normal"/>
    <w:link w:val="CompanyInformationChar"/>
    <w:semiHidden/>
    <w:rsid w:val="002D2F24"/>
    <w:pPr>
      <w:spacing w:line="240" w:lineRule="auto"/>
    </w:pPr>
    <w:rPr>
      <w:color w:val="808080"/>
      <w:sz w:val="15"/>
    </w:rPr>
  </w:style>
  <w:style w:type="character" w:customStyle="1" w:styleId="CompanyInformationChar">
    <w:name w:val="Company Information Char"/>
    <w:link w:val="CompanyInformation"/>
    <w:rsid w:val="002D2F24"/>
    <w:rPr>
      <w:rFonts w:ascii="Verdana" w:hAnsi="Verdana"/>
      <w:color w:val="808080"/>
      <w:sz w:val="15"/>
      <w:lang w:val="en-US" w:eastAsia="en-US" w:bidi="ar-SA"/>
    </w:rPr>
  </w:style>
  <w:style w:type="paragraph" w:customStyle="1" w:styleId="InsideTitle">
    <w:name w:val="Inside Title"/>
    <w:basedOn w:val="Normal"/>
    <w:semiHidden/>
    <w:rsid w:val="00872B23"/>
    <w:pPr>
      <w:keepNext/>
      <w:spacing w:before="2400" w:line="240" w:lineRule="auto"/>
    </w:pPr>
    <w:rPr>
      <w:b/>
      <w:sz w:val="32"/>
    </w:rPr>
  </w:style>
  <w:style w:type="paragraph" w:styleId="Caption">
    <w:name w:val="caption"/>
    <w:basedOn w:val="Normal"/>
    <w:next w:val="Normal"/>
    <w:qFormat/>
    <w:rsid w:val="003F6759"/>
    <w:pPr>
      <w:keepNext/>
      <w:numPr>
        <w:numId w:val="1"/>
      </w:numPr>
      <w:spacing w:after="240" w:line="220" w:lineRule="atLeast"/>
    </w:pPr>
    <w:rPr>
      <w:rFonts w:ascii="Arial Narrow" w:hAnsi="Arial Narrow"/>
      <w:sz w:val="18"/>
    </w:rPr>
  </w:style>
  <w:style w:type="paragraph" w:customStyle="1" w:styleId="InsideSubtitle">
    <w:name w:val="Inside Subtitle"/>
    <w:basedOn w:val="Normal"/>
    <w:semiHidden/>
    <w:rsid w:val="0093137B"/>
    <w:pPr>
      <w:spacing w:after="200" w:line="240" w:lineRule="auto"/>
    </w:pPr>
    <w:rPr>
      <w:i/>
      <w:sz w:val="24"/>
    </w:rPr>
  </w:style>
  <w:style w:type="paragraph" w:customStyle="1" w:styleId="BulletedList">
    <w:name w:val="Bulleted List"/>
    <w:basedOn w:val="Normal"/>
    <w:link w:val="BulletedListChar"/>
    <w:semiHidden/>
    <w:rsid w:val="000C089E"/>
    <w:pPr>
      <w:numPr>
        <w:numId w:val="2"/>
      </w:numPr>
      <w:spacing w:after="80"/>
      <w:contextualSpacing/>
    </w:pPr>
  </w:style>
  <w:style w:type="character" w:customStyle="1" w:styleId="BulletedListChar">
    <w:name w:val="Bulleted List Char"/>
    <w:link w:val="BulletedList"/>
    <w:semiHidden/>
    <w:rsid w:val="00971A83"/>
    <w:rPr>
      <w:rFonts w:ascii="Arial" w:hAnsi="Arial"/>
      <w:sz w:val="22"/>
      <w:lang w:eastAsia="en-US"/>
    </w:rPr>
  </w:style>
  <w:style w:type="character" w:styleId="CommentReference">
    <w:name w:val="annotation reference"/>
    <w:uiPriority w:val="99"/>
    <w:semiHidden/>
    <w:rPr>
      <w:rFonts w:ascii="Arial" w:hAnsi="Arial"/>
      <w:sz w:val="16"/>
    </w:rPr>
  </w:style>
  <w:style w:type="paragraph" w:styleId="CommentText">
    <w:name w:val="annotation text"/>
    <w:basedOn w:val="Normal"/>
    <w:link w:val="CommentTextChar"/>
    <w:uiPriority w:val="99"/>
    <w:semiHidden/>
    <w:rsid w:val="003F6759"/>
  </w:style>
  <w:style w:type="paragraph" w:customStyle="1" w:styleId="NumberedList">
    <w:name w:val="Numbered List"/>
    <w:basedOn w:val="Normal"/>
    <w:link w:val="NumberedListCharChar"/>
    <w:semiHidden/>
    <w:rsid w:val="00D17B03"/>
    <w:pPr>
      <w:spacing w:after="120"/>
    </w:pPr>
  </w:style>
  <w:style w:type="character" w:customStyle="1" w:styleId="NumberedListCharChar">
    <w:name w:val="Numbered List Char Char"/>
    <w:link w:val="NumberedList"/>
    <w:rsid w:val="00D17B03"/>
    <w:rPr>
      <w:rFonts w:ascii="Arial" w:hAnsi="Arial"/>
      <w:sz w:val="22"/>
      <w:lang w:val="en-US" w:eastAsia="en-US" w:bidi="ar-SA"/>
    </w:rPr>
  </w:style>
  <w:style w:type="character" w:styleId="EndnoteReference">
    <w:name w:val="endnote reference"/>
    <w:semiHidden/>
    <w:rPr>
      <w:vertAlign w:val="superscript"/>
    </w:rPr>
  </w:style>
  <w:style w:type="paragraph" w:styleId="EndnoteText">
    <w:name w:val="endnote text"/>
    <w:basedOn w:val="Normal"/>
    <w:semiHidden/>
    <w:rsid w:val="003F6759"/>
  </w:style>
  <w:style w:type="paragraph" w:customStyle="1" w:styleId="BlockQuotation">
    <w:name w:val="Block Quotation"/>
    <w:basedOn w:val="Normal"/>
    <w:link w:val="BlockQuotationChar"/>
    <w:semiHidden/>
    <w:rsid w:val="000C089E"/>
    <w:pPr>
      <w:spacing w:before="80" w:after="80"/>
      <w:ind w:left="720"/>
    </w:pPr>
    <w:rPr>
      <w:spacing w:val="-10"/>
    </w:rPr>
  </w:style>
  <w:style w:type="character" w:customStyle="1" w:styleId="BlockQuotationChar">
    <w:name w:val="Block Quotation Char"/>
    <w:link w:val="BlockQuotation"/>
    <w:rsid w:val="00971A83"/>
    <w:rPr>
      <w:rFonts w:ascii="Verdana" w:hAnsi="Verdana"/>
      <w:spacing w:val="-10"/>
      <w:sz w:val="17"/>
      <w:lang w:val="en-US" w:eastAsia="en-US" w:bidi="ar-SA"/>
    </w:rPr>
  </w:style>
  <w:style w:type="character" w:styleId="FootnoteReference">
    <w:name w:val="footnote reference"/>
    <w:aliases w:val="(NECG) Footnote Reference"/>
    <w:uiPriority w:val="99"/>
    <w:rPr>
      <w:vertAlign w:val="superscript"/>
    </w:rPr>
  </w:style>
  <w:style w:type="paragraph" w:styleId="FootnoteText">
    <w:name w:val="footnote text"/>
    <w:aliases w:val="(NECG) Footnote Text,ALTS FOOTNOTE"/>
    <w:basedOn w:val="Normal"/>
    <w:link w:val="FootnoteTextChar"/>
    <w:uiPriority w:val="99"/>
    <w:rsid w:val="003F6759"/>
  </w:style>
  <w:style w:type="paragraph" w:styleId="Header">
    <w:name w:val="header"/>
    <w:basedOn w:val="Normal"/>
    <w:link w:val="HeaderChar"/>
    <w:uiPriority w:val="99"/>
    <w:rsid w:val="00A745CA"/>
    <w:pPr>
      <w:tabs>
        <w:tab w:val="center" w:pos="4320"/>
        <w:tab w:val="right" w:pos="8640"/>
      </w:tabs>
    </w:pPr>
  </w:style>
  <w:style w:type="paragraph" w:styleId="Index1">
    <w:name w:val="index 1"/>
    <w:basedOn w:val="Normal"/>
    <w:autoRedefine/>
    <w:semiHidden/>
    <w:rsid w:val="003F6759"/>
  </w:style>
  <w:style w:type="paragraph" w:styleId="Index2">
    <w:name w:val="index 2"/>
    <w:basedOn w:val="Normal"/>
    <w:autoRedefine/>
    <w:semiHidden/>
    <w:rsid w:val="003F6759"/>
    <w:pPr>
      <w:ind w:left="720"/>
    </w:pPr>
  </w:style>
  <w:style w:type="paragraph" w:styleId="Index3">
    <w:name w:val="index 3"/>
    <w:basedOn w:val="Normal"/>
    <w:autoRedefine/>
    <w:semiHidden/>
    <w:rsid w:val="003F6759"/>
  </w:style>
  <w:style w:type="paragraph" w:styleId="Index4">
    <w:name w:val="index 4"/>
    <w:basedOn w:val="Normal"/>
    <w:autoRedefine/>
    <w:semiHidden/>
    <w:rsid w:val="003F6759"/>
    <w:pPr>
      <w:ind w:left="1440"/>
    </w:pPr>
  </w:style>
  <w:style w:type="paragraph" w:styleId="Index5">
    <w:name w:val="index 5"/>
    <w:basedOn w:val="Normal"/>
    <w:autoRedefine/>
    <w:semiHidden/>
    <w:rsid w:val="003F6759"/>
    <w:pPr>
      <w:ind w:left="1800"/>
    </w:pPr>
  </w:style>
  <w:style w:type="paragraph" w:styleId="IndexHeading">
    <w:name w:val="index heading"/>
    <w:basedOn w:val="Normal"/>
    <w:next w:val="Index1"/>
    <w:semiHidden/>
    <w:rsid w:val="003F6759"/>
    <w:pPr>
      <w:spacing w:line="480" w:lineRule="atLeast"/>
    </w:pPr>
    <w:rPr>
      <w:rFonts w:ascii="Arial Black" w:hAnsi="Arial Black"/>
      <w:sz w:val="24"/>
    </w:rPr>
  </w:style>
  <w:style w:type="paragraph" w:customStyle="1" w:styleId="TableCaption">
    <w:name w:val="Table Caption"/>
    <w:basedOn w:val="Normal"/>
    <w:semiHidden/>
    <w:rsid w:val="00AD5D62"/>
    <w:pPr>
      <w:spacing w:before="80" w:after="120"/>
      <w:ind w:left="360"/>
    </w:pPr>
    <w:rPr>
      <w:i/>
      <w:sz w:val="15"/>
    </w:rPr>
  </w:style>
  <w:style w:type="paragraph" w:customStyle="1" w:styleId="UtilComTableColumnHeading">
    <w:name w:val="UtilCom Table Column Heading"/>
    <w:basedOn w:val="Normal"/>
    <w:rsid w:val="002F053A"/>
    <w:rPr>
      <w:rFonts w:cs="Arial"/>
      <w:b/>
      <w:sz w:val="18"/>
      <w:szCs w:val="18"/>
    </w:rPr>
  </w:style>
  <w:style w:type="paragraph" w:customStyle="1" w:styleId="UtilComReportHeading">
    <w:name w:val="UtilCom Report Heading"/>
    <w:basedOn w:val="Title"/>
    <w:link w:val="UtilComReportHeadingChar"/>
    <w:semiHidden/>
    <w:rsid w:val="00B305DF"/>
    <w:pPr>
      <w:spacing w:before="480"/>
      <w:ind w:left="1134"/>
    </w:pPr>
  </w:style>
  <w:style w:type="paragraph" w:styleId="Title">
    <w:name w:val="Title"/>
    <w:basedOn w:val="Normal"/>
    <w:link w:val="TitleChar"/>
    <w:qFormat/>
    <w:rsid w:val="00CD0BDF"/>
    <w:pPr>
      <w:spacing w:before="2000"/>
    </w:pPr>
    <w:rPr>
      <w:rFonts w:cs="Arial"/>
      <w:b/>
      <w:caps/>
      <w:sz w:val="40"/>
      <w:szCs w:val="40"/>
    </w:rPr>
  </w:style>
  <w:style w:type="character" w:customStyle="1" w:styleId="TitleChar">
    <w:name w:val="Title Char"/>
    <w:link w:val="Title"/>
    <w:rsid w:val="00B305DF"/>
    <w:rPr>
      <w:rFonts w:ascii="Arial" w:hAnsi="Arial" w:cs="Arial"/>
      <w:b/>
      <w:caps/>
      <w:sz w:val="40"/>
      <w:szCs w:val="40"/>
      <w:lang w:val="en-US" w:eastAsia="en-US" w:bidi="ar-SA"/>
    </w:rPr>
  </w:style>
  <w:style w:type="character" w:customStyle="1" w:styleId="UtilComReportHeadingChar">
    <w:name w:val="UtilCom Report Heading Char"/>
    <w:basedOn w:val="TitleChar"/>
    <w:link w:val="UtilComReportHeading"/>
    <w:rsid w:val="00B305DF"/>
    <w:rPr>
      <w:rFonts w:ascii="Arial" w:hAnsi="Arial" w:cs="Arial"/>
      <w:b/>
      <w:caps/>
      <w:sz w:val="40"/>
      <w:szCs w:val="40"/>
      <w:lang w:val="en-US" w:eastAsia="en-US" w:bidi="ar-SA"/>
    </w:rPr>
  </w:style>
  <w:style w:type="paragraph" w:customStyle="1" w:styleId="IndentedBodyText">
    <w:name w:val="Indented Body Text"/>
    <w:basedOn w:val="Normal"/>
    <w:link w:val="IndentedBodyTextChar"/>
    <w:semiHidden/>
    <w:rsid w:val="00CC5FB6"/>
    <w:pPr>
      <w:spacing w:after="80"/>
      <w:ind w:left="360"/>
    </w:pPr>
  </w:style>
  <w:style w:type="character" w:customStyle="1" w:styleId="IndentedBodyTextChar">
    <w:name w:val="Indented Body Text Char"/>
    <w:link w:val="IndentedBodyText"/>
    <w:rsid w:val="00CC5FB6"/>
    <w:rPr>
      <w:rFonts w:ascii="Verdana" w:hAnsi="Verdana"/>
      <w:sz w:val="17"/>
      <w:lang w:val="en-US" w:eastAsia="en-US" w:bidi="ar-SA"/>
    </w:rPr>
  </w:style>
  <w:style w:type="paragraph" w:customStyle="1" w:styleId="LineSpace">
    <w:name w:val="Line Space"/>
    <w:basedOn w:val="Normal"/>
    <w:semiHidden/>
    <w:rsid w:val="00CC5FB6"/>
    <w:pPr>
      <w:spacing w:line="240" w:lineRule="auto"/>
    </w:pPr>
    <w:rPr>
      <w:sz w:val="12"/>
    </w:rPr>
  </w:style>
  <w:style w:type="paragraph" w:styleId="BalloonText">
    <w:name w:val="Balloon Text"/>
    <w:basedOn w:val="Normal"/>
    <w:semiHidden/>
    <w:rsid w:val="00753D39"/>
    <w:rPr>
      <w:rFonts w:ascii="Tahoma" w:hAnsi="Tahoma" w:cs="Tahoma"/>
      <w:sz w:val="16"/>
      <w:szCs w:val="16"/>
    </w:rPr>
  </w:style>
  <w:style w:type="paragraph" w:customStyle="1" w:styleId="CompanyInformationBold">
    <w:name w:val="Company Information Bold"/>
    <w:basedOn w:val="CompanyInformation"/>
    <w:semiHidden/>
    <w:rsid w:val="0093137B"/>
    <w:rPr>
      <w:b/>
    </w:rPr>
  </w:style>
  <w:style w:type="paragraph" w:styleId="TableofAuthorities">
    <w:name w:val="table of authorities"/>
    <w:basedOn w:val="Normal"/>
    <w:semiHidden/>
    <w:pPr>
      <w:tabs>
        <w:tab w:val="right" w:leader="dot" w:pos="7560"/>
      </w:tabs>
      <w:ind w:left="1440" w:hanging="360"/>
    </w:pPr>
  </w:style>
  <w:style w:type="paragraph" w:styleId="TableofFigures">
    <w:name w:val="table of figures"/>
    <w:basedOn w:val="Normal"/>
    <w:semiHidden/>
    <w:rsid w:val="00720551"/>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Normal"/>
    <w:autoRedefine/>
    <w:uiPriority w:val="39"/>
    <w:rsid w:val="00B235F7"/>
    <w:rPr>
      <w:b/>
      <w:spacing w:val="-4"/>
    </w:rPr>
  </w:style>
  <w:style w:type="paragraph" w:styleId="TOC2">
    <w:name w:val="toc 2"/>
    <w:basedOn w:val="Normal"/>
    <w:autoRedefine/>
    <w:uiPriority w:val="39"/>
    <w:rsid w:val="006D31B6"/>
    <w:pPr>
      <w:tabs>
        <w:tab w:val="right" w:leader="dot" w:pos="9062"/>
      </w:tabs>
    </w:pPr>
    <w:rPr>
      <w:noProof/>
      <w:color w:val="31849B" w:themeColor="accent5" w:themeShade="BF"/>
      <w:sz w:val="18"/>
      <w:szCs w:val="18"/>
      <w:lang w:eastAsia="en-AU"/>
    </w:rPr>
  </w:style>
  <w:style w:type="paragraph" w:styleId="TOC3">
    <w:name w:val="toc 3"/>
    <w:basedOn w:val="Normal"/>
    <w:autoRedefine/>
    <w:uiPriority w:val="39"/>
    <w:rsid w:val="002A1473"/>
    <w:pPr>
      <w:tabs>
        <w:tab w:val="left" w:pos="1418"/>
        <w:tab w:val="right" w:leader="dot" w:pos="9062"/>
      </w:tabs>
      <w:ind w:left="426"/>
    </w:pPr>
    <w:rPr>
      <w:noProof/>
      <w:sz w:val="18"/>
      <w:lang w:val="en-US"/>
    </w:rPr>
  </w:style>
  <w:style w:type="paragraph" w:styleId="TOC4">
    <w:name w:val="toc 4"/>
    <w:basedOn w:val="Normal"/>
    <w:autoRedefine/>
    <w:uiPriority w:val="39"/>
    <w:rsid w:val="00564813"/>
    <w:pPr>
      <w:tabs>
        <w:tab w:val="left" w:pos="284"/>
        <w:tab w:val="left" w:pos="1200"/>
        <w:tab w:val="right" w:leader="dot" w:pos="9062"/>
      </w:tabs>
      <w:ind w:left="284"/>
    </w:pPr>
    <w:rPr>
      <w:noProof/>
      <w:sz w:val="18"/>
      <w:szCs w:val="18"/>
    </w:rPr>
  </w:style>
  <w:style w:type="paragraph" w:styleId="TOC5">
    <w:name w:val="toc 5"/>
    <w:basedOn w:val="Normal"/>
    <w:autoRedefine/>
    <w:semiHidden/>
    <w:rsid w:val="00720551"/>
    <w:pPr>
      <w:ind w:left="360"/>
    </w:pPr>
  </w:style>
  <w:style w:type="paragraph" w:customStyle="1" w:styleId="UtilComReferenceSource">
    <w:name w:val="UtilCom Reference/Source"/>
    <w:link w:val="UtilComReferenceSourceChar"/>
    <w:rsid w:val="00CA5254"/>
    <w:pPr>
      <w:spacing w:before="60" w:after="120"/>
    </w:pPr>
    <w:rPr>
      <w:rFonts w:ascii="Arial" w:hAnsi="Arial"/>
      <w:sz w:val="18"/>
      <w:szCs w:val="18"/>
      <w:lang w:val="en-US" w:eastAsia="en-US"/>
    </w:rPr>
  </w:style>
  <w:style w:type="paragraph" w:customStyle="1" w:styleId="ChapterBold">
    <w:name w:val="Chapter Bold"/>
    <w:basedOn w:val="Normal"/>
    <w:semiHidden/>
    <w:rsid w:val="00781B15"/>
    <w:pPr>
      <w:spacing w:before="960" w:after="240" w:line="400" w:lineRule="atLeast"/>
    </w:pPr>
    <w:rPr>
      <w:b/>
      <w:caps/>
      <w:color w:val="808080"/>
      <w:sz w:val="36"/>
      <w:szCs w:val="36"/>
    </w:rPr>
  </w:style>
  <w:style w:type="paragraph" w:customStyle="1" w:styleId="CompanyInformationItalic">
    <w:name w:val="Company Information Italic"/>
    <w:basedOn w:val="CompanyInformation"/>
    <w:link w:val="CompanyInformationItalicChar"/>
    <w:semiHidden/>
    <w:rsid w:val="002D2F24"/>
    <w:rPr>
      <w:i/>
    </w:rPr>
  </w:style>
  <w:style w:type="character" w:customStyle="1" w:styleId="CompanyInformationItalicChar">
    <w:name w:val="Company Information Italic Char"/>
    <w:link w:val="CompanyInformationItalic"/>
    <w:rsid w:val="002D2F24"/>
    <w:rPr>
      <w:rFonts w:ascii="Verdana" w:hAnsi="Verdana"/>
      <w:i/>
      <w:color w:val="808080"/>
      <w:sz w:val="15"/>
      <w:lang w:val="en-US" w:eastAsia="en-US" w:bidi="ar-SA"/>
    </w:rPr>
  </w:style>
  <w:style w:type="paragraph" w:styleId="Footer">
    <w:name w:val="footer"/>
    <w:basedOn w:val="Normal"/>
    <w:link w:val="FooterChar"/>
    <w:uiPriority w:val="99"/>
    <w:rsid w:val="00EA0992"/>
    <w:pPr>
      <w:tabs>
        <w:tab w:val="center" w:pos="4320"/>
        <w:tab w:val="right" w:pos="8640"/>
      </w:tabs>
    </w:pPr>
    <w:rPr>
      <w:sz w:val="18"/>
    </w:rPr>
  </w:style>
  <w:style w:type="paragraph" w:styleId="Subtitle">
    <w:name w:val="Subtitle"/>
    <w:aliases w:val="UtilCom Subtitle"/>
    <w:basedOn w:val="Normal"/>
    <w:qFormat/>
    <w:rsid w:val="00CD0BDF"/>
    <w:rPr>
      <w:rFonts w:cs="Arial"/>
      <w:i/>
      <w:sz w:val="24"/>
    </w:rPr>
  </w:style>
  <w:style w:type="paragraph" w:customStyle="1" w:styleId="BulletedListBold">
    <w:name w:val="Bulleted List Bold"/>
    <w:basedOn w:val="BulletedList"/>
    <w:link w:val="BulletedListBoldChar"/>
    <w:semiHidden/>
    <w:rsid w:val="00971A83"/>
    <w:rPr>
      <w:b/>
      <w:bCs/>
    </w:rPr>
  </w:style>
  <w:style w:type="character" w:customStyle="1" w:styleId="BulletedListBoldChar">
    <w:name w:val="Bulleted List Bold Char"/>
    <w:link w:val="BulletedListBold"/>
    <w:semiHidden/>
    <w:rsid w:val="00971A83"/>
    <w:rPr>
      <w:rFonts w:ascii="Arial" w:hAnsi="Arial"/>
      <w:b/>
      <w:bCs/>
      <w:sz w:val="22"/>
      <w:lang w:eastAsia="en-US"/>
    </w:rPr>
  </w:style>
  <w:style w:type="paragraph" w:customStyle="1" w:styleId="NumberedListBold">
    <w:name w:val="Numbered List Bold"/>
    <w:basedOn w:val="NumberedList"/>
    <w:link w:val="NumberedListBoldChar"/>
    <w:semiHidden/>
    <w:rsid w:val="00971A83"/>
    <w:rPr>
      <w:b/>
      <w:bCs/>
    </w:rPr>
  </w:style>
  <w:style w:type="character" w:customStyle="1" w:styleId="NumberedListBoldChar">
    <w:name w:val="Numbered List Bold Char"/>
    <w:link w:val="NumberedListBold"/>
    <w:rsid w:val="00971A83"/>
    <w:rPr>
      <w:rFonts w:ascii="Arial" w:hAnsi="Arial"/>
      <w:b/>
      <w:bCs/>
      <w:sz w:val="22"/>
      <w:lang w:val="en-US" w:eastAsia="en-US" w:bidi="ar-SA"/>
    </w:rPr>
  </w:style>
  <w:style w:type="character" w:customStyle="1" w:styleId="Lead-inEmphasis">
    <w:name w:val="Lead-in Emphasis"/>
    <w:semiHidden/>
    <w:rsid w:val="00E75ABB"/>
    <w:rPr>
      <w:rFonts w:ascii="Tahoma" w:hAnsi="Tahoma"/>
      <w:b/>
      <w:spacing w:val="4"/>
      <w:kern w:val="0"/>
    </w:rPr>
  </w:style>
  <w:style w:type="paragraph" w:customStyle="1" w:styleId="NumberedText">
    <w:name w:val="NumberedText"/>
    <w:basedOn w:val="Normal"/>
    <w:semiHidden/>
    <w:rsid w:val="00CD0BDF"/>
    <w:pPr>
      <w:tabs>
        <w:tab w:val="left" w:pos="720"/>
      </w:tabs>
      <w:spacing w:before="180" w:line="240" w:lineRule="auto"/>
      <w:ind w:left="431"/>
      <w:jc w:val="both"/>
    </w:pPr>
    <w:rPr>
      <w:sz w:val="20"/>
    </w:rPr>
  </w:style>
  <w:style w:type="paragraph" w:customStyle="1" w:styleId="UtilComHeaderInfo">
    <w:name w:val="UtilCom Header Info"/>
    <w:semiHidden/>
    <w:rsid w:val="00CD0BDF"/>
    <w:pPr>
      <w:spacing w:line="240" w:lineRule="exact"/>
      <w:jc w:val="right"/>
    </w:pPr>
    <w:rPr>
      <w:rFonts w:ascii="Arial" w:hAnsi="Arial"/>
      <w:sz w:val="18"/>
      <w:szCs w:val="18"/>
    </w:rPr>
  </w:style>
  <w:style w:type="paragraph" w:customStyle="1" w:styleId="UtilComAddressInfo">
    <w:name w:val="UtilCom Address Info"/>
    <w:semiHidden/>
    <w:rsid w:val="00CD0BDF"/>
    <w:pPr>
      <w:spacing w:line="240" w:lineRule="exact"/>
      <w:jc w:val="right"/>
    </w:pPr>
    <w:rPr>
      <w:rFonts w:ascii="Arial" w:hAnsi="Arial"/>
      <w:sz w:val="18"/>
      <w:szCs w:val="18"/>
    </w:rPr>
  </w:style>
  <w:style w:type="paragraph" w:customStyle="1" w:styleId="UtilComDate">
    <w:name w:val="UtilCom Date"/>
    <w:basedOn w:val="Subtitle"/>
    <w:semiHidden/>
    <w:rsid w:val="00CD0BDF"/>
    <w:pPr>
      <w:spacing w:before="480"/>
    </w:pPr>
  </w:style>
  <w:style w:type="paragraph" w:customStyle="1" w:styleId="Heading11">
    <w:name w:val="Heading 11"/>
    <w:basedOn w:val="Normal"/>
    <w:semiHidden/>
    <w:rsid w:val="006E3A87"/>
    <w:pPr>
      <w:spacing w:before="240" w:line="240" w:lineRule="auto"/>
    </w:pPr>
    <w:rPr>
      <w:b/>
      <w:sz w:val="28"/>
    </w:rPr>
  </w:style>
  <w:style w:type="character" w:styleId="Hyperlink">
    <w:name w:val="Hyperlink"/>
    <w:uiPriority w:val="99"/>
    <w:rsid w:val="00EA0992"/>
    <w:rPr>
      <w:color w:val="0000FF"/>
      <w:u w:val="single"/>
    </w:rPr>
  </w:style>
  <w:style w:type="paragraph" w:customStyle="1" w:styleId="NormalText">
    <w:name w:val="NormalText"/>
    <w:basedOn w:val="Normal"/>
    <w:semiHidden/>
    <w:rsid w:val="00EA0992"/>
    <w:pPr>
      <w:spacing w:before="240" w:line="240" w:lineRule="auto"/>
      <w:jc w:val="both"/>
    </w:pPr>
    <w:rPr>
      <w:sz w:val="20"/>
    </w:rPr>
  </w:style>
  <w:style w:type="paragraph" w:customStyle="1" w:styleId="UtilComChapterHeading">
    <w:name w:val="UtilCom Chapter Heading"/>
    <w:basedOn w:val="UtilComHeading2"/>
    <w:next w:val="TOC1"/>
    <w:link w:val="UtilComChapterHeadingChar"/>
    <w:semiHidden/>
    <w:rsid w:val="00457A43"/>
    <w:rPr>
      <w:sz w:val="32"/>
      <w:szCs w:val="28"/>
    </w:rPr>
  </w:style>
  <w:style w:type="paragraph" w:customStyle="1" w:styleId="UtilComHeading2">
    <w:name w:val="UtilCom Heading 2"/>
    <w:basedOn w:val="Heading2"/>
    <w:next w:val="TOC2"/>
    <w:link w:val="UtilComHeading2Char"/>
    <w:rsid w:val="00A755D2"/>
    <w:pPr>
      <w:spacing w:before="240" w:after="120" w:line="360" w:lineRule="exact"/>
      <w:ind w:left="0"/>
    </w:pPr>
    <w:rPr>
      <w:sz w:val="28"/>
    </w:rPr>
  </w:style>
  <w:style w:type="character" w:customStyle="1" w:styleId="UtilComHeading2Char">
    <w:name w:val="UtilCom Heading 2 Char"/>
    <w:link w:val="UtilComHeading2"/>
    <w:rsid w:val="00A755D2"/>
    <w:rPr>
      <w:rFonts w:ascii="Arial" w:hAnsi="Arial"/>
      <w:b/>
      <w:sz w:val="28"/>
      <w:lang w:val="en-US" w:eastAsia="en-US" w:bidi="ar-SA"/>
    </w:rPr>
  </w:style>
  <w:style w:type="character" w:customStyle="1" w:styleId="UtilComChapterHeadingChar">
    <w:name w:val="UtilCom Chapter Heading Char"/>
    <w:link w:val="UtilComChapterHeading"/>
    <w:rsid w:val="00457A43"/>
    <w:rPr>
      <w:rFonts w:ascii="Arial" w:hAnsi="Arial"/>
      <w:b/>
      <w:sz w:val="32"/>
      <w:szCs w:val="28"/>
      <w:lang w:val="en-US" w:eastAsia="en-US" w:bidi="ar-SA"/>
    </w:rPr>
  </w:style>
  <w:style w:type="paragraph" w:customStyle="1" w:styleId="UtilComBodyText">
    <w:name w:val="UtilCom Body Text"/>
    <w:basedOn w:val="Normal"/>
    <w:rsid w:val="00FE79B4"/>
    <w:rPr>
      <w:rFonts w:cs="Arial"/>
      <w:szCs w:val="22"/>
    </w:rPr>
  </w:style>
  <w:style w:type="paragraph" w:customStyle="1" w:styleId="UtilComNumberedText">
    <w:name w:val="UtilCom Numbered Text"/>
    <w:basedOn w:val="Normal"/>
    <w:semiHidden/>
    <w:rsid w:val="00D17B03"/>
    <w:pPr>
      <w:numPr>
        <w:ilvl w:val="1"/>
        <w:numId w:val="6"/>
      </w:numPr>
      <w:tabs>
        <w:tab w:val="left" w:pos="993"/>
      </w:tabs>
      <w:spacing w:line="240" w:lineRule="auto"/>
    </w:pPr>
    <w:rPr>
      <w:rFonts w:cs="Arial"/>
      <w:szCs w:val="22"/>
    </w:rPr>
  </w:style>
  <w:style w:type="paragraph" w:customStyle="1" w:styleId="UtilComBulletText">
    <w:name w:val="UtilCom Bullet Text"/>
    <w:basedOn w:val="Normal"/>
    <w:link w:val="UtilComBulletTextChar"/>
    <w:rsid w:val="00F8644E"/>
    <w:pPr>
      <w:numPr>
        <w:numId w:val="3"/>
      </w:numPr>
      <w:tabs>
        <w:tab w:val="left" w:pos="1134"/>
      </w:tabs>
      <w:spacing w:line="240" w:lineRule="auto"/>
    </w:pPr>
    <w:rPr>
      <w:rFonts w:cs="Arial"/>
      <w:szCs w:val="22"/>
    </w:rPr>
  </w:style>
  <w:style w:type="paragraph" w:customStyle="1" w:styleId="UtilComHeading3">
    <w:name w:val="UtilCom Heading 3"/>
    <w:basedOn w:val="Heading3"/>
    <w:next w:val="TOC3"/>
    <w:link w:val="UtilComHeading3Char"/>
    <w:rsid w:val="00127A28"/>
    <w:pPr>
      <w:spacing w:after="60" w:line="320" w:lineRule="exact"/>
      <w:ind w:left="0"/>
    </w:pPr>
    <w:rPr>
      <w:sz w:val="24"/>
      <w:szCs w:val="24"/>
    </w:rPr>
  </w:style>
  <w:style w:type="paragraph" w:styleId="TOC9">
    <w:name w:val="toc 9"/>
    <w:basedOn w:val="Normal"/>
    <w:next w:val="Normal"/>
    <w:autoRedefine/>
    <w:semiHidden/>
    <w:rsid w:val="004C0CB0"/>
    <w:pPr>
      <w:ind w:left="1760"/>
    </w:pPr>
  </w:style>
  <w:style w:type="paragraph" w:customStyle="1" w:styleId="UtilComNumberItem2">
    <w:name w:val="UtilCom Number Item 2"/>
    <w:basedOn w:val="Normal"/>
    <w:semiHidden/>
    <w:rsid w:val="00A8381B"/>
    <w:pPr>
      <w:numPr>
        <w:ilvl w:val="1"/>
        <w:numId w:val="4"/>
      </w:numPr>
    </w:pPr>
  </w:style>
  <w:style w:type="paragraph" w:customStyle="1" w:styleId="UtilComTabletext">
    <w:name w:val="UtilCom Table text"/>
    <w:basedOn w:val="Normal"/>
    <w:rsid w:val="002F053A"/>
    <w:rPr>
      <w:rFonts w:cs="Arial"/>
      <w:sz w:val="18"/>
      <w:szCs w:val="18"/>
    </w:rPr>
  </w:style>
  <w:style w:type="paragraph" w:customStyle="1" w:styleId="UtilComTableNumbers">
    <w:name w:val="UtilCom Table Numbers"/>
    <w:basedOn w:val="Normal"/>
    <w:rsid w:val="002F053A"/>
    <w:pPr>
      <w:jc w:val="right"/>
    </w:pPr>
    <w:rPr>
      <w:rFonts w:cs="Arial"/>
      <w:sz w:val="18"/>
      <w:szCs w:val="18"/>
    </w:rPr>
  </w:style>
  <w:style w:type="paragraph" w:customStyle="1" w:styleId="UtilComNumbered">
    <w:name w:val="UtilCom Numbered"/>
    <w:basedOn w:val="UtilComNumberItem2"/>
    <w:semiHidden/>
    <w:rsid w:val="001D21E9"/>
    <w:pPr>
      <w:numPr>
        <w:ilvl w:val="0"/>
        <w:numId w:val="0"/>
      </w:numPr>
    </w:pPr>
  </w:style>
  <w:style w:type="paragraph" w:customStyle="1" w:styleId="31UtilComNumber">
    <w:name w:val="3.1 UtilCom Number"/>
    <w:basedOn w:val="UtilComNumberItem2"/>
    <w:semiHidden/>
    <w:rsid w:val="000B21F0"/>
    <w:pPr>
      <w:numPr>
        <w:numId w:val="5"/>
      </w:numPr>
    </w:pPr>
  </w:style>
  <w:style w:type="paragraph" w:customStyle="1" w:styleId="AppendixHeading">
    <w:name w:val="Appendix Heading"/>
    <w:basedOn w:val="ChapterBold"/>
    <w:rsid w:val="00A554E9"/>
    <w:pPr>
      <w:jc w:val="right"/>
      <w:outlineLvl w:val="0"/>
    </w:pPr>
  </w:style>
  <w:style w:type="paragraph" w:customStyle="1" w:styleId="NumberLevel1">
    <w:name w:val="Number Level 1"/>
    <w:basedOn w:val="Normal"/>
    <w:rsid w:val="00BA0D8C"/>
    <w:pPr>
      <w:spacing w:before="960" w:after="240" w:line="400" w:lineRule="exact"/>
    </w:pPr>
    <w:rPr>
      <w:b/>
      <w:caps/>
      <w:color w:val="808080"/>
      <w:sz w:val="36"/>
    </w:rPr>
  </w:style>
  <w:style w:type="paragraph" w:customStyle="1" w:styleId="NumberLevel2">
    <w:name w:val="Number Level 2"/>
    <w:basedOn w:val="Normal"/>
    <w:next w:val="Normal"/>
    <w:link w:val="NumberLevel2Char"/>
    <w:rsid w:val="00A041E2"/>
    <w:pPr>
      <w:outlineLvl w:val="3"/>
    </w:pPr>
  </w:style>
  <w:style w:type="paragraph" w:customStyle="1" w:styleId="NumberLevel3">
    <w:name w:val="Number Level 3"/>
    <w:basedOn w:val="NumberLevel2"/>
    <w:rsid w:val="00BA0D8C"/>
    <w:pPr>
      <w:numPr>
        <w:ilvl w:val="2"/>
      </w:numPr>
    </w:pPr>
  </w:style>
  <w:style w:type="paragraph" w:customStyle="1" w:styleId="UtilComLetterNumbering">
    <w:name w:val="UtilCom Letter Numbering"/>
    <w:basedOn w:val="Normal"/>
    <w:rsid w:val="00F8644E"/>
    <w:pPr>
      <w:numPr>
        <w:numId w:val="7"/>
      </w:numPr>
    </w:pPr>
  </w:style>
  <w:style w:type="paragraph" w:customStyle="1" w:styleId="UtilComHeading4">
    <w:name w:val="UtilCom Heading 4"/>
    <w:basedOn w:val="TOC4"/>
    <w:next w:val="TOC4"/>
    <w:rsid w:val="00FE79B4"/>
    <w:pPr>
      <w:tabs>
        <w:tab w:val="clear" w:pos="1200"/>
        <w:tab w:val="clear" w:pos="9062"/>
      </w:tabs>
      <w:spacing w:after="0" w:line="312" w:lineRule="auto"/>
      <w:ind w:left="0"/>
      <w:outlineLvl w:val="3"/>
    </w:pPr>
    <w:rPr>
      <w:i/>
      <w:noProof w:val="0"/>
      <w:sz w:val="22"/>
      <w:szCs w:val="22"/>
    </w:rPr>
  </w:style>
  <w:style w:type="paragraph" w:customStyle="1" w:styleId="UtilComQuotationText">
    <w:name w:val="UtilCom Quotation Text"/>
    <w:basedOn w:val="BlockQuotation"/>
    <w:rsid w:val="00FE79B4"/>
    <w:pPr>
      <w:spacing w:line="312" w:lineRule="auto"/>
      <w:ind w:left="567"/>
    </w:pPr>
    <w:rPr>
      <w:i/>
      <w:spacing w:val="0"/>
    </w:rPr>
  </w:style>
  <w:style w:type="paragraph" w:customStyle="1" w:styleId="UtiliComAppendixHeading">
    <w:name w:val="UtiliCom Appendix Heading"/>
    <w:basedOn w:val="ChapterBold"/>
    <w:autoRedefine/>
    <w:rsid w:val="000A5CA7"/>
    <w:pPr>
      <w:jc w:val="right"/>
      <w:outlineLvl w:val="0"/>
    </w:pPr>
    <w:rPr>
      <w:caps w:val="0"/>
    </w:rPr>
  </w:style>
  <w:style w:type="paragraph" w:styleId="CommentSubject">
    <w:name w:val="annotation subject"/>
    <w:basedOn w:val="CommentText"/>
    <w:next w:val="CommentText"/>
    <w:link w:val="CommentSubjectChar"/>
    <w:rsid w:val="00BD3D85"/>
    <w:pPr>
      <w:spacing w:line="240" w:lineRule="auto"/>
    </w:pPr>
    <w:rPr>
      <w:b/>
      <w:bCs/>
      <w:sz w:val="20"/>
    </w:rPr>
  </w:style>
  <w:style w:type="character" w:customStyle="1" w:styleId="CommentTextChar">
    <w:name w:val="Comment Text Char"/>
    <w:basedOn w:val="DefaultParagraphFont"/>
    <w:link w:val="CommentText"/>
    <w:uiPriority w:val="99"/>
    <w:semiHidden/>
    <w:rsid w:val="00BD3D85"/>
    <w:rPr>
      <w:rFonts w:ascii="Arial" w:hAnsi="Arial"/>
      <w:sz w:val="22"/>
      <w:lang w:eastAsia="en-US"/>
    </w:rPr>
  </w:style>
  <w:style w:type="character" w:customStyle="1" w:styleId="CommentSubjectChar">
    <w:name w:val="Comment Subject Char"/>
    <w:basedOn w:val="CommentTextChar"/>
    <w:link w:val="CommentSubject"/>
    <w:rsid w:val="00BD3D85"/>
    <w:rPr>
      <w:rFonts w:ascii="Arial" w:hAnsi="Arial"/>
      <w:b/>
      <w:bCs/>
      <w:sz w:val="22"/>
      <w:lang w:eastAsia="en-US"/>
    </w:rPr>
  </w:style>
  <w:style w:type="character" w:customStyle="1" w:styleId="FooterChar">
    <w:name w:val="Footer Char"/>
    <w:basedOn w:val="DefaultParagraphFont"/>
    <w:link w:val="Footer"/>
    <w:uiPriority w:val="99"/>
    <w:rsid w:val="00B81FA5"/>
    <w:rPr>
      <w:rFonts w:ascii="Arial" w:hAnsi="Arial"/>
      <w:sz w:val="18"/>
      <w:lang w:eastAsia="en-US"/>
    </w:rPr>
  </w:style>
  <w:style w:type="character" w:customStyle="1" w:styleId="UtilComReferenceSourceChar">
    <w:name w:val="UtilCom Reference/Source Char"/>
    <w:basedOn w:val="DefaultParagraphFont"/>
    <w:link w:val="UtilComReferenceSource"/>
    <w:rsid w:val="00401C4A"/>
    <w:rPr>
      <w:rFonts w:ascii="Arial" w:hAnsi="Arial"/>
      <w:sz w:val="18"/>
      <w:szCs w:val="18"/>
      <w:lang w:val="en-US" w:eastAsia="en-US"/>
    </w:rPr>
  </w:style>
  <w:style w:type="character" w:customStyle="1" w:styleId="UtilComBulletTextChar">
    <w:name w:val="UtilCom Bullet Text Char"/>
    <w:basedOn w:val="DefaultParagraphFont"/>
    <w:link w:val="UtilComBulletText"/>
    <w:rsid w:val="00401C4A"/>
    <w:rPr>
      <w:rFonts w:ascii="Arial" w:hAnsi="Arial" w:cs="Arial"/>
      <w:sz w:val="22"/>
      <w:szCs w:val="22"/>
      <w:lang w:eastAsia="en-US"/>
    </w:rPr>
  </w:style>
  <w:style w:type="character" w:customStyle="1" w:styleId="UtilComHeading3Char">
    <w:name w:val="UtilCom Heading 3 Char"/>
    <w:basedOn w:val="DefaultParagraphFont"/>
    <w:link w:val="UtilComHeading3"/>
    <w:rsid w:val="00401C4A"/>
    <w:rPr>
      <w:rFonts w:ascii="Arial" w:hAnsi="Arial"/>
      <w:b/>
      <w:sz w:val="24"/>
      <w:szCs w:val="24"/>
      <w:lang w:eastAsia="en-US"/>
    </w:rPr>
  </w:style>
  <w:style w:type="paragraph" w:styleId="ListParagraph">
    <w:name w:val="List Paragraph"/>
    <w:basedOn w:val="Normal"/>
    <w:uiPriority w:val="34"/>
    <w:qFormat/>
    <w:rsid w:val="00401C4A"/>
    <w:pPr>
      <w:ind w:left="720"/>
      <w:contextualSpacing/>
    </w:pPr>
    <w:rPr>
      <w:lang w:val="en-US"/>
    </w:rPr>
  </w:style>
  <w:style w:type="paragraph" w:customStyle="1" w:styleId="GuidelineTableColumnHeading">
    <w:name w:val="Guideline_Table Column Heading"/>
    <w:basedOn w:val="Normal"/>
    <w:rsid w:val="00401C4A"/>
    <w:pPr>
      <w:keepNext/>
      <w:suppressAutoHyphens/>
      <w:autoSpaceDE w:val="0"/>
      <w:autoSpaceDN w:val="0"/>
      <w:adjustRightInd w:val="0"/>
      <w:spacing w:line="240" w:lineRule="atLeast"/>
      <w:textAlignment w:val="center"/>
    </w:pPr>
    <w:rPr>
      <w:rFonts w:eastAsia="Calibri" w:cs="Arial"/>
      <w:b/>
      <w:bCs/>
      <w:caps/>
      <w:szCs w:val="22"/>
    </w:rPr>
  </w:style>
  <w:style w:type="paragraph" w:customStyle="1" w:styleId="GuidelineTableColumnText">
    <w:name w:val="Guideline_Table Column Text"/>
    <w:basedOn w:val="Normal"/>
    <w:qFormat/>
    <w:rsid w:val="00401C4A"/>
    <w:pPr>
      <w:suppressAutoHyphens/>
      <w:autoSpaceDE w:val="0"/>
      <w:autoSpaceDN w:val="0"/>
      <w:adjustRightInd w:val="0"/>
      <w:spacing w:before="0" w:after="0" w:line="240" w:lineRule="atLeast"/>
      <w:textAlignment w:val="center"/>
    </w:pPr>
    <w:rPr>
      <w:rFonts w:ascii="Calibri" w:eastAsia="Calibri" w:hAnsi="Calibri" w:cs="Calibri"/>
    </w:rPr>
  </w:style>
  <w:style w:type="paragraph" w:customStyle="1" w:styleId="GuidelineTableBullet">
    <w:name w:val="Guideline_Table_Bullet"/>
    <w:basedOn w:val="GuidelineTableColumnText"/>
    <w:uiPriority w:val="1"/>
    <w:qFormat/>
    <w:rsid w:val="00401C4A"/>
    <w:pPr>
      <w:numPr>
        <w:numId w:val="8"/>
      </w:numPr>
      <w:tabs>
        <w:tab w:val="num" w:pos="450"/>
      </w:tabs>
      <w:ind w:left="548" w:hanging="450"/>
    </w:pPr>
  </w:style>
  <w:style w:type="character" w:styleId="Strong">
    <w:name w:val="Strong"/>
    <w:basedOn w:val="DefaultParagraphFont"/>
    <w:qFormat/>
    <w:rsid w:val="00401C4A"/>
    <w:rPr>
      <w:b/>
      <w:bCs/>
    </w:rPr>
  </w:style>
  <w:style w:type="paragraph" w:customStyle="1" w:styleId="GuidelineTabledash">
    <w:name w:val="Guideline Table dash"/>
    <w:basedOn w:val="GuidelineTableBullet"/>
    <w:qFormat/>
    <w:rsid w:val="00401C4A"/>
    <w:pPr>
      <w:numPr>
        <w:ilvl w:val="1"/>
        <w:numId w:val="9"/>
      </w:numPr>
      <w:ind w:left="924" w:hanging="357"/>
    </w:pPr>
    <w:rPr>
      <w:rFonts w:ascii="Arial" w:hAnsi="Arial" w:cs="Arial"/>
      <w:szCs w:val="22"/>
    </w:rPr>
  </w:style>
  <w:style w:type="paragraph" w:customStyle="1" w:styleId="Default">
    <w:name w:val="Default"/>
    <w:rsid w:val="0014299B"/>
    <w:pPr>
      <w:autoSpaceDE w:val="0"/>
      <w:autoSpaceDN w:val="0"/>
      <w:adjustRightInd w:val="0"/>
    </w:pPr>
    <w:rPr>
      <w:rFonts w:ascii="Arial" w:hAnsi="Arial" w:cs="Arial"/>
      <w:color w:val="000000"/>
      <w:sz w:val="24"/>
      <w:szCs w:val="24"/>
    </w:rPr>
  </w:style>
  <w:style w:type="character" w:customStyle="1" w:styleId="NumberLevel2Char">
    <w:name w:val="Number Level 2 Char"/>
    <w:basedOn w:val="DefaultParagraphFont"/>
    <w:link w:val="NumberLevel2"/>
    <w:rsid w:val="00A52B16"/>
    <w:rPr>
      <w:rFonts w:ascii="Arial" w:hAnsi="Arial"/>
      <w:sz w:val="22"/>
      <w:lang w:eastAsia="en-US"/>
    </w:rPr>
  </w:style>
  <w:style w:type="paragraph" w:customStyle="1" w:styleId="UCTOC1">
    <w:name w:val="UC TOC1"/>
    <w:basedOn w:val="UtilComHeading2"/>
    <w:link w:val="UCTOC1Char"/>
    <w:qFormat/>
    <w:rsid w:val="00302A92"/>
    <w:pPr>
      <w:keepNext w:val="0"/>
      <w:spacing w:before="120" w:line="290" w:lineRule="atLeast"/>
      <w:outlineLvl w:val="9"/>
    </w:pPr>
    <w:rPr>
      <w:sz w:val="32"/>
      <w:szCs w:val="32"/>
      <w:lang w:val="en-US"/>
    </w:rPr>
  </w:style>
  <w:style w:type="character" w:customStyle="1" w:styleId="UCTOC1Char">
    <w:name w:val="UC TOC1 Char"/>
    <w:basedOn w:val="UtilComHeading2Char"/>
    <w:link w:val="UCTOC1"/>
    <w:rsid w:val="00302A92"/>
    <w:rPr>
      <w:rFonts w:ascii="Arial" w:hAnsi="Arial"/>
      <w:b/>
      <w:sz w:val="32"/>
      <w:szCs w:val="32"/>
      <w:lang w:val="en-US" w:eastAsia="en-US" w:bidi="ar-SA"/>
    </w:rPr>
  </w:style>
  <w:style w:type="character" w:customStyle="1" w:styleId="HeaderChar">
    <w:name w:val="Header Char"/>
    <w:basedOn w:val="DefaultParagraphFont"/>
    <w:link w:val="Header"/>
    <w:uiPriority w:val="99"/>
    <w:rsid w:val="00B57FA7"/>
    <w:rPr>
      <w:rFonts w:ascii="Arial" w:hAnsi="Arial"/>
      <w:sz w:val="22"/>
      <w:lang w:eastAsia="en-US"/>
    </w:rPr>
  </w:style>
  <w:style w:type="paragraph" w:customStyle="1" w:styleId="MGBulletText">
    <w:name w:val="MG Bullet Text"/>
    <w:basedOn w:val="Normal"/>
    <w:autoRedefine/>
    <w:uiPriority w:val="99"/>
    <w:rsid w:val="00B57FA7"/>
    <w:pPr>
      <w:numPr>
        <w:numId w:val="15"/>
      </w:numPr>
      <w:tabs>
        <w:tab w:val="left" w:pos="1304"/>
      </w:tabs>
      <w:suppressAutoHyphens/>
      <w:autoSpaceDE w:val="0"/>
      <w:autoSpaceDN w:val="0"/>
      <w:adjustRightInd w:val="0"/>
      <w:spacing w:before="0" w:after="57" w:line="300" w:lineRule="atLeast"/>
      <w:ind w:left="1701" w:hanging="283"/>
      <w:textAlignment w:val="center"/>
    </w:pPr>
    <w:rPr>
      <w:rFonts w:eastAsiaTheme="minorHAnsi" w:cs="Arial MT Std Light"/>
      <w:color w:val="000000"/>
      <w:szCs w:val="22"/>
    </w:rPr>
  </w:style>
  <w:style w:type="paragraph" w:styleId="Revision">
    <w:name w:val="Revision"/>
    <w:hidden/>
    <w:uiPriority w:val="99"/>
    <w:semiHidden/>
    <w:rsid w:val="00FD6480"/>
    <w:rPr>
      <w:rFonts w:ascii="Arial" w:hAnsi="Arial"/>
      <w:sz w:val="22"/>
      <w:lang w:eastAsia="en-US"/>
    </w:rPr>
  </w:style>
  <w:style w:type="character" w:customStyle="1" w:styleId="FootnoteTextChar">
    <w:name w:val="Footnote Text Char"/>
    <w:aliases w:val="(NECG) Footnote Text Char,ALTS FOOTNOTE Char"/>
    <w:basedOn w:val="DefaultParagraphFont"/>
    <w:link w:val="FootnoteText"/>
    <w:uiPriority w:val="99"/>
    <w:rsid w:val="009648D8"/>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utilities.commission@nt.gov.au" TargetMode="Externa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utilicom.nt.gov.au/PMS/Publications/UC-COM-REP-GDL-02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AC795A47C6349B5032D5D43EA6D42" ma:contentTypeVersion="17" ma:contentTypeDescription="Create a new document." ma:contentTypeScope="" ma:versionID="dd1395085e67237d7e93f26c5d5e9308">
  <xsd:schema xmlns:xsd="http://www.w3.org/2001/XMLSchema" xmlns:xs="http://www.w3.org/2001/XMLSchema" xmlns:p="http://schemas.microsoft.com/office/2006/metadata/properties" xmlns:ns2="4d0431e8-3aad-4d02-84b7-fecd7c8a0e22" targetNamespace="http://schemas.microsoft.com/office/2006/metadata/properties" ma:root="true" ma:fieldsID="63f7f3a52da002ec58d95848bddab606" ns2:_="">
    <xsd:import namespace="4d0431e8-3aad-4d02-84b7-fecd7c8a0e22"/>
    <xsd:element name="properties">
      <xsd:complexType>
        <xsd:sequence>
          <xsd:element name="documentManagement">
            <xsd:complexType>
              <xsd:all>
                <xsd:element ref="ns2:Main_x0020_Category" minOccurs="0"/>
                <xsd:element ref="ns2:Sub_x0020_Category" minOccurs="0"/>
                <xsd:element ref="ns2:Sub_x0020_Sub_x0020_Category" minOccurs="0"/>
                <xsd:element ref="ns2:Date_x0020_Approved" minOccurs="0"/>
                <xsd:element ref="ns2:Notify_x0020_On_x0020_Check_x0020_In" minOccurs="0"/>
                <xsd:element ref="ns2: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431e8-3aad-4d02-84b7-fecd7c8a0e22" elementFormDefault="qualified">
    <xsd:import namespace="http://schemas.microsoft.com/office/2006/documentManagement/types"/>
    <xsd:import namespace="http://schemas.microsoft.com/office/infopath/2007/PartnerControls"/>
    <xsd:element name="Main_x0020_Category" ma:index="2" nillable="true" ma:displayName="Main Category" ma:list="{4d574b80-04c5-491a-9072-56487fc2c14b}" ma:internalName="Main_x0020_Category" ma:readOnly="false" ma:showField="Title">
      <xsd:simpleType>
        <xsd:restriction base="dms:Lookup"/>
      </xsd:simpleType>
    </xsd:element>
    <xsd:element name="Sub_x0020_Category" ma:index="3" nillable="true" ma:displayName="Sub Category" ma:list="{704266a8-2171-445e-a959-fc9ea1634387}" ma:internalName="Sub_x0020_Category" ma:readOnly="false" ma:showField="Title">
      <xsd:simpleType>
        <xsd:restriction base="dms:Lookup"/>
      </xsd:simpleType>
    </xsd:element>
    <xsd:element name="Sub_x0020_Sub_x0020_Category" ma:index="4" nillable="true" ma:displayName="Sub Sub Category" ma:list="{f2146ac0-839b-4e17-bf7a-eb32973bbf08}" ma:internalName="Sub_x0020_Sub_x0020_Category" ma:showField="Title">
      <xsd:simpleType>
        <xsd:restriction base="dms:Lookup"/>
      </xsd:simpleType>
    </xsd:element>
    <xsd:element name="Date_x0020_Approved" ma:index="5" nillable="true" ma:displayName="Date of Publication" ma:default="[today]" ma:format="DateOnly" ma:internalName="Date_x0020_Approved">
      <xsd:simpleType>
        <xsd:restriction base="dms:DateTime"/>
      </xsd:simpleType>
    </xsd:element>
    <xsd:element name="Notify_x0020_On_x0020_Check_x0020_In" ma:index="6" nillable="true" ma:displayName="Notify On Check In" ma:default="1" ma:internalName="Notify_x0020_On_x0020_Check_x0020_In">
      <xsd:simpleType>
        <xsd:restriction base="dms:Boolean"/>
      </xsd:simpleType>
    </xsd:element>
    <xsd:element name="Details" ma:index="7" nillable="true" ma:displayName="Details" ma:internalName="Detail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ails xmlns="4d0431e8-3aad-4d02-84b7-fecd7c8a0e22">Annual Compliance Report from Licensees 2017-18</Details>
    <Main_x0020_Category xmlns="4d0431e8-3aad-4d02-84b7-fecd7c8a0e22">3</Main_x0020_Category>
    <Sub_x0020_Sub_x0020_Category xmlns="4d0431e8-3aad-4d02-84b7-fecd7c8a0e22" xsi:nil="true"/>
    <Date_x0020_Approved xmlns="4d0431e8-3aad-4d02-84b7-fecd7c8a0e22">2018-11-28T14:30:00+00:00</Date_x0020_Approved>
    <Notify_x0020_On_x0020_Check_x0020_In xmlns="4d0431e8-3aad-4d02-84b7-fecd7c8a0e22">true</Notify_x0020_On_x0020_Check_x0020_In>
    <Sub_x0020_Category xmlns="4d0431e8-3aad-4d02-84b7-fecd7c8a0e22">76</Sub_x0020_Category>
  </documentManagement>
</p:properties>
</file>

<file path=customXml/itemProps1.xml><?xml version="1.0" encoding="utf-8"?>
<ds:datastoreItem xmlns:ds="http://schemas.openxmlformats.org/officeDocument/2006/customXml" ds:itemID="{F995D33B-D09B-4026-AB22-83E68995A889}"/>
</file>

<file path=customXml/itemProps2.xml><?xml version="1.0" encoding="utf-8"?>
<ds:datastoreItem xmlns:ds="http://schemas.openxmlformats.org/officeDocument/2006/customXml" ds:itemID="{FC9369B1-46F4-4D6F-8AF8-DEC54AC79AD6}"/>
</file>

<file path=customXml/itemProps3.xml><?xml version="1.0" encoding="utf-8"?>
<ds:datastoreItem xmlns:ds="http://schemas.openxmlformats.org/officeDocument/2006/customXml" ds:itemID="{943EA68D-56DC-4A2B-8378-38DAED19DD06}"/>
</file>

<file path=customXml/itemProps4.xml><?xml version="1.0" encoding="utf-8"?>
<ds:datastoreItem xmlns:ds="http://schemas.openxmlformats.org/officeDocument/2006/customXml" ds:itemID="{8F913243-A02C-4DB2-8063-FE82CCE5DE5A}"/>
</file>

<file path=docProps/app.xml><?xml version="1.0" encoding="utf-8"?>
<Properties xmlns="http://schemas.openxmlformats.org/officeDocument/2006/extended-properties" xmlns:vt="http://schemas.openxmlformats.org/officeDocument/2006/docPropsVTypes">
  <Template>E445B1EA.dotm</Template>
  <TotalTime>0</TotalTime>
  <Pages>8</Pages>
  <Words>2099</Words>
  <Characters>11967</Characters>
  <Application>Microsoft Office Word</Application>
  <DocSecurity>8</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14038</CharactersWithSpaces>
  <SharedDoc>false</SharedDoc>
  <HLinks>
    <vt:vector size="300" baseType="variant">
      <vt:variant>
        <vt:i4>3276826</vt:i4>
      </vt:variant>
      <vt:variant>
        <vt:i4>297</vt:i4>
      </vt:variant>
      <vt:variant>
        <vt:i4>0</vt:i4>
      </vt:variant>
      <vt:variant>
        <vt:i4>5</vt:i4>
      </vt:variant>
      <vt:variant>
        <vt:lpwstr>mailto:utilities.commission@nt.gov.au</vt:lpwstr>
      </vt:variant>
      <vt:variant>
        <vt:lpwstr/>
      </vt:variant>
      <vt:variant>
        <vt:i4>1114167</vt:i4>
      </vt:variant>
      <vt:variant>
        <vt:i4>290</vt:i4>
      </vt:variant>
      <vt:variant>
        <vt:i4>0</vt:i4>
      </vt:variant>
      <vt:variant>
        <vt:i4>5</vt:i4>
      </vt:variant>
      <vt:variant>
        <vt:lpwstr/>
      </vt:variant>
      <vt:variant>
        <vt:lpwstr>_Toc252365159</vt:lpwstr>
      </vt:variant>
      <vt:variant>
        <vt:i4>1114167</vt:i4>
      </vt:variant>
      <vt:variant>
        <vt:i4>284</vt:i4>
      </vt:variant>
      <vt:variant>
        <vt:i4>0</vt:i4>
      </vt:variant>
      <vt:variant>
        <vt:i4>5</vt:i4>
      </vt:variant>
      <vt:variant>
        <vt:lpwstr/>
      </vt:variant>
      <vt:variant>
        <vt:lpwstr>_Toc252365158</vt:lpwstr>
      </vt:variant>
      <vt:variant>
        <vt:i4>1114167</vt:i4>
      </vt:variant>
      <vt:variant>
        <vt:i4>278</vt:i4>
      </vt:variant>
      <vt:variant>
        <vt:i4>0</vt:i4>
      </vt:variant>
      <vt:variant>
        <vt:i4>5</vt:i4>
      </vt:variant>
      <vt:variant>
        <vt:lpwstr/>
      </vt:variant>
      <vt:variant>
        <vt:lpwstr>_Toc252365157</vt:lpwstr>
      </vt:variant>
      <vt:variant>
        <vt:i4>1114167</vt:i4>
      </vt:variant>
      <vt:variant>
        <vt:i4>272</vt:i4>
      </vt:variant>
      <vt:variant>
        <vt:i4>0</vt:i4>
      </vt:variant>
      <vt:variant>
        <vt:i4>5</vt:i4>
      </vt:variant>
      <vt:variant>
        <vt:lpwstr/>
      </vt:variant>
      <vt:variant>
        <vt:lpwstr>_Toc252365156</vt:lpwstr>
      </vt:variant>
      <vt:variant>
        <vt:i4>1114167</vt:i4>
      </vt:variant>
      <vt:variant>
        <vt:i4>266</vt:i4>
      </vt:variant>
      <vt:variant>
        <vt:i4>0</vt:i4>
      </vt:variant>
      <vt:variant>
        <vt:i4>5</vt:i4>
      </vt:variant>
      <vt:variant>
        <vt:lpwstr/>
      </vt:variant>
      <vt:variant>
        <vt:lpwstr>_Toc252365155</vt:lpwstr>
      </vt:variant>
      <vt:variant>
        <vt:i4>1114167</vt:i4>
      </vt:variant>
      <vt:variant>
        <vt:i4>260</vt:i4>
      </vt:variant>
      <vt:variant>
        <vt:i4>0</vt:i4>
      </vt:variant>
      <vt:variant>
        <vt:i4>5</vt:i4>
      </vt:variant>
      <vt:variant>
        <vt:lpwstr/>
      </vt:variant>
      <vt:variant>
        <vt:lpwstr>_Toc252365154</vt:lpwstr>
      </vt:variant>
      <vt:variant>
        <vt:i4>1114167</vt:i4>
      </vt:variant>
      <vt:variant>
        <vt:i4>254</vt:i4>
      </vt:variant>
      <vt:variant>
        <vt:i4>0</vt:i4>
      </vt:variant>
      <vt:variant>
        <vt:i4>5</vt:i4>
      </vt:variant>
      <vt:variant>
        <vt:lpwstr/>
      </vt:variant>
      <vt:variant>
        <vt:lpwstr>_Toc252365153</vt:lpwstr>
      </vt:variant>
      <vt:variant>
        <vt:i4>1114167</vt:i4>
      </vt:variant>
      <vt:variant>
        <vt:i4>248</vt:i4>
      </vt:variant>
      <vt:variant>
        <vt:i4>0</vt:i4>
      </vt:variant>
      <vt:variant>
        <vt:i4>5</vt:i4>
      </vt:variant>
      <vt:variant>
        <vt:lpwstr/>
      </vt:variant>
      <vt:variant>
        <vt:lpwstr>_Toc252365152</vt:lpwstr>
      </vt:variant>
      <vt:variant>
        <vt:i4>1114167</vt:i4>
      </vt:variant>
      <vt:variant>
        <vt:i4>242</vt:i4>
      </vt:variant>
      <vt:variant>
        <vt:i4>0</vt:i4>
      </vt:variant>
      <vt:variant>
        <vt:i4>5</vt:i4>
      </vt:variant>
      <vt:variant>
        <vt:lpwstr/>
      </vt:variant>
      <vt:variant>
        <vt:lpwstr>_Toc252365151</vt:lpwstr>
      </vt:variant>
      <vt:variant>
        <vt:i4>1114167</vt:i4>
      </vt:variant>
      <vt:variant>
        <vt:i4>236</vt:i4>
      </vt:variant>
      <vt:variant>
        <vt:i4>0</vt:i4>
      </vt:variant>
      <vt:variant>
        <vt:i4>5</vt:i4>
      </vt:variant>
      <vt:variant>
        <vt:lpwstr/>
      </vt:variant>
      <vt:variant>
        <vt:lpwstr>_Toc252365150</vt:lpwstr>
      </vt:variant>
      <vt:variant>
        <vt:i4>1048631</vt:i4>
      </vt:variant>
      <vt:variant>
        <vt:i4>230</vt:i4>
      </vt:variant>
      <vt:variant>
        <vt:i4>0</vt:i4>
      </vt:variant>
      <vt:variant>
        <vt:i4>5</vt:i4>
      </vt:variant>
      <vt:variant>
        <vt:lpwstr/>
      </vt:variant>
      <vt:variant>
        <vt:lpwstr>_Toc252365149</vt:lpwstr>
      </vt:variant>
      <vt:variant>
        <vt:i4>1048631</vt:i4>
      </vt:variant>
      <vt:variant>
        <vt:i4>224</vt:i4>
      </vt:variant>
      <vt:variant>
        <vt:i4>0</vt:i4>
      </vt:variant>
      <vt:variant>
        <vt:i4>5</vt:i4>
      </vt:variant>
      <vt:variant>
        <vt:lpwstr/>
      </vt:variant>
      <vt:variant>
        <vt:lpwstr>_Toc252365148</vt:lpwstr>
      </vt:variant>
      <vt:variant>
        <vt:i4>1048631</vt:i4>
      </vt:variant>
      <vt:variant>
        <vt:i4>218</vt:i4>
      </vt:variant>
      <vt:variant>
        <vt:i4>0</vt:i4>
      </vt:variant>
      <vt:variant>
        <vt:i4>5</vt:i4>
      </vt:variant>
      <vt:variant>
        <vt:lpwstr/>
      </vt:variant>
      <vt:variant>
        <vt:lpwstr>_Toc252365147</vt:lpwstr>
      </vt:variant>
      <vt:variant>
        <vt:i4>1048631</vt:i4>
      </vt:variant>
      <vt:variant>
        <vt:i4>212</vt:i4>
      </vt:variant>
      <vt:variant>
        <vt:i4>0</vt:i4>
      </vt:variant>
      <vt:variant>
        <vt:i4>5</vt:i4>
      </vt:variant>
      <vt:variant>
        <vt:lpwstr/>
      </vt:variant>
      <vt:variant>
        <vt:lpwstr>_Toc252365146</vt:lpwstr>
      </vt:variant>
      <vt:variant>
        <vt:i4>1048631</vt:i4>
      </vt:variant>
      <vt:variant>
        <vt:i4>206</vt:i4>
      </vt:variant>
      <vt:variant>
        <vt:i4>0</vt:i4>
      </vt:variant>
      <vt:variant>
        <vt:i4>5</vt:i4>
      </vt:variant>
      <vt:variant>
        <vt:lpwstr/>
      </vt:variant>
      <vt:variant>
        <vt:lpwstr>_Toc252365145</vt:lpwstr>
      </vt:variant>
      <vt:variant>
        <vt:i4>1048631</vt:i4>
      </vt:variant>
      <vt:variant>
        <vt:i4>200</vt:i4>
      </vt:variant>
      <vt:variant>
        <vt:i4>0</vt:i4>
      </vt:variant>
      <vt:variant>
        <vt:i4>5</vt:i4>
      </vt:variant>
      <vt:variant>
        <vt:lpwstr/>
      </vt:variant>
      <vt:variant>
        <vt:lpwstr>_Toc252365144</vt:lpwstr>
      </vt:variant>
      <vt:variant>
        <vt:i4>1048631</vt:i4>
      </vt:variant>
      <vt:variant>
        <vt:i4>194</vt:i4>
      </vt:variant>
      <vt:variant>
        <vt:i4>0</vt:i4>
      </vt:variant>
      <vt:variant>
        <vt:i4>5</vt:i4>
      </vt:variant>
      <vt:variant>
        <vt:lpwstr/>
      </vt:variant>
      <vt:variant>
        <vt:lpwstr>_Toc252365143</vt:lpwstr>
      </vt:variant>
      <vt:variant>
        <vt:i4>1048631</vt:i4>
      </vt:variant>
      <vt:variant>
        <vt:i4>188</vt:i4>
      </vt:variant>
      <vt:variant>
        <vt:i4>0</vt:i4>
      </vt:variant>
      <vt:variant>
        <vt:i4>5</vt:i4>
      </vt:variant>
      <vt:variant>
        <vt:lpwstr/>
      </vt:variant>
      <vt:variant>
        <vt:lpwstr>_Toc252365142</vt:lpwstr>
      </vt:variant>
      <vt:variant>
        <vt:i4>1048631</vt:i4>
      </vt:variant>
      <vt:variant>
        <vt:i4>182</vt:i4>
      </vt:variant>
      <vt:variant>
        <vt:i4>0</vt:i4>
      </vt:variant>
      <vt:variant>
        <vt:i4>5</vt:i4>
      </vt:variant>
      <vt:variant>
        <vt:lpwstr/>
      </vt:variant>
      <vt:variant>
        <vt:lpwstr>_Toc252365141</vt:lpwstr>
      </vt:variant>
      <vt:variant>
        <vt:i4>1048631</vt:i4>
      </vt:variant>
      <vt:variant>
        <vt:i4>176</vt:i4>
      </vt:variant>
      <vt:variant>
        <vt:i4>0</vt:i4>
      </vt:variant>
      <vt:variant>
        <vt:i4>5</vt:i4>
      </vt:variant>
      <vt:variant>
        <vt:lpwstr/>
      </vt:variant>
      <vt:variant>
        <vt:lpwstr>_Toc252365140</vt:lpwstr>
      </vt:variant>
      <vt:variant>
        <vt:i4>1507383</vt:i4>
      </vt:variant>
      <vt:variant>
        <vt:i4>170</vt:i4>
      </vt:variant>
      <vt:variant>
        <vt:i4>0</vt:i4>
      </vt:variant>
      <vt:variant>
        <vt:i4>5</vt:i4>
      </vt:variant>
      <vt:variant>
        <vt:lpwstr/>
      </vt:variant>
      <vt:variant>
        <vt:lpwstr>_Toc252365139</vt:lpwstr>
      </vt:variant>
      <vt:variant>
        <vt:i4>1507383</vt:i4>
      </vt:variant>
      <vt:variant>
        <vt:i4>164</vt:i4>
      </vt:variant>
      <vt:variant>
        <vt:i4>0</vt:i4>
      </vt:variant>
      <vt:variant>
        <vt:i4>5</vt:i4>
      </vt:variant>
      <vt:variant>
        <vt:lpwstr/>
      </vt:variant>
      <vt:variant>
        <vt:lpwstr>_Toc252365138</vt:lpwstr>
      </vt:variant>
      <vt:variant>
        <vt:i4>1507383</vt:i4>
      </vt:variant>
      <vt:variant>
        <vt:i4>158</vt:i4>
      </vt:variant>
      <vt:variant>
        <vt:i4>0</vt:i4>
      </vt:variant>
      <vt:variant>
        <vt:i4>5</vt:i4>
      </vt:variant>
      <vt:variant>
        <vt:lpwstr/>
      </vt:variant>
      <vt:variant>
        <vt:lpwstr>_Toc252365137</vt:lpwstr>
      </vt:variant>
      <vt:variant>
        <vt:i4>1507383</vt:i4>
      </vt:variant>
      <vt:variant>
        <vt:i4>152</vt:i4>
      </vt:variant>
      <vt:variant>
        <vt:i4>0</vt:i4>
      </vt:variant>
      <vt:variant>
        <vt:i4>5</vt:i4>
      </vt:variant>
      <vt:variant>
        <vt:lpwstr/>
      </vt:variant>
      <vt:variant>
        <vt:lpwstr>_Toc252365136</vt:lpwstr>
      </vt:variant>
      <vt:variant>
        <vt:i4>1507383</vt:i4>
      </vt:variant>
      <vt:variant>
        <vt:i4>146</vt:i4>
      </vt:variant>
      <vt:variant>
        <vt:i4>0</vt:i4>
      </vt:variant>
      <vt:variant>
        <vt:i4>5</vt:i4>
      </vt:variant>
      <vt:variant>
        <vt:lpwstr/>
      </vt:variant>
      <vt:variant>
        <vt:lpwstr>_Toc252365135</vt:lpwstr>
      </vt:variant>
      <vt:variant>
        <vt:i4>1507383</vt:i4>
      </vt:variant>
      <vt:variant>
        <vt:i4>140</vt:i4>
      </vt:variant>
      <vt:variant>
        <vt:i4>0</vt:i4>
      </vt:variant>
      <vt:variant>
        <vt:i4>5</vt:i4>
      </vt:variant>
      <vt:variant>
        <vt:lpwstr/>
      </vt:variant>
      <vt:variant>
        <vt:lpwstr>_Toc252365134</vt:lpwstr>
      </vt:variant>
      <vt:variant>
        <vt:i4>1507383</vt:i4>
      </vt:variant>
      <vt:variant>
        <vt:i4>134</vt:i4>
      </vt:variant>
      <vt:variant>
        <vt:i4>0</vt:i4>
      </vt:variant>
      <vt:variant>
        <vt:i4>5</vt:i4>
      </vt:variant>
      <vt:variant>
        <vt:lpwstr/>
      </vt:variant>
      <vt:variant>
        <vt:lpwstr>_Toc252365133</vt:lpwstr>
      </vt:variant>
      <vt:variant>
        <vt:i4>1507383</vt:i4>
      </vt:variant>
      <vt:variant>
        <vt:i4>128</vt:i4>
      </vt:variant>
      <vt:variant>
        <vt:i4>0</vt:i4>
      </vt:variant>
      <vt:variant>
        <vt:i4>5</vt:i4>
      </vt:variant>
      <vt:variant>
        <vt:lpwstr/>
      </vt:variant>
      <vt:variant>
        <vt:lpwstr>_Toc252365132</vt:lpwstr>
      </vt:variant>
      <vt:variant>
        <vt:i4>1507383</vt:i4>
      </vt:variant>
      <vt:variant>
        <vt:i4>122</vt:i4>
      </vt:variant>
      <vt:variant>
        <vt:i4>0</vt:i4>
      </vt:variant>
      <vt:variant>
        <vt:i4>5</vt:i4>
      </vt:variant>
      <vt:variant>
        <vt:lpwstr/>
      </vt:variant>
      <vt:variant>
        <vt:lpwstr>_Toc252365131</vt:lpwstr>
      </vt:variant>
      <vt:variant>
        <vt:i4>1507383</vt:i4>
      </vt:variant>
      <vt:variant>
        <vt:i4>116</vt:i4>
      </vt:variant>
      <vt:variant>
        <vt:i4>0</vt:i4>
      </vt:variant>
      <vt:variant>
        <vt:i4>5</vt:i4>
      </vt:variant>
      <vt:variant>
        <vt:lpwstr/>
      </vt:variant>
      <vt:variant>
        <vt:lpwstr>_Toc252365130</vt:lpwstr>
      </vt:variant>
      <vt:variant>
        <vt:i4>1441847</vt:i4>
      </vt:variant>
      <vt:variant>
        <vt:i4>110</vt:i4>
      </vt:variant>
      <vt:variant>
        <vt:i4>0</vt:i4>
      </vt:variant>
      <vt:variant>
        <vt:i4>5</vt:i4>
      </vt:variant>
      <vt:variant>
        <vt:lpwstr/>
      </vt:variant>
      <vt:variant>
        <vt:lpwstr>_Toc252365129</vt:lpwstr>
      </vt:variant>
      <vt:variant>
        <vt:i4>1441847</vt:i4>
      </vt:variant>
      <vt:variant>
        <vt:i4>104</vt:i4>
      </vt:variant>
      <vt:variant>
        <vt:i4>0</vt:i4>
      </vt:variant>
      <vt:variant>
        <vt:i4>5</vt:i4>
      </vt:variant>
      <vt:variant>
        <vt:lpwstr/>
      </vt:variant>
      <vt:variant>
        <vt:lpwstr>_Toc252365128</vt:lpwstr>
      </vt:variant>
      <vt:variant>
        <vt:i4>1441847</vt:i4>
      </vt:variant>
      <vt:variant>
        <vt:i4>98</vt:i4>
      </vt:variant>
      <vt:variant>
        <vt:i4>0</vt:i4>
      </vt:variant>
      <vt:variant>
        <vt:i4>5</vt:i4>
      </vt:variant>
      <vt:variant>
        <vt:lpwstr/>
      </vt:variant>
      <vt:variant>
        <vt:lpwstr>_Toc252365127</vt:lpwstr>
      </vt:variant>
      <vt:variant>
        <vt:i4>1441847</vt:i4>
      </vt:variant>
      <vt:variant>
        <vt:i4>92</vt:i4>
      </vt:variant>
      <vt:variant>
        <vt:i4>0</vt:i4>
      </vt:variant>
      <vt:variant>
        <vt:i4>5</vt:i4>
      </vt:variant>
      <vt:variant>
        <vt:lpwstr/>
      </vt:variant>
      <vt:variant>
        <vt:lpwstr>_Toc252365126</vt:lpwstr>
      </vt:variant>
      <vt:variant>
        <vt:i4>1441847</vt:i4>
      </vt:variant>
      <vt:variant>
        <vt:i4>86</vt:i4>
      </vt:variant>
      <vt:variant>
        <vt:i4>0</vt:i4>
      </vt:variant>
      <vt:variant>
        <vt:i4>5</vt:i4>
      </vt:variant>
      <vt:variant>
        <vt:lpwstr/>
      </vt:variant>
      <vt:variant>
        <vt:lpwstr>_Toc252365125</vt:lpwstr>
      </vt:variant>
      <vt:variant>
        <vt:i4>1441847</vt:i4>
      </vt:variant>
      <vt:variant>
        <vt:i4>80</vt:i4>
      </vt:variant>
      <vt:variant>
        <vt:i4>0</vt:i4>
      </vt:variant>
      <vt:variant>
        <vt:i4>5</vt:i4>
      </vt:variant>
      <vt:variant>
        <vt:lpwstr/>
      </vt:variant>
      <vt:variant>
        <vt:lpwstr>_Toc252365124</vt:lpwstr>
      </vt:variant>
      <vt:variant>
        <vt:i4>1441847</vt:i4>
      </vt:variant>
      <vt:variant>
        <vt:i4>74</vt:i4>
      </vt:variant>
      <vt:variant>
        <vt:i4>0</vt:i4>
      </vt:variant>
      <vt:variant>
        <vt:i4>5</vt:i4>
      </vt:variant>
      <vt:variant>
        <vt:lpwstr/>
      </vt:variant>
      <vt:variant>
        <vt:lpwstr>_Toc252365123</vt:lpwstr>
      </vt:variant>
      <vt:variant>
        <vt:i4>1441847</vt:i4>
      </vt:variant>
      <vt:variant>
        <vt:i4>68</vt:i4>
      </vt:variant>
      <vt:variant>
        <vt:i4>0</vt:i4>
      </vt:variant>
      <vt:variant>
        <vt:i4>5</vt:i4>
      </vt:variant>
      <vt:variant>
        <vt:lpwstr/>
      </vt:variant>
      <vt:variant>
        <vt:lpwstr>_Toc252365122</vt:lpwstr>
      </vt:variant>
      <vt:variant>
        <vt:i4>1441847</vt:i4>
      </vt:variant>
      <vt:variant>
        <vt:i4>62</vt:i4>
      </vt:variant>
      <vt:variant>
        <vt:i4>0</vt:i4>
      </vt:variant>
      <vt:variant>
        <vt:i4>5</vt:i4>
      </vt:variant>
      <vt:variant>
        <vt:lpwstr/>
      </vt:variant>
      <vt:variant>
        <vt:lpwstr>_Toc252365121</vt:lpwstr>
      </vt:variant>
      <vt:variant>
        <vt:i4>1441847</vt:i4>
      </vt:variant>
      <vt:variant>
        <vt:i4>56</vt:i4>
      </vt:variant>
      <vt:variant>
        <vt:i4>0</vt:i4>
      </vt:variant>
      <vt:variant>
        <vt:i4>5</vt:i4>
      </vt:variant>
      <vt:variant>
        <vt:lpwstr/>
      </vt:variant>
      <vt:variant>
        <vt:lpwstr>_Toc252365120</vt:lpwstr>
      </vt:variant>
      <vt:variant>
        <vt:i4>1376311</vt:i4>
      </vt:variant>
      <vt:variant>
        <vt:i4>50</vt:i4>
      </vt:variant>
      <vt:variant>
        <vt:i4>0</vt:i4>
      </vt:variant>
      <vt:variant>
        <vt:i4>5</vt:i4>
      </vt:variant>
      <vt:variant>
        <vt:lpwstr/>
      </vt:variant>
      <vt:variant>
        <vt:lpwstr>_Toc252365119</vt:lpwstr>
      </vt:variant>
      <vt:variant>
        <vt:i4>1376311</vt:i4>
      </vt:variant>
      <vt:variant>
        <vt:i4>44</vt:i4>
      </vt:variant>
      <vt:variant>
        <vt:i4>0</vt:i4>
      </vt:variant>
      <vt:variant>
        <vt:i4>5</vt:i4>
      </vt:variant>
      <vt:variant>
        <vt:lpwstr/>
      </vt:variant>
      <vt:variant>
        <vt:lpwstr>_Toc252365118</vt:lpwstr>
      </vt:variant>
      <vt:variant>
        <vt:i4>1376311</vt:i4>
      </vt:variant>
      <vt:variant>
        <vt:i4>38</vt:i4>
      </vt:variant>
      <vt:variant>
        <vt:i4>0</vt:i4>
      </vt:variant>
      <vt:variant>
        <vt:i4>5</vt:i4>
      </vt:variant>
      <vt:variant>
        <vt:lpwstr/>
      </vt:variant>
      <vt:variant>
        <vt:lpwstr>_Toc252365117</vt:lpwstr>
      </vt:variant>
      <vt:variant>
        <vt:i4>1376311</vt:i4>
      </vt:variant>
      <vt:variant>
        <vt:i4>32</vt:i4>
      </vt:variant>
      <vt:variant>
        <vt:i4>0</vt:i4>
      </vt:variant>
      <vt:variant>
        <vt:i4>5</vt:i4>
      </vt:variant>
      <vt:variant>
        <vt:lpwstr/>
      </vt:variant>
      <vt:variant>
        <vt:lpwstr>_Toc252365116</vt:lpwstr>
      </vt:variant>
      <vt:variant>
        <vt:i4>1376311</vt:i4>
      </vt:variant>
      <vt:variant>
        <vt:i4>26</vt:i4>
      </vt:variant>
      <vt:variant>
        <vt:i4>0</vt:i4>
      </vt:variant>
      <vt:variant>
        <vt:i4>5</vt:i4>
      </vt:variant>
      <vt:variant>
        <vt:lpwstr/>
      </vt:variant>
      <vt:variant>
        <vt:lpwstr>_Toc252365115</vt:lpwstr>
      </vt:variant>
      <vt:variant>
        <vt:i4>1376311</vt:i4>
      </vt:variant>
      <vt:variant>
        <vt:i4>20</vt:i4>
      </vt:variant>
      <vt:variant>
        <vt:i4>0</vt:i4>
      </vt:variant>
      <vt:variant>
        <vt:i4>5</vt:i4>
      </vt:variant>
      <vt:variant>
        <vt:lpwstr/>
      </vt:variant>
      <vt:variant>
        <vt:lpwstr>_Toc252365114</vt:lpwstr>
      </vt:variant>
      <vt:variant>
        <vt:i4>1376311</vt:i4>
      </vt:variant>
      <vt:variant>
        <vt:i4>14</vt:i4>
      </vt:variant>
      <vt:variant>
        <vt:i4>0</vt:i4>
      </vt:variant>
      <vt:variant>
        <vt:i4>5</vt:i4>
      </vt:variant>
      <vt:variant>
        <vt:lpwstr/>
      </vt:variant>
      <vt:variant>
        <vt:lpwstr>_Toc252365113</vt:lpwstr>
      </vt:variant>
      <vt:variant>
        <vt:i4>1376311</vt:i4>
      </vt:variant>
      <vt:variant>
        <vt:i4>8</vt:i4>
      </vt:variant>
      <vt:variant>
        <vt:i4>0</vt:i4>
      </vt:variant>
      <vt:variant>
        <vt:i4>5</vt:i4>
      </vt:variant>
      <vt:variant>
        <vt:lpwstr/>
      </vt:variant>
      <vt:variant>
        <vt:lpwstr>_Toc252365112</vt:lpwstr>
      </vt:variant>
      <vt:variant>
        <vt:i4>1376311</vt:i4>
      </vt:variant>
      <vt:variant>
        <vt:i4>2</vt:i4>
      </vt:variant>
      <vt:variant>
        <vt:i4>0</vt:i4>
      </vt:variant>
      <vt:variant>
        <vt:i4>5</vt:i4>
      </vt:variant>
      <vt:variant>
        <vt:lpwstr/>
      </vt:variant>
      <vt:variant>
        <vt:lpwstr>_Toc252365111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Compliance Report from Licensees 2017-18</dc:title>
  <dc:creator/>
  <cp:lastModifiedBy/>
  <cp:revision>1</cp:revision>
  <dcterms:created xsi:type="dcterms:W3CDTF">2018-11-28T23:41:00Z</dcterms:created>
  <dcterms:modified xsi:type="dcterms:W3CDTF">2018-11-28T23:41:00Z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0x0101002A7AC795A47C6349B5032D5D43EA6D42</vt:lpwstr>
  </property>
</Properties>
</file>