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7BA39" w14:textId="77777777" w:rsidR="009874AC" w:rsidRPr="004360BF" w:rsidRDefault="00FA651A" w:rsidP="001267A6">
      <w:pPr>
        <w:rPr>
          <w:lang w:val="en-AU"/>
        </w:rPr>
      </w:pPr>
      <w:r w:rsidRPr="004360BF">
        <w:rPr>
          <w:noProof/>
          <w:lang w:val="en-AU" w:eastAsia="en-AU"/>
        </w:rPr>
        <w:drawing>
          <wp:inline distT="0" distB="0" distL="0" distR="0" wp14:anchorId="147734AE" wp14:editId="3C2CA8F7">
            <wp:extent cx="2139950" cy="514350"/>
            <wp:effectExtent l="0" t="0" r="0" b="0"/>
            <wp:docPr id="1" name="Picture 5" descr="Description: pwc_colou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pwc_colour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950" cy="514350"/>
                    </a:xfrm>
                    <a:prstGeom prst="rect">
                      <a:avLst/>
                    </a:prstGeom>
                    <a:noFill/>
                    <a:ln>
                      <a:noFill/>
                    </a:ln>
                  </pic:spPr>
                </pic:pic>
              </a:graphicData>
            </a:graphic>
          </wp:inline>
        </w:drawing>
      </w:r>
      <w:bookmarkStart w:id="0" w:name="_GoBack"/>
      <w:bookmarkEnd w:id="0"/>
    </w:p>
    <w:p w14:paraId="7B500887" w14:textId="77777777" w:rsidR="009874AC" w:rsidRPr="004360BF" w:rsidRDefault="009874AC" w:rsidP="00570249">
      <w:pPr>
        <w:rPr>
          <w:rFonts w:eastAsia="MS ??"/>
          <w:b/>
          <w:i/>
          <w:color w:val="000080"/>
          <w:sz w:val="48"/>
          <w:szCs w:val="20"/>
          <w:lang w:val="en-AU"/>
        </w:rPr>
      </w:pPr>
    </w:p>
    <w:p w14:paraId="48640B91" w14:textId="77777777" w:rsidR="009874AC" w:rsidRPr="004360BF" w:rsidRDefault="009874AC" w:rsidP="001267A6">
      <w:pPr>
        <w:jc w:val="center"/>
        <w:rPr>
          <w:rFonts w:eastAsia="MS ??"/>
          <w:b/>
          <w:i/>
          <w:color w:val="000080"/>
          <w:sz w:val="48"/>
          <w:szCs w:val="20"/>
          <w:lang w:val="en-AU"/>
        </w:rPr>
      </w:pPr>
    </w:p>
    <w:p w14:paraId="411CA280" w14:textId="77777777" w:rsidR="009874AC" w:rsidRPr="004360BF" w:rsidRDefault="009874AC" w:rsidP="001267A6">
      <w:pPr>
        <w:jc w:val="center"/>
        <w:rPr>
          <w:rFonts w:eastAsia="MS ??"/>
          <w:b/>
          <w:i/>
          <w:color w:val="000080"/>
          <w:sz w:val="48"/>
          <w:szCs w:val="20"/>
          <w:lang w:val="en-AU"/>
        </w:rPr>
      </w:pPr>
    </w:p>
    <w:p w14:paraId="0292E6C4" w14:textId="77777777" w:rsidR="009874AC" w:rsidRPr="004360BF" w:rsidRDefault="009874AC" w:rsidP="001267A6">
      <w:pPr>
        <w:jc w:val="center"/>
        <w:rPr>
          <w:rFonts w:eastAsia="MS ??"/>
          <w:b/>
          <w:i/>
          <w:color w:val="000080"/>
          <w:sz w:val="48"/>
          <w:szCs w:val="20"/>
          <w:lang w:val="en-AU"/>
        </w:rPr>
      </w:pPr>
      <w:r w:rsidRPr="004360BF">
        <w:rPr>
          <w:rFonts w:eastAsia="MS ??"/>
          <w:b/>
          <w:i/>
          <w:color w:val="000080"/>
          <w:sz w:val="48"/>
          <w:szCs w:val="20"/>
          <w:lang w:val="en-AU"/>
        </w:rPr>
        <w:t>POWER NETWORKS</w:t>
      </w:r>
      <w:r w:rsidR="003C7494" w:rsidRPr="004360BF">
        <w:rPr>
          <w:rFonts w:eastAsia="MS ??"/>
          <w:b/>
          <w:i/>
          <w:color w:val="000080"/>
          <w:sz w:val="48"/>
          <w:szCs w:val="20"/>
          <w:lang w:val="en-AU"/>
        </w:rPr>
        <w:t xml:space="preserve"> </w:t>
      </w:r>
    </w:p>
    <w:p w14:paraId="58AB8DA5" w14:textId="77777777" w:rsidR="009874AC" w:rsidRPr="004360BF" w:rsidRDefault="009874AC" w:rsidP="000B4A31">
      <w:pPr>
        <w:jc w:val="center"/>
        <w:rPr>
          <w:rFonts w:eastAsia="MS ??"/>
          <w:b/>
          <w:i/>
          <w:color w:val="000080"/>
          <w:sz w:val="48"/>
          <w:szCs w:val="20"/>
          <w:lang w:val="en-AU"/>
        </w:rPr>
      </w:pPr>
    </w:p>
    <w:p w14:paraId="4865E5BC" w14:textId="77777777" w:rsidR="00A50530" w:rsidRPr="004360BF" w:rsidRDefault="00A50530" w:rsidP="00A50530">
      <w:pPr>
        <w:jc w:val="center"/>
        <w:rPr>
          <w:rFonts w:eastAsia="MS ??"/>
          <w:b/>
          <w:i/>
          <w:color w:val="000080"/>
          <w:sz w:val="48"/>
          <w:szCs w:val="20"/>
          <w:lang w:val="en-AU"/>
        </w:rPr>
      </w:pPr>
      <w:r w:rsidRPr="004360BF">
        <w:rPr>
          <w:rFonts w:eastAsia="MS ??"/>
          <w:b/>
          <w:i/>
          <w:color w:val="000080"/>
          <w:sz w:val="48"/>
          <w:szCs w:val="20"/>
          <w:lang w:val="en-AU"/>
        </w:rPr>
        <w:t>Network Pricing Principles Statement</w:t>
      </w:r>
    </w:p>
    <w:p w14:paraId="082B3245" w14:textId="77777777" w:rsidR="009874AC" w:rsidRPr="004360BF" w:rsidRDefault="009874AC" w:rsidP="000B4A31">
      <w:pPr>
        <w:jc w:val="center"/>
        <w:rPr>
          <w:rFonts w:eastAsia="MS ??"/>
          <w:b/>
          <w:i/>
          <w:color w:val="000080"/>
          <w:sz w:val="48"/>
          <w:szCs w:val="20"/>
          <w:lang w:val="en-AU"/>
        </w:rPr>
      </w:pPr>
      <w:proofErr w:type="gramStart"/>
      <w:r w:rsidRPr="004360BF">
        <w:rPr>
          <w:rFonts w:eastAsia="MS ??"/>
          <w:b/>
          <w:i/>
          <w:color w:val="000080"/>
          <w:sz w:val="48"/>
          <w:szCs w:val="20"/>
          <w:lang w:val="en-AU"/>
        </w:rPr>
        <w:t>and</w:t>
      </w:r>
      <w:proofErr w:type="gramEnd"/>
    </w:p>
    <w:p w14:paraId="7C3433CA" w14:textId="77777777" w:rsidR="00A50530" w:rsidRPr="004360BF" w:rsidRDefault="00582CDB" w:rsidP="00A50530">
      <w:pPr>
        <w:jc w:val="center"/>
        <w:rPr>
          <w:rFonts w:eastAsia="MS ??"/>
          <w:b/>
          <w:i/>
          <w:color w:val="000080"/>
          <w:sz w:val="48"/>
          <w:szCs w:val="20"/>
          <w:lang w:val="en-AU"/>
        </w:rPr>
      </w:pPr>
      <w:r w:rsidRPr="004360BF">
        <w:rPr>
          <w:rFonts w:eastAsia="MS ??"/>
          <w:b/>
          <w:i/>
          <w:color w:val="000080"/>
          <w:sz w:val="48"/>
          <w:szCs w:val="20"/>
          <w:lang w:val="en-AU"/>
        </w:rPr>
        <w:t>2015</w:t>
      </w:r>
      <w:r w:rsidR="006B3299" w:rsidRPr="004360BF">
        <w:rPr>
          <w:rFonts w:eastAsia="MS ??"/>
          <w:b/>
          <w:i/>
          <w:color w:val="000080"/>
          <w:sz w:val="48"/>
          <w:szCs w:val="20"/>
          <w:lang w:val="en-AU"/>
        </w:rPr>
        <w:t>/</w:t>
      </w:r>
      <w:r w:rsidR="00A50530" w:rsidRPr="004360BF">
        <w:rPr>
          <w:rFonts w:eastAsia="MS ??"/>
          <w:b/>
          <w:i/>
          <w:color w:val="000080"/>
          <w:sz w:val="48"/>
          <w:szCs w:val="20"/>
          <w:lang w:val="en-AU"/>
        </w:rPr>
        <w:t>1</w:t>
      </w:r>
      <w:r w:rsidRPr="004360BF">
        <w:rPr>
          <w:rFonts w:eastAsia="MS ??"/>
          <w:b/>
          <w:i/>
          <w:color w:val="000080"/>
          <w:sz w:val="48"/>
          <w:szCs w:val="20"/>
          <w:lang w:val="en-AU"/>
        </w:rPr>
        <w:t>6</w:t>
      </w:r>
      <w:r w:rsidR="00A50530" w:rsidRPr="004360BF">
        <w:rPr>
          <w:rFonts w:eastAsia="MS ??"/>
          <w:b/>
          <w:i/>
          <w:color w:val="000080"/>
          <w:sz w:val="48"/>
          <w:szCs w:val="20"/>
          <w:lang w:val="en-AU"/>
        </w:rPr>
        <w:t xml:space="preserve"> </w:t>
      </w:r>
      <w:r w:rsidR="00FA2C44" w:rsidRPr="004360BF">
        <w:rPr>
          <w:rFonts w:eastAsia="MS ??"/>
          <w:b/>
          <w:i/>
          <w:color w:val="000080"/>
          <w:sz w:val="48"/>
          <w:szCs w:val="20"/>
          <w:lang w:val="en-AU"/>
        </w:rPr>
        <w:t xml:space="preserve">Network </w:t>
      </w:r>
      <w:r w:rsidR="00A50530" w:rsidRPr="004360BF">
        <w:rPr>
          <w:rFonts w:eastAsia="MS ??"/>
          <w:b/>
          <w:i/>
          <w:color w:val="000080"/>
          <w:sz w:val="48"/>
          <w:szCs w:val="20"/>
          <w:lang w:val="en-AU"/>
        </w:rPr>
        <w:t>Pricing Proposal</w:t>
      </w:r>
    </w:p>
    <w:p w14:paraId="79B3CB75" w14:textId="77777777" w:rsidR="009874AC" w:rsidRPr="004360BF" w:rsidRDefault="009874AC" w:rsidP="001267A6">
      <w:pPr>
        <w:jc w:val="center"/>
        <w:rPr>
          <w:rFonts w:eastAsia="MS ??"/>
          <w:b/>
          <w:i/>
          <w:color w:val="000080"/>
          <w:sz w:val="48"/>
          <w:szCs w:val="20"/>
          <w:lang w:val="en-AU"/>
        </w:rPr>
      </w:pPr>
    </w:p>
    <w:p w14:paraId="01914A1C" w14:textId="77777777" w:rsidR="009874AC" w:rsidRPr="004360BF" w:rsidRDefault="009874AC" w:rsidP="001267A6">
      <w:pPr>
        <w:jc w:val="center"/>
        <w:rPr>
          <w:rFonts w:eastAsia="MS ??"/>
          <w:b/>
          <w:i/>
          <w:color w:val="000080"/>
          <w:sz w:val="48"/>
          <w:szCs w:val="20"/>
          <w:lang w:val="en-AU"/>
        </w:rPr>
      </w:pPr>
    </w:p>
    <w:p w14:paraId="3DD4B85D" w14:textId="77777777" w:rsidR="009874AC" w:rsidRPr="004360BF" w:rsidRDefault="009874AC" w:rsidP="001267A6">
      <w:pPr>
        <w:jc w:val="center"/>
        <w:rPr>
          <w:rFonts w:eastAsia="MS ??"/>
          <w:b/>
          <w:i/>
          <w:color w:val="000080"/>
          <w:sz w:val="48"/>
          <w:szCs w:val="20"/>
          <w:lang w:val="en-AU"/>
        </w:rPr>
      </w:pPr>
    </w:p>
    <w:p w14:paraId="24B1975D" w14:textId="77777777" w:rsidR="009874AC" w:rsidRPr="004360BF" w:rsidRDefault="009874AC" w:rsidP="001267A6">
      <w:pPr>
        <w:jc w:val="center"/>
        <w:rPr>
          <w:rFonts w:eastAsia="MS ??"/>
          <w:b/>
          <w:i/>
          <w:color w:val="000080"/>
          <w:sz w:val="48"/>
          <w:szCs w:val="20"/>
          <w:lang w:val="en-AU"/>
        </w:rPr>
      </w:pPr>
    </w:p>
    <w:p w14:paraId="4C0885FA" w14:textId="77777777" w:rsidR="009874AC" w:rsidRPr="004360BF" w:rsidRDefault="009874AC" w:rsidP="00765240">
      <w:pPr>
        <w:jc w:val="center"/>
        <w:rPr>
          <w:rFonts w:eastAsia="MS ??"/>
          <w:b/>
          <w:i/>
          <w:color w:val="000080"/>
          <w:sz w:val="48"/>
          <w:szCs w:val="20"/>
          <w:lang w:val="en-AU"/>
        </w:rPr>
      </w:pPr>
    </w:p>
    <w:p w14:paraId="7E08B4B0" w14:textId="77777777" w:rsidR="009874AC" w:rsidRPr="004360BF" w:rsidRDefault="008B70F1" w:rsidP="001267A6">
      <w:pPr>
        <w:jc w:val="center"/>
        <w:rPr>
          <w:sz w:val="28"/>
          <w:lang w:val="en-AU"/>
        </w:rPr>
      </w:pPr>
      <w:r w:rsidRPr="004360BF">
        <w:rPr>
          <w:sz w:val="28"/>
          <w:lang w:val="en-AU"/>
        </w:rPr>
        <w:t>May</w:t>
      </w:r>
      <w:r w:rsidR="009874AC" w:rsidRPr="004360BF">
        <w:rPr>
          <w:sz w:val="28"/>
          <w:lang w:val="en-AU"/>
        </w:rPr>
        <w:t xml:space="preserve"> 201</w:t>
      </w:r>
      <w:r w:rsidR="00582CDB" w:rsidRPr="004360BF">
        <w:rPr>
          <w:sz w:val="28"/>
          <w:lang w:val="en-AU"/>
        </w:rPr>
        <w:t>5</w:t>
      </w:r>
    </w:p>
    <w:p w14:paraId="2F08C138" w14:textId="77777777" w:rsidR="009874AC" w:rsidRPr="004360BF" w:rsidRDefault="009874AC" w:rsidP="001267A6">
      <w:pPr>
        <w:rPr>
          <w:lang w:val="en-AU"/>
        </w:rPr>
      </w:pPr>
    </w:p>
    <w:p w14:paraId="7DE94FCA" w14:textId="77777777" w:rsidR="009874AC" w:rsidRPr="004360BF" w:rsidRDefault="009874AC" w:rsidP="001267A6">
      <w:pPr>
        <w:rPr>
          <w:rFonts w:ascii="Cambria" w:hAnsi="Cambria"/>
          <w:b/>
          <w:sz w:val="28"/>
          <w:szCs w:val="28"/>
          <w:lang w:val="en-AU"/>
        </w:rPr>
        <w:sectPr w:rsidR="009874AC" w:rsidRPr="004360BF" w:rsidSect="00B87B8D">
          <w:footerReference w:type="even" r:id="rId11"/>
          <w:footerReference w:type="default" r:id="rId12"/>
          <w:pgSz w:w="11906" w:h="16838"/>
          <w:pgMar w:top="1418" w:right="1134" w:bottom="1134" w:left="1701" w:header="709" w:footer="709" w:gutter="0"/>
          <w:cols w:space="708"/>
          <w:titlePg/>
          <w:docGrid w:linePitch="360"/>
        </w:sectPr>
      </w:pPr>
    </w:p>
    <w:p w14:paraId="7AA6FF66" w14:textId="77777777" w:rsidR="00917F81" w:rsidRPr="004360BF" w:rsidRDefault="00917F81" w:rsidP="00B30BF6">
      <w:pPr>
        <w:pStyle w:val="Heading1"/>
        <w:numPr>
          <w:ilvl w:val="0"/>
          <w:numId w:val="0"/>
        </w:numPr>
      </w:pPr>
      <w:bookmarkStart w:id="1" w:name="_Toc417291223"/>
      <w:bookmarkStart w:id="2" w:name="_Toc417291713"/>
      <w:bookmarkStart w:id="3" w:name="_Toc417292481"/>
      <w:bookmarkStart w:id="4" w:name="_Toc291262206"/>
      <w:bookmarkStart w:id="5" w:name="_Toc417457986"/>
      <w:bookmarkStart w:id="6" w:name="_Toc418608655"/>
      <w:r w:rsidRPr="004360BF">
        <w:lastRenderedPageBreak/>
        <w:t>Executive Summary</w:t>
      </w:r>
      <w:bookmarkEnd w:id="1"/>
      <w:bookmarkEnd w:id="2"/>
      <w:bookmarkEnd w:id="3"/>
      <w:bookmarkEnd w:id="4"/>
      <w:bookmarkEnd w:id="5"/>
      <w:bookmarkEnd w:id="6"/>
      <w:r w:rsidRPr="004360BF">
        <w:t xml:space="preserve"> </w:t>
      </w:r>
    </w:p>
    <w:p w14:paraId="73A0F88B" w14:textId="7F46B64C" w:rsidR="00917F81" w:rsidRPr="004360BF" w:rsidRDefault="00917F81" w:rsidP="00D9617E">
      <w:pPr>
        <w:rPr>
          <w:lang w:val="en-AU"/>
        </w:rPr>
      </w:pPr>
      <w:r w:rsidRPr="004360BF">
        <w:rPr>
          <w:lang w:val="en-AU"/>
        </w:rPr>
        <w:t xml:space="preserve">This document accompanies </w:t>
      </w:r>
      <w:r w:rsidR="00B30BF6" w:rsidRPr="004360BF">
        <w:rPr>
          <w:lang w:val="en-AU"/>
        </w:rPr>
        <w:t>the Power and Water</w:t>
      </w:r>
      <w:r w:rsidR="00D9617E" w:rsidRPr="004360BF">
        <w:rPr>
          <w:lang w:val="en-AU"/>
        </w:rPr>
        <w:t xml:space="preserve"> Corporation’s</w:t>
      </w:r>
      <w:r w:rsidR="00656CF7" w:rsidRPr="004360BF">
        <w:rPr>
          <w:lang w:val="en-AU"/>
        </w:rPr>
        <w:t xml:space="preserve"> </w:t>
      </w:r>
      <w:r w:rsidRPr="004360BF">
        <w:rPr>
          <w:lang w:val="en-AU"/>
        </w:rPr>
        <w:t>proposed 2015/16 network tariffs for standard control services</w:t>
      </w:r>
      <w:r w:rsidRPr="004360BF">
        <w:rPr>
          <w:rStyle w:val="FootnoteReference"/>
          <w:lang w:val="en-AU"/>
        </w:rPr>
        <w:footnoteReference w:id="2"/>
      </w:r>
      <w:r w:rsidRPr="004360BF">
        <w:rPr>
          <w:lang w:val="en-AU"/>
        </w:rPr>
        <w:t xml:space="preserve"> and contains </w:t>
      </w:r>
      <w:r w:rsidR="00530C05" w:rsidRPr="004360BF">
        <w:rPr>
          <w:lang w:val="en-AU"/>
        </w:rPr>
        <w:t xml:space="preserve">PWC’s </w:t>
      </w:r>
      <w:r w:rsidRPr="004360BF">
        <w:rPr>
          <w:lang w:val="en-AU"/>
        </w:rPr>
        <w:t>Network Pricing Principles Statement (NPPS) and 2015/16 Network Pricing Proposal.</w:t>
      </w:r>
    </w:p>
    <w:p w14:paraId="016BDC85" w14:textId="77777777" w:rsidR="00917F81" w:rsidRPr="004360BF" w:rsidRDefault="00917F81" w:rsidP="00D9617E">
      <w:pPr>
        <w:pStyle w:val="Dottop"/>
        <w:rPr>
          <w:lang w:val="en-AU"/>
        </w:rPr>
      </w:pPr>
      <w:r w:rsidRPr="004360BF">
        <w:rPr>
          <w:lang w:val="en-AU"/>
        </w:rPr>
        <w:t>The NPPS and 2015/16 Network Pricing Proposal, including the network tariffs, have been developed in accordance with the requirements of:</w:t>
      </w:r>
    </w:p>
    <w:p w14:paraId="21F77CB6" w14:textId="77777777" w:rsidR="00917F81" w:rsidRPr="004360BF" w:rsidRDefault="00917F81" w:rsidP="00D9617E">
      <w:pPr>
        <w:pStyle w:val="Dot"/>
        <w:rPr>
          <w:lang w:val="en-AU"/>
        </w:rPr>
      </w:pPr>
      <w:r w:rsidRPr="004360BF">
        <w:rPr>
          <w:lang w:val="en-AU"/>
        </w:rPr>
        <w:t>The Utilities Commission’s (the Commission) Final 2014 Networks Price Determination (2014 Networks Price Determination: Final Determination)</w:t>
      </w:r>
      <w:r w:rsidRPr="004360BF">
        <w:rPr>
          <w:rStyle w:val="FootnoteReference"/>
          <w:lang w:val="en-AU"/>
        </w:rPr>
        <w:footnoteReference w:id="3"/>
      </w:r>
      <w:r w:rsidRPr="004360BF">
        <w:rPr>
          <w:lang w:val="en-AU"/>
        </w:rPr>
        <w:t>;</w:t>
      </w:r>
    </w:p>
    <w:p w14:paraId="2E7813E8" w14:textId="77777777" w:rsidR="00917F81" w:rsidRPr="004360BF" w:rsidRDefault="00917F81" w:rsidP="00D9617E">
      <w:pPr>
        <w:pStyle w:val="Dot"/>
        <w:rPr>
          <w:lang w:val="en-AU"/>
        </w:rPr>
      </w:pPr>
      <w:r w:rsidRPr="004360BF">
        <w:rPr>
          <w:lang w:val="en-AU"/>
        </w:rPr>
        <w:t>The Commission’s Regulatory Information Notice (the RIN) requirements for the 2014 Networks Price Determination (2014 NPD)</w:t>
      </w:r>
      <w:r w:rsidRPr="004360BF">
        <w:rPr>
          <w:rStyle w:val="FootnoteReference"/>
          <w:lang w:val="en-AU"/>
        </w:rPr>
        <w:footnoteReference w:id="4"/>
      </w:r>
      <w:r w:rsidRPr="004360BF">
        <w:rPr>
          <w:lang w:val="en-AU"/>
        </w:rPr>
        <w:t>;</w:t>
      </w:r>
    </w:p>
    <w:p w14:paraId="4FA07CB1" w14:textId="77777777" w:rsidR="00917F81" w:rsidRPr="004360BF" w:rsidRDefault="00917F81" w:rsidP="00D9617E">
      <w:pPr>
        <w:pStyle w:val="Dot"/>
        <w:rPr>
          <w:lang w:val="en-AU"/>
        </w:rPr>
      </w:pPr>
      <w:r w:rsidRPr="004360BF">
        <w:rPr>
          <w:lang w:val="en-AU"/>
        </w:rPr>
        <w:t>The Electricity Networks Third Party Access Code (the TPA Code)</w:t>
      </w:r>
      <w:r w:rsidRPr="004360BF">
        <w:rPr>
          <w:rStyle w:val="FootnoteReference"/>
          <w:lang w:val="en-AU"/>
        </w:rPr>
        <w:footnoteReference w:id="5"/>
      </w:r>
      <w:r w:rsidRPr="004360BF">
        <w:rPr>
          <w:lang w:val="en-AU"/>
        </w:rPr>
        <w:t xml:space="preserve">; and </w:t>
      </w:r>
    </w:p>
    <w:p w14:paraId="5ADC667B" w14:textId="77777777" w:rsidR="00917F81" w:rsidRPr="004360BF" w:rsidRDefault="00917F81" w:rsidP="00D9617E">
      <w:pPr>
        <w:pStyle w:val="Dotbot"/>
        <w:rPr>
          <w:lang w:val="en-AU"/>
        </w:rPr>
      </w:pPr>
      <w:r w:rsidRPr="004360BF">
        <w:rPr>
          <w:lang w:val="en-AU"/>
        </w:rPr>
        <w:t>Chapter 6 (Part I) of the National Electricity Rules (the Rules), recognising that the Commission is apply</w:t>
      </w:r>
      <w:r w:rsidR="00933A97" w:rsidRPr="004360BF">
        <w:rPr>
          <w:lang w:val="en-AU"/>
        </w:rPr>
        <w:t>ing</w:t>
      </w:r>
      <w:r w:rsidRPr="004360BF">
        <w:rPr>
          <w:lang w:val="en-AU"/>
        </w:rPr>
        <w:t xml:space="preserve"> the requirements of the Rules to the extent that they are consistent with the TPA Code</w:t>
      </w:r>
      <w:r w:rsidRPr="004360BF">
        <w:rPr>
          <w:rStyle w:val="FootnoteReference"/>
          <w:lang w:val="en-AU"/>
        </w:rPr>
        <w:footnoteReference w:id="6"/>
      </w:r>
      <w:r w:rsidRPr="004360BF">
        <w:rPr>
          <w:lang w:val="en-AU"/>
        </w:rPr>
        <w:t>.</w:t>
      </w:r>
    </w:p>
    <w:p w14:paraId="54546C7A" w14:textId="77777777" w:rsidR="00917F81" w:rsidRPr="004360BF" w:rsidRDefault="00917F81" w:rsidP="00D9617E">
      <w:pPr>
        <w:pStyle w:val="Dottop"/>
        <w:rPr>
          <w:lang w:val="en-AU"/>
        </w:rPr>
      </w:pPr>
      <w:r w:rsidRPr="004360BF">
        <w:rPr>
          <w:lang w:val="en-AU"/>
        </w:rPr>
        <w:t xml:space="preserve">Power Networks has maintained the established tariff classes to which </w:t>
      </w:r>
      <w:proofErr w:type="gramStart"/>
      <w:r w:rsidRPr="004360BF">
        <w:rPr>
          <w:lang w:val="en-AU"/>
        </w:rPr>
        <w:t>its</w:t>
      </w:r>
      <w:proofErr w:type="gramEnd"/>
      <w:r w:rsidRPr="004360BF">
        <w:rPr>
          <w:lang w:val="en-AU"/>
        </w:rPr>
        <w:t xml:space="preserve"> existing and future network tariffs will be assigned. They are:</w:t>
      </w:r>
    </w:p>
    <w:p w14:paraId="45D25E76" w14:textId="77777777" w:rsidR="00917F81" w:rsidRPr="004360BF" w:rsidRDefault="00917F81" w:rsidP="00D9617E">
      <w:pPr>
        <w:pStyle w:val="Dot"/>
        <w:rPr>
          <w:lang w:val="en-AU"/>
        </w:rPr>
      </w:pPr>
      <w:r w:rsidRPr="004360BF">
        <w:rPr>
          <w:i/>
          <w:lang w:val="en-AU"/>
        </w:rPr>
        <w:t>Domestic</w:t>
      </w:r>
      <w:r w:rsidRPr="004360BF">
        <w:rPr>
          <w:lang w:val="en-AU"/>
        </w:rPr>
        <w:t xml:space="preserve"> (all Domestic customers);</w:t>
      </w:r>
    </w:p>
    <w:p w14:paraId="327E9C0D" w14:textId="77777777" w:rsidR="00917F81" w:rsidRPr="004360BF" w:rsidRDefault="00917F81" w:rsidP="00D9617E">
      <w:pPr>
        <w:pStyle w:val="Dot"/>
        <w:rPr>
          <w:lang w:val="en-AU"/>
        </w:rPr>
      </w:pPr>
      <w:r w:rsidRPr="004360BF">
        <w:rPr>
          <w:i/>
          <w:lang w:val="en-AU"/>
        </w:rPr>
        <w:t xml:space="preserve">Commercial HV </w:t>
      </w:r>
      <w:r w:rsidRPr="004360BF">
        <w:rPr>
          <w:lang w:val="en-AU"/>
        </w:rPr>
        <w:t xml:space="preserve">(high voltage connected Commercial customers with an annual consumption greater than 750 </w:t>
      </w:r>
      <w:proofErr w:type="spellStart"/>
      <w:r w:rsidRPr="004360BF">
        <w:rPr>
          <w:lang w:val="en-AU"/>
        </w:rPr>
        <w:t>MWh</w:t>
      </w:r>
      <w:proofErr w:type="spellEnd"/>
      <w:r w:rsidRPr="004360BF">
        <w:rPr>
          <w:lang w:val="en-AU"/>
        </w:rPr>
        <w:t xml:space="preserve"> per annum); and</w:t>
      </w:r>
    </w:p>
    <w:p w14:paraId="3E3567A1" w14:textId="77777777" w:rsidR="00917F81" w:rsidRPr="004360BF" w:rsidRDefault="00917F81" w:rsidP="00D9617E">
      <w:pPr>
        <w:pStyle w:val="Dotbot"/>
        <w:rPr>
          <w:lang w:val="en-AU"/>
        </w:rPr>
      </w:pPr>
      <w:r w:rsidRPr="004360BF">
        <w:rPr>
          <w:i/>
          <w:lang w:val="en-AU"/>
        </w:rPr>
        <w:t xml:space="preserve">Commercial </w:t>
      </w:r>
      <w:r w:rsidRPr="004360BF">
        <w:rPr>
          <w:lang w:val="en-AU"/>
        </w:rPr>
        <w:t xml:space="preserve">(all other Commercial customers and unmetered supplies). </w:t>
      </w:r>
    </w:p>
    <w:p w14:paraId="21D55B37" w14:textId="77777777" w:rsidR="00917F81" w:rsidRPr="004360BF" w:rsidRDefault="00917F81" w:rsidP="00917F81">
      <w:pPr>
        <w:rPr>
          <w:lang w:val="en-AU"/>
        </w:rPr>
      </w:pPr>
      <w:r w:rsidRPr="004360BF">
        <w:rPr>
          <w:lang w:val="en-AU"/>
        </w:rPr>
        <w:t xml:space="preserve">The Commission’s Final </w:t>
      </w:r>
      <w:r w:rsidR="00933A97" w:rsidRPr="004360BF">
        <w:rPr>
          <w:lang w:val="en-AU"/>
        </w:rPr>
        <w:t>Determination</w:t>
      </w:r>
      <w:r w:rsidRPr="004360BF">
        <w:rPr>
          <w:lang w:val="en-AU"/>
        </w:rPr>
        <w:t xml:space="preserve"> concerning side constraints</w:t>
      </w:r>
      <w:r w:rsidRPr="004360BF">
        <w:rPr>
          <w:rStyle w:val="FootnoteReference"/>
          <w:lang w:val="en-AU"/>
        </w:rPr>
        <w:footnoteReference w:id="7"/>
      </w:r>
      <w:r w:rsidRPr="004360BF">
        <w:rPr>
          <w:lang w:val="en-AU"/>
        </w:rPr>
        <w:t xml:space="preserve"> </w:t>
      </w:r>
      <w:r w:rsidR="00933A97" w:rsidRPr="004360BF">
        <w:rPr>
          <w:lang w:val="en-AU"/>
        </w:rPr>
        <w:t>continues to</w:t>
      </w:r>
      <w:r w:rsidRPr="004360BF">
        <w:rPr>
          <w:lang w:val="en-AU"/>
        </w:rPr>
        <w:t xml:space="preserve"> apply to these tar</w:t>
      </w:r>
      <w:r w:rsidR="00933A97" w:rsidRPr="004360BF">
        <w:rPr>
          <w:lang w:val="en-AU"/>
        </w:rPr>
        <w:t>iff classes throughout the 2014-</w:t>
      </w:r>
      <w:r w:rsidRPr="004360BF">
        <w:rPr>
          <w:lang w:val="en-AU"/>
        </w:rPr>
        <w:t>19 regulatory control period.</w:t>
      </w:r>
    </w:p>
    <w:p w14:paraId="11190AA6" w14:textId="4EC0C5D4" w:rsidR="00917F81" w:rsidRPr="004360BF" w:rsidRDefault="00917F81" w:rsidP="00917F81">
      <w:pPr>
        <w:rPr>
          <w:lang w:val="en-AU"/>
        </w:rPr>
      </w:pPr>
      <w:r w:rsidRPr="004360BF">
        <w:rPr>
          <w:lang w:val="en-AU"/>
        </w:rPr>
        <w:t xml:space="preserve">Power Networks has used the </w:t>
      </w:r>
      <w:r w:rsidR="00933A97" w:rsidRPr="004360BF">
        <w:rPr>
          <w:lang w:val="en-AU"/>
        </w:rPr>
        <w:t xml:space="preserve">approved </w:t>
      </w:r>
      <w:r w:rsidRPr="004360BF">
        <w:rPr>
          <w:lang w:val="en-AU"/>
        </w:rPr>
        <w:t>2014</w:t>
      </w:r>
      <w:r w:rsidR="00933A97" w:rsidRPr="004360BF">
        <w:rPr>
          <w:lang w:val="en-AU"/>
        </w:rPr>
        <w:t>/</w:t>
      </w:r>
      <w:r w:rsidRPr="004360BF">
        <w:rPr>
          <w:lang w:val="en-AU"/>
        </w:rPr>
        <w:t>15 developed Cost of Supply Model to prepare the 2015</w:t>
      </w:r>
      <w:r w:rsidR="006B3299" w:rsidRPr="004360BF">
        <w:rPr>
          <w:lang w:val="en-AU"/>
        </w:rPr>
        <w:t>/</w:t>
      </w:r>
      <w:r w:rsidRPr="004360BF">
        <w:rPr>
          <w:lang w:val="en-AU"/>
        </w:rPr>
        <w:t xml:space="preserve">16 Pricing Proposal Model. The intention is that this model will be used to guide future tariff changes and demonstrate compliance with the provisions of the 2014 NPD Final Determination, the RIN, the TPA Code and the Rules. A description is provided of this model and </w:t>
      </w:r>
      <w:r w:rsidR="00D9617E" w:rsidRPr="004360BF">
        <w:rPr>
          <w:lang w:val="en-AU"/>
        </w:rPr>
        <w:t>the</w:t>
      </w:r>
      <w:r w:rsidRPr="004360BF">
        <w:rPr>
          <w:lang w:val="en-AU"/>
        </w:rPr>
        <w:t xml:space="preserve"> resultant 2015/16 network tariffs are presented. This model has been </w:t>
      </w:r>
      <w:r w:rsidR="0018550D" w:rsidRPr="004360BF">
        <w:rPr>
          <w:lang w:val="en-AU"/>
        </w:rPr>
        <w:t>updat</w:t>
      </w:r>
      <w:r w:rsidRPr="004360BF">
        <w:rPr>
          <w:lang w:val="en-AU"/>
        </w:rPr>
        <w:t xml:space="preserve">ed and does not incorporate unders and overs in the development of the </w:t>
      </w:r>
      <w:r w:rsidR="006B3299" w:rsidRPr="004360BF">
        <w:rPr>
          <w:lang w:val="en-AU"/>
        </w:rPr>
        <w:t xml:space="preserve">proposed </w:t>
      </w:r>
      <w:r w:rsidRPr="004360BF">
        <w:rPr>
          <w:lang w:val="en-AU"/>
        </w:rPr>
        <w:t>2015/16 tariffs.</w:t>
      </w:r>
    </w:p>
    <w:p w14:paraId="08BA4897" w14:textId="54722B35" w:rsidR="00917F81" w:rsidRPr="004360BF" w:rsidRDefault="00917F81" w:rsidP="00917F81">
      <w:pPr>
        <w:rPr>
          <w:lang w:val="en-AU"/>
        </w:rPr>
      </w:pPr>
      <w:r w:rsidRPr="004360BF">
        <w:rPr>
          <w:lang w:val="en-AU"/>
        </w:rPr>
        <w:lastRenderedPageBreak/>
        <w:t xml:space="preserve">Power Networks proposes to </w:t>
      </w:r>
      <w:r w:rsidR="00933A97" w:rsidRPr="004360BF">
        <w:rPr>
          <w:lang w:val="en-AU"/>
        </w:rPr>
        <w:t>undertake</w:t>
      </w:r>
      <w:r w:rsidRPr="004360BF">
        <w:rPr>
          <w:lang w:val="en-AU"/>
        </w:rPr>
        <w:t xml:space="preserve"> tariff reform and rebalancing to some standard control network tariffs. These changes will be made progressively, within the prescribed side constraint</w:t>
      </w:r>
      <w:r w:rsidR="00D9617E" w:rsidRPr="004360BF">
        <w:rPr>
          <w:lang w:val="en-AU"/>
        </w:rPr>
        <w:t>s</w:t>
      </w:r>
      <w:r w:rsidRPr="004360BF">
        <w:rPr>
          <w:lang w:val="en-AU"/>
        </w:rPr>
        <w:t>, and with due regard for the</w:t>
      </w:r>
      <w:r w:rsidR="00FA139D" w:rsidRPr="004360BF">
        <w:rPr>
          <w:lang w:val="en-AU"/>
        </w:rPr>
        <w:t>ir</w:t>
      </w:r>
      <w:r w:rsidRPr="004360BF">
        <w:rPr>
          <w:lang w:val="en-AU"/>
        </w:rPr>
        <w:t xml:space="preserve"> impact upon customers. </w:t>
      </w:r>
    </w:p>
    <w:p w14:paraId="6D7F8ADD" w14:textId="30D4601F" w:rsidR="00917F81" w:rsidRPr="004360BF" w:rsidRDefault="00917F81" w:rsidP="00917F81">
      <w:pPr>
        <w:rPr>
          <w:highlight w:val="yellow"/>
          <w:lang w:val="en-AU"/>
        </w:rPr>
      </w:pPr>
      <w:r w:rsidRPr="004360BF">
        <w:rPr>
          <w:lang w:val="en-AU"/>
        </w:rPr>
        <w:t xml:space="preserve">The network tariff changes discussed in this document will be progressively implemented during the </w:t>
      </w:r>
      <w:r w:rsidR="00D4165C" w:rsidRPr="004360BF">
        <w:rPr>
          <w:lang w:val="en-AU"/>
        </w:rPr>
        <w:t xml:space="preserve">remainder of the </w:t>
      </w:r>
      <w:r w:rsidRPr="004360BF">
        <w:rPr>
          <w:lang w:val="en-AU"/>
        </w:rPr>
        <w:t xml:space="preserve">2014-19 regulatory control </w:t>
      </w:r>
      <w:proofErr w:type="gramStart"/>
      <w:r w:rsidRPr="004360BF">
        <w:rPr>
          <w:lang w:val="en-AU"/>
        </w:rPr>
        <w:t>period</w:t>
      </w:r>
      <w:proofErr w:type="gramEnd"/>
      <w:r w:rsidRPr="004360BF">
        <w:rPr>
          <w:lang w:val="en-AU"/>
        </w:rPr>
        <w:t xml:space="preserve">. </w:t>
      </w:r>
      <w:r w:rsidR="00933A97" w:rsidRPr="004360BF">
        <w:rPr>
          <w:lang w:val="en-AU"/>
        </w:rPr>
        <w:t>The</w:t>
      </w:r>
      <w:r w:rsidRPr="004360BF">
        <w:rPr>
          <w:lang w:val="en-AU"/>
        </w:rPr>
        <w:t xml:space="preserve"> proposals for future tariff development are principally driven by the requirement to improve the cost reflectivity of network pricing. The revised tariffs will also provide more equitable outcomes for customers, whilst contributing to managing network demand.</w:t>
      </w:r>
      <w:r w:rsidRPr="004360BF">
        <w:rPr>
          <w:highlight w:val="yellow"/>
          <w:lang w:val="en-AU"/>
        </w:rPr>
        <w:t xml:space="preserve"> </w:t>
      </w:r>
    </w:p>
    <w:p w14:paraId="50FF4176" w14:textId="535AF688" w:rsidR="00917F81" w:rsidRPr="004360BF" w:rsidRDefault="00917F81" w:rsidP="00D4165C">
      <w:pPr>
        <w:pStyle w:val="Dottop"/>
        <w:rPr>
          <w:lang w:val="en-AU"/>
        </w:rPr>
      </w:pPr>
      <w:r w:rsidRPr="004360BF">
        <w:rPr>
          <w:lang w:val="en-AU"/>
        </w:rPr>
        <w:t>The proposed changes for 2015</w:t>
      </w:r>
      <w:r w:rsidR="006B3299" w:rsidRPr="004360BF">
        <w:rPr>
          <w:lang w:val="en-AU"/>
        </w:rPr>
        <w:t>/</w:t>
      </w:r>
      <w:r w:rsidRPr="004360BF">
        <w:rPr>
          <w:lang w:val="en-AU"/>
        </w:rPr>
        <w:t xml:space="preserve">16 </w:t>
      </w:r>
      <w:r w:rsidR="00D4165C" w:rsidRPr="004360BF">
        <w:rPr>
          <w:lang w:val="en-AU"/>
        </w:rPr>
        <w:t>follow the path established in the 2015 Pricing Proposal</w:t>
      </w:r>
      <w:r w:rsidR="0018550D" w:rsidRPr="004360BF">
        <w:rPr>
          <w:lang w:val="en-AU"/>
        </w:rPr>
        <w:t>.  They embody a general increase, limited by the tariff class side constraint, of 12.</w:t>
      </w:r>
      <w:r w:rsidR="00CE10EC">
        <w:rPr>
          <w:lang w:val="en-AU"/>
        </w:rPr>
        <w:t>06</w:t>
      </w:r>
      <w:r w:rsidR="0018550D" w:rsidRPr="004360BF">
        <w:rPr>
          <w:lang w:val="en-AU"/>
        </w:rPr>
        <w:t>%.  The changes</w:t>
      </w:r>
      <w:r w:rsidR="00D4165C" w:rsidRPr="004360BF">
        <w:rPr>
          <w:lang w:val="en-AU"/>
        </w:rPr>
        <w:t xml:space="preserve"> </w:t>
      </w:r>
      <w:r w:rsidRPr="004360BF">
        <w:rPr>
          <w:lang w:val="en-AU"/>
        </w:rPr>
        <w:t>are as follows:</w:t>
      </w:r>
    </w:p>
    <w:p w14:paraId="6B7F2B66" w14:textId="4B7D9343" w:rsidR="00917F81" w:rsidRPr="004360BF" w:rsidRDefault="00917F81" w:rsidP="00D4165C">
      <w:pPr>
        <w:pStyle w:val="Dotbot"/>
        <w:rPr>
          <w:lang w:val="en-AU"/>
        </w:rPr>
      </w:pPr>
      <w:r w:rsidRPr="004360BF">
        <w:rPr>
          <w:lang w:val="en-AU"/>
        </w:rPr>
        <w:t xml:space="preserve">Retain all basic tariff structures as </w:t>
      </w:r>
      <w:r w:rsidR="00933A97" w:rsidRPr="004360BF">
        <w:rPr>
          <w:lang w:val="en-AU"/>
        </w:rPr>
        <w:t xml:space="preserve">approved </w:t>
      </w:r>
      <w:r w:rsidRPr="004360BF">
        <w:rPr>
          <w:lang w:val="en-AU"/>
        </w:rPr>
        <w:t>in 2014/15</w:t>
      </w:r>
      <w:r w:rsidR="00D4165C" w:rsidRPr="004360BF">
        <w:rPr>
          <w:lang w:val="en-AU"/>
        </w:rPr>
        <w:t>.</w:t>
      </w:r>
    </w:p>
    <w:p w14:paraId="08B0D89A" w14:textId="77777777" w:rsidR="00917F81" w:rsidRPr="004360BF" w:rsidRDefault="001766E3" w:rsidP="00D4165C">
      <w:pPr>
        <w:keepNext/>
        <w:spacing w:after="120"/>
        <w:ind w:left="357"/>
        <w:rPr>
          <w:b/>
          <w:i/>
          <w:lang w:val="en-AU"/>
        </w:rPr>
      </w:pPr>
      <w:r w:rsidRPr="004360BF">
        <w:rPr>
          <w:b/>
          <w:i/>
          <w:lang w:val="en-AU"/>
        </w:rPr>
        <w:t>Domestic and</w:t>
      </w:r>
      <w:r w:rsidR="00917F81" w:rsidRPr="004360BF">
        <w:rPr>
          <w:b/>
          <w:i/>
          <w:lang w:val="en-AU"/>
        </w:rPr>
        <w:t xml:space="preserve"> Commercial &lt; 750MWh pa</w:t>
      </w:r>
    </w:p>
    <w:p w14:paraId="53FC51F0" w14:textId="0EBD00A5" w:rsidR="0018550D" w:rsidRPr="004360BF" w:rsidRDefault="00A558BA" w:rsidP="00440C97">
      <w:pPr>
        <w:pStyle w:val="Dot"/>
        <w:rPr>
          <w:lang w:val="en-AU"/>
        </w:rPr>
      </w:pPr>
      <w:r w:rsidRPr="004360BF">
        <w:rPr>
          <w:lang w:val="en-AU"/>
        </w:rPr>
        <w:t>Domestic b</w:t>
      </w:r>
      <w:r w:rsidR="008E23A3" w:rsidRPr="004360BF">
        <w:rPr>
          <w:lang w:val="en-AU"/>
        </w:rPr>
        <w:t xml:space="preserve">lock structure to move incrementally towards flat tariff by decreasing the lower block energy charge by </w:t>
      </w:r>
      <w:r w:rsidR="00946FE7" w:rsidRPr="004360BF">
        <w:rPr>
          <w:lang w:val="en-AU"/>
        </w:rPr>
        <w:t>0.5</w:t>
      </w:r>
      <w:r w:rsidR="008E23A3" w:rsidRPr="004360BF">
        <w:rPr>
          <w:lang w:val="en-AU"/>
        </w:rPr>
        <w:t xml:space="preserve">% and increasing </w:t>
      </w:r>
      <w:r w:rsidR="00946FE7" w:rsidRPr="004360BF">
        <w:rPr>
          <w:lang w:val="en-AU"/>
        </w:rPr>
        <w:t>the</w:t>
      </w:r>
      <w:r w:rsidR="008E23A3" w:rsidRPr="004360BF">
        <w:rPr>
          <w:lang w:val="en-AU"/>
        </w:rPr>
        <w:t xml:space="preserve"> upper block by </w:t>
      </w:r>
      <w:r w:rsidR="00946FE7" w:rsidRPr="004360BF">
        <w:rPr>
          <w:lang w:val="en-AU"/>
        </w:rPr>
        <w:t>2.</w:t>
      </w:r>
      <w:r w:rsidR="00CE10EC">
        <w:rPr>
          <w:lang w:val="en-AU"/>
        </w:rPr>
        <w:t>7</w:t>
      </w:r>
      <w:r w:rsidR="008E23A3" w:rsidRPr="004360BF">
        <w:rPr>
          <w:lang w:val="en-AU"/>
        </w:rPr>
        <w:t>%, relative to the general increase</w:t>
      </w:r>
      <w:r w:rsidR="0018550D" w:rsidRPr="004360BF">
        <w:rPr>
          <w:lang w:val="en-AU"/>
        </w:rPr>
        <w:t>.</w:t>
      </w:r>
      <w:r w:rsidR="008E23A3" w:rsidRPr="004360BF">
        <w:rPr>
          <w:lang w:val="en-AU"/>
        </w:rPr>
        <w:t xml:space="preserve">  </w:t>
      </w:r>
      <w:r w:rsidR="00687FC3" w:rsidRPr="004360BF">
        <w:rPr>
          <w:lang w:val="en-AU"/>
        </w:rPr>
        <w:t xml:space="preserve">Domestic SAC to reflect the average increase.  </w:t>
      </w:r>
      <w:r w:rsidRPr="004360BF">
        <w:rPr>
          <w:lang w:val="en-AU"/>
        </w:rPr>
        <w:t>These</w:t>
      </w:r>
      <w:r w:rsidR="008E23A3" w:rsidRPr="004360BF">
        <w:rPr>
          <w:lang w:val="en-AU"/>
        </w:rPr>
        <w:t xml:space="preserve"> </w:t>
      </w:r>
      <w:r w:rsidR="00687FC3" w:rsidRPr="004360BF">
        <w:rPr>
          <w:lang w:val="en-AU"/>
        </w:rPr>
        <w:t>movement</w:t>
      </w:r>
      <w:r w:rsidRPr="004360BF">
        <w:rPr>
          <w:lang w:val="en-AU"/>
        </w:rPr>
        <w:t>s</w:t>
      </w:r>
      <w:r w:rsidR="00687FC3" w:rsidRPr="004360BF">
        <w:rPr>
          <w:lang w:val="en-AU"/>
        </w:rPr>
        <w:t xml:space="preserve"> </w:t>
      </w:r>
      <w:r w:rsidRPr="004360BF">
        <w:rPr>
          <w:lang w:val="en-AU"/>
        </w:rPr>
        <w:t>taken together reduce</w:t>
      </w:r>
      <w:r w:rsidR="008E23A3" w:rsidRPr="004360BF">
        <w:rPr>
          <w:lang w:val="en-AU"/>
        </w:rPr>
        <w:t xml:space="preserve"> prices in relative terms fo</w:t>
      </w:r>
      <w:r w:rsidR="00440C97" w:rsidRPr="004360BF">
        <w:rPr>
          <w:lang w:val="en-AU"/>
        </w:rPr>
        <w:t>r smaller consumption customers;</w:t>
      </w:r>
    </w:p>
    <w:p w14:paraId="7FEEE2CD" w14:textId="358286E0" w:rsidR="00687FC3" w:rsidRPr="004360BF" w:rsidRDefault="00A558BA" w:rsidP="00440C97">
      <w:pPr>
        <w:pStyle w:val="Dot"/>
        <w:rPr>
          <w:lang w:val="en-AU"/>
        </w:rPr>
      </w:pPr>
      <w:r w:rsidRPr="004360BF">
        <w:rPr>
          <w:lang w:val="en-AU"/>
        </w:rPr>
        <w:t xml:space="preserve">Domestic </w:t>
      </w:r>
      <w:r w:rsidR="00687FC3" w:rsidRPr="004360BF">
        <w:rPr>
          <w:lang w:val="en-AU"/>
        </w:rPr>
        <w:t xml:space="preserve">and </w:t>
      </w:r>
      <w:r w:rsidRPr="004360BF">
        <w:rPr>
          <w:lang w:val="en-AU"/>
        </w:rPr>
        <w:t xml:space="preserve">Commercial </w:t>
      </w:r>
      <w:r w:rsidR="00687FC3" w:rsidRPr="004360BF">
        <w:rPr>
          <w:lang w:val="en-AU"/>
        </w:rPr>
        <w:t>customers have markedly different consumption characteristics, requiring different block thresholds and energy rates to improve the cost reflectivity of the t</w:t>
      </w:r>
      <w:r w:rsidR="00440C97" w:rsidRPr="004360BF">
        <w:rPr>
          <w:lang w:val="en-AU"/>
        </w:rPr>
        <w:t>wo tariffs</w:t>
      </w:r>
      <w:r w:rsidR="00FA139D" w:rsidRPr="004360BF">
        <w:rPr>
          <w:lang w:val="en-AU"/>
        </w:rPr>
        <w:t>.  The energy tariffs were the same in 2014/15 but have been separated in 2015/16 to reflect their different cost</w:t>
      </w:r>
      <w:r w:rsidR="00983241" w:rsidRPr="004360BF">
        <w:rPr>
          <w:lang w:val="en-AU"/>
        </w:rPr>
        <w:t>s</w:t>
      </w:r>
      <w:r w:rsidR="00FA139D" w:rsidRPr="004360BF">
        <w:rPr>
          <w:lang w:val="en-AU"/>
        </w:rPr>
        <w:t xml:space="preserve"> </w:t>
      </w:r>
      <w:r w:rsidR="00983241" w:rsidRPr="004360BF">
        <w:rPr>
          <w:lang w:val="en-AU"/>
        </w:rPr>
        <w:t>of supply</w:t>
      </w:r>
      <w:r w:rsidR="00440C97" w:rsidRPr="004360BF">
        <w:rPr>
          <w:lang w:val="en-AU"/>
        </w:rPr>
        <w:t>;</w:t>
      </w:r>
    </w:p>
    <w:p w14:paraId="037238D5" w14:textId="35A4CF99" w:rsidR="00917F81" w:rsidRPr="004360BF" w:rsidRDefault="008E23A3" w:rsidP="00440C97">
      <w:pPr>
        <w:pStyle w:val="Dot"/>
        <w:rPr>
          <w:lang w:val="en-AU"/>
        </w:rPr>
      </w:pPr>
      <w:r w:rsidRPr="004360BF">
        <w:rPr>
          <w:lang w:val="en-AU"/>
        </w:rPr>
        <w:t xml:space="preserve">Commercial SAC to increase by 7% relative to the general increase.  </w:t>
      </w:r>
      <w:r w:rsidR="00687FC3" w:rsidRPr="004360BF">
        <w:rPr>
          <w:lang w:val="en-AU"/>
        </w:rPr>
        <w:t xml:space="preserve">Block structure also to move incrementally towards </w:t>
      </w:r>
      <w:r w:rsidR="00A558BA" w:rsidRPr="004360BF">
        <w:rPr>
          <w:lang w:val="en-AU"/>
        </w:rPr>
        <w:t xml:space="preserve">a </w:t>
      </w:r>
      <w:r w:rsidR="00687FC3" w:rsidRPr="004360BF">
        <w:rPr>
          <w:lang w:val="en-AU"/>
        </w:rPr>
        <w:t xml:space="preserve">flat tariff by decreasing the lower block energy charge by 1% and increasing </w:t>
      </w:r>
      <w:r w:rsidR="00946FE7" w:rsidRPr="004360BF">
        <w:rPr>
          <w:lang w:val="en-AU"/>
        </w:rPr>
        <w:t>the</w:t>
      </w:r>
      <w:r w:rsidR="00687FC3" w:rsidRPr="004360BF">
        <w:rPr>
          <w:lang w:val="en-AU"/>
        </w:rPr>
        <w:t xml:space="preserve"> upper block by 0.</w:t>
      </w:r>
      <w:r w:rsidR="00CE10EC">
        <w:rPr>
          <w:lang w:val="en-AU"/>
        </w:rPr>
        <w:t>4</w:t>
      </w:r>
      <w:r w:rsidR="00687FC3" w:rsidRPr="004360BF">
        <w:rPr>
          <w:lang w:val="en-AU"/>
        </w:rPr>
        <w:t>%, relative to the general increase</w:t>
      </w:r>
      <w:r w:rsidR="00440C97" w:rsidRPr="004360BF">
        <w:rPr>
          <w:lang w:val="en-AU"/>
        </w:rPr>
        <w:t>; and</w:t>
      </w:r>
    </w:p>
    <w:p w14:paraId="5CBD46DD" w14:textId="37B6CEA3" w:rsidR="00917F81" w:rsidRPr="004360BF" w:rsidRDefault="00A558BA" w:rsidP="00946FE7">
      <w:pPr>
        <w:pStyle w:val="Dotbot"/>
        <w:rPr>
          <w:lang w:val="en-AU"/>
        </w:rPr>
      </w:pPr>
      <w:r w:rsidRPr="004360BF">
        <w:rPr>
          <w:lang w:val="en-AU"/>
        </w:rPr>
        <w:t>These changes make incremental progress</w:t>
      </w:r>
      <w:r w:rsidR="00917F81" w:rsidRPr="004360BF">
        <w:rPr>
          <w:lang w:val="en-AU"/>
        </w:rPr>
        <w:t xml:space="preserve"> away from the historical declining block tariff structure towards a flat tariff structure</w:t>
      </w:r>
      <w:r w:rsidRPr="004360BF">
        <w:rPr>
          <w:lang w:val="en-AU"/>
        </w:rPr>
        <w:t>.  Power Networks will</w:t>
      </w:r>
      <w:r w:rsidR="00933A97" w:rsidRPr="004360BF">
        <w:rPr>
          <w:lang w:val="en-AU"/>
        </w:rPr>
        <w:t xml:space="preserve"> </w:t>
      </w:r>
      <w:r w:rsidRPr="004360BF">
        <w:rPr>
          <w:lang w:val="en-AU"/>
        </w:rPr>
        <w:t>further consider</w:t>
      </w:r>
      <w:r w:rsidR="00933A97" w:rsidRPr="004360BF">
        <w:rPr>
          <w:lang w:val="en-AU"/>
        </w:rPr>
        <w:t xml:space="preserve"> the merits of </w:t>
      </w:r>
      <w:r w:rsidRPr="004360BF">
        <w:rPr>
          <w:lang w:val="en-AU"/>
        </w:rPr>
        <w:t xml:space="preserve">progressing to </w:t>
      </w:r>
      <w:r w:rsidR="00933A97" w:rsidRPr="004360BF">
        <w:rPr>
          <w:lang w:val="en-AU"/>
        </w:rPr>
        <w:t>an inclining block structure</w:t>
      </w:r>
      <w:r w:rsidR="00D4165C" w:rsidRPr="004360BF">
        <w:rPr>
          <w:lang w:val="en-AU"/>
        </w:rPr>
        <w:t xml:space="preserve"> </w:t>
      </w:r>
      <w:r w:rsidRPr="004360BF">
        <w:rPr>
          <w:lang w:val="en-AU"/>
        </w:rPr>
        <w:t>for small customer tariffs</w:t>
      </w:r>
      <w:r w:rsidR="00933A97" w:rsidRPr="004360BF">
        <w:rPr>
          <w:lang w:val="en-AU"/>
        </w:rPr>
        <w:t>.</w:t>
      </w:r>
    </w:p>
    <w:p w14:paraId="64548165" w14:textId="77777777" w:rsidR="00917F81" w:rsidRPr="004360BF" w:rsidRDefault="00917F81" w:rsidP="00D4165C">
      <w:pPr>
        <w:keepNext/>
        <w:spacing w:after="120"/>
        <w:ind w:left="357"/>
        <w:rPr>
          <w:b/>
          <w:i/>
          <w:lang w:val="en-AU"/>
        </w:rPr>
      </w:pPr>
      <w:r w:rsidRPr="004360BF">
        <w:rPr>
          <w:b/>
          <w:i/>
          <w:lang w:val="en-AU"/>
        </w:rPr>
        <w:t>Unmetered Supplies</w:t>
      </w:r>
    </w:p>
    <w:p w14:paraId="18F4FC3A" w14:textId="4E0A1620" w:rsidR="00917F81" w:rsidRPr="004360BF" w:rsidRDefault="00D4165C" w:rsidP="00440C97">
      <w:pPr>
        <w:pStyle w:val="Dotbot"/>
        <w:rPr>
          <w:lang w:val="en-AU"/>
        </w:rPr>
      </w:pPr>
      <w:r w:rsidRPr="004360BF">
        <w:rPr>
          <w:lang w:val="en-AU"/>
        </w:rPr>
        <w:t>Rebalanc</w:t>
      </w:r>
      <w:r w:rsidR="00933A97" w:rsidRPr="004360BF">
        <w:rPr>
          <w:lang w:val="en-AU"/>
        </w:rPr>
        <w:t>e</w:t>
      </w:r>
      <w:r w:rsidR="00917F81" w:rsidRPr="004360BF">
        <w:rPr>
          <w:lang w:val="en-AU"/>
        </w:rPr>
        <w:t xml:space="preserve"> tariffs for street lighting (and similar consumption profiled unmetered supplies) and for traffic lights (and similar unmetered 24 hour supplies), </w:t>
      </w:r>
      <w:r w:rsidR="00A558BA" w:rsidRPr="004360BF">
        <w:rPr>
          <w:lang w:val="en-AU"/>
        </w:rPr>
        <w:t>to improve their</w:t>
      </w:r>
      <w:r w:rsidR="00917F81" w:rsidRPr="004360BF">
        <w:rPr>
          <w:lang w:val="en-AU"/>
        </w:rPr>
        <w:t xml:space="preserve"> cost reflectivity.</w:t>
      </w:r>
      <w:r w:rsidR="00A558BA" w:rsidRPr="004360BF">
        <w:rPr>
          <w:lang w:val="en-AU"/>
        </w:rPr>
        <w:t xml:space="preserve">  The street light tariff has been increased by 2% (a decrease of 10.9% relative to the general increase), whereas the traffic light tariff has been increased by </w:t>
      </w:r>
      <w:r w:rsidR="00946FE7" w:rsidRPr="004360BF">
        <w:rPr>
          <w:lang w:val="en-AU"/>
        </w:rPr>
        <w:t>5</w:t>
      </w:r>
      <w:r w:rsidR="00A558BA" w:rsidRPr="004360BF">
        <w:rPr>
          <w:lang w:val="en-AU"/>
        </w:rPr>
        <w:t>%</w:t>
      </w:r>
      <w:r w:rsidR="00440C97" w:rsidRPr="004360BF">
        <w:rPr>
          <w:lang w:val="en-AU"/>
        </w:rPr>
        <w:t xml:space="preserve"> relative to the general increase</w:t>
      </w:r>
      <w:r w:rsidR="00A558BA" w:rsidRPr="004360BF">
        <w:rPr>
          <w:lang w:val="en-AU"/>
        </w:rPr>
        <w:t>.</w:t>
      </w:r>
    </w:p>
    <w:p w14:paraId="097CEC34" w14:textId="77777777" w:rsidR="00917F81" w:rsidRPr="004360BF" w:rsidRDefault="00917F81" w:rsidP="00D4165C">
      <w:pPr>
        <w:keepNext/>
        <w:spacing w:after="120"/>
        <w:ind w:left="357"/>
        <w:rPr>
          <w:lang w:val="en-AU"/>
        </w:rPr>
      </w:pPr>
      <w:r w:rsidRPr="004360BF">
        <w:rPr>
          <w:b/>
          <w:i/>
          <w:lang w:val="en-AU"/>
        </w:rPr>
        <w:lastRenderedPageBreak/>
        <w:t xml:space="preserve">Commercial&gt;750 </w:t>
      </w:r>
      <w:proofErr w:type="spellStart"/>
      <w:r w:rsidRPr="004360BF">
        <w:rPr>
          <w:b/>
          <w:i/>
          <w:lang w:val="en-AU"/>
        </w:rPr>
        <w:t>MWh</w:t>
      </w:r>
      <w:proofErr w:type="spellEnd"/>
      <w:r w:rsidRPr="004360BF">
        <w:rPr>
          <w:b/>
          <w:i/>
          <w:lang w:val="en-AU"/>
        </w:rPr>
        <w:t xml:space="preserve"> pa</w:t>
      </w:r>
    </w:p>
    <w:p w14:paraId="3B9BAE8E" w14:textId="6F0167B5" w:rsidR="00440C97" w:rsidRPr="004360BF" w:rsidRDefault="00440C97" w:rsidP="00D4165C">
      <w:pPr>
        <w:pStyle w:val="Dot"/>
        <w:rPr>
          <w:lang w:val="en-AU"/>
        </w:rPr>
      </w:pPr>
      <w:r w:rsidRPr="004360BF">
        <w:rPr>
          <w:lang w:val="en-AU"/>
        </w:rPr>
        <w:t>The SAC charges of these tariffs have been altered to reflect the relative costs of the equipment involved.  The SAC for the LV tariff was reduced by 5% and that for HV increased by 7%, relative</w:t>
      </w:r>
      <w:r w:rsidR="00B605E5">
        <w:rPr>
          <w:lang w:val="en-AU"/>
        </w:rPr>
        <w:t xml:space="preserve"> to the overall tariff increase;</w:t>
      </w:r>
    </w:p>
    <w:p w14:paraId="0BD0863C" w14:textId="77777777" w:rsidR="00B605E5" w:rsidRDefault="00917F81" w:rsidP="00D4165C">
      <w:pPr>
        <w:pStyle w:val="Dot"/>
        <w:rPr>
          <w:lang w:val="en-AU"/>
        </w:rPr>
      </w:pPr>
      <w:r w:rsidRPr="004360BF">
        <w:rPr>
          <w:lang w:val="en-AU"/>
        </w:rPr>
        <w:t>Progressively simplify tariff structures and rebalance tariffs for greater cost reflectivity</w:t>
      </w:r>
      <w:r w:rsidR="00B605E5">
        <w:rPr>
          <w:lang w:val="en-AU"/>
        </w:rPr>
        <w:t>;</w:t>
      </w:r>
    </w:p>
    <w:p w14:paraId="45BA3A4A" w14:textId="59BA5ADA" w:rsidR="00440C97" w:rsidRPr="004360BF" w:rsidRDefault="00440C97" w:rsidP="00D4165C">
      <w:pPr>
        <w:pStyle w:val="Dot"/>
        <w:rPr>
          <w:lang w:val="en-AU"/>
        </w:rPr>
      </w:pPr>
      <w:r w:rsidRPr="004360BF">
        <w:rPr>
          <w:lang w:val="en-AU"/>
        </w:rPr>
        <w:t>The block 1 and block 2 demand charges have now been aligned for both HV and LV tariffs</w:t>
      </w:r>
      <w:r w:rsidR="00983241" w:rsidRPr="004360BF">
        <w:rPr>
          <w:lang w:val="en-AU"/>
        </w:rPr>
        <w:t>,</w:t>
      </w:r>
      <w:r w:rsidRPr="004360BF">
        <w:rPr>
          <w:lang w:val="en-AU"/>
        </w:rPr>
        <w:t xml:space="preserve"> and the upper block charges brought closer to alignment.  The goal of this movement is to reduce the number of blocks, potentially to a single </w:t>
      </w:r>
      <w:r w:rsidR="0011021C" w:rsidRPr="004360BF">
        <w:rPr>
          <w:lang w:val="en-AU"/>
        </w:rPr>
        <w:t>rat</w:t>
      </w:r>
      <w:r w:rsidRPr="004360BF">
        <w:rPr>
          <w:lang w:val="en-AU"/>
        </w:rPr>
        <w:t>e;</w:t>
      </w:r>
    </w:p>
    <w:p w14:paraId="0169D6CE" w14:textId="0275340C" w:rsidR="00440C97" w:rsidRPr="004360BF" w:rsidRDefault="00440C97" w:rsidP="00D4165C">
      <w:pPr>
        <w:pStyle w:val="Dot"/>
        <w:rPr>
          <w:lang w:val="en-AU"/>
        </w:rPr>
      </w:pPr>
      <w:r w:rsidRPr="004360BF">
        <w:rPr>
          <w:lang w:val="en-AU"/>
        </w:rPr>
        <w:t xml:space="preserve">The detailed changes to individual tariff blocks of the LV and HV tariffs differ and have been chosen to mitigate the price </w:t>
      </w:r>
      <w:r w:rsidR="00983241" w:rsidRPr="004360BF">
        <w:rPr>
          <w:lang w:val="en-AU"/>
        </w:rPr>
        <w:t>impacts on</w:t>
      </w:r>
      <w:r w:rsidRPr="004360BF">
        <w:rPr>
          <w:lang w:val="en-AU"/>
        </w:rPr>
        <w:t xml:space="preserve"> their different customer bases to acceptable levels; and</w:t>
      </w:r>
    </w:p>
    <w:p w14:paraId="047CED9D" w14:textId="678D5FE5" w:rsidR="00CC3585" w:rsidRPr="004360BF" w:rsidRDefault="0011021C" w:rsidP="0011021C">
      <w:pPr>
        <w:pStyle w:val="Dotbot"/>
        <w:rPr>
          <w:lang w:val="en-AU"/>
        </w:rPr>
      </w:pPr>
      <w:r w:rsidRPr="004360BF">
        <w:rPr>
          <w:lang w:val="en-AU"/>
        </w:rPr>
        <w:t xml:space="preserve">The average prices for HV and LV tariffs </w:t>
      </w:r>
      <w:r w:rsidR="00983241" w:rsidRPr="004360BF">
        <w:rPr>
          <w:lang w:val="en-AU"/>
        </w:rPr>
        <w:t xml:space="preserve">also </w:t>
      </w:r>
      <w:r w:rsidRPr="004360BF">
        <w:rPr>
          <w:lang w:val="en-AU"/>
        </w:rPr>
        <w:t xml:space="preserve">differ </w:t>
      </w:r>
      <w:r w:rsidR="00983241" w:rsidRPr="004360BF">
        <w:rPr>
          <w:lang w:val="en-AU"/>
        </w:rPr>
        <w:t>to</w:t>
      </w:r>
      <w:r w:rsidRPr="004360BF">
        <w:rPr>
          <w:lang w:val="en-AU"/>
        </w:rPr>
        <w:t xml:space="preserve"> reflect the different system assets used (LV </w:t>
      </w:r>
      <w:r w:rsidR="00983241" w:rsidRPr="004360BF">
        <w:rPr>
          <w:lang w:val="en-AU"/>
        </w:rPr>
        <w:t>connected customers do</w:t>
      </w:r>
      <w:r w:rsidRPr="004360BF">
        <w:rPr>
          <w:lang w:val="en-AU"/>
        </w:rPr>
        <w:t xml:space="preserve"> not make use of distribution transformers or the LV network)</w:t>
      </w:r>
      <w:r w:rsidR="00AA1644" w:rsidRPr="004360BF">
        <w:rPr>
          <w:lang w:val="en-AU"/>
        </w:rPr>
        <w:t>.</w:t>
      </w:r>
      <w:r w:rsidRPr="004360BF">
        <w:rPr>
          <w:lang w:val="en-AU"/>
        </w:rPr>
        <w:t xml:space="preserve"> </w:t>
      </w:r>
      <w:r w:rsidR="00AA1644" w:rsidRPr="004360BF">
        <w:rPr>
          <w:lang w:val="en-AU"/>
        </w:rPr>
        <w:t xml:space="preserve"> </w:t>
      </w:r>
      <w:r w:rsidRPr="004360BF">
        <w:rPr>
          <w:lang w:val="en-AU"/>
        </w:rPr>
        <w:t>The average rates for these tariffs are 8.</w:t>
      </w:r>
      <w:r w:rsidR="00CE10EC">
        <w:rPr>
          <w:lang w:val="en-AU"/>
        </w:rPr>
        <w:t>69</w:t>
      </w:r>
      <w:r w:rsidR="00CE10EC" w:rsidRPr="004360BF">
        <w:rPr>
          <w:lang w:val="en-AU"/>
        </w:rPr>
        <w:t> </w:t>
      </w:r>
      <w:r w:rsidR="00983241" w:rsidRPr="004360BF">
        <w:rPr>
          <w:lang w:val="en-AU"/>
        </w:rPr>
        <w:t>¢/kWh</w:t>
      </w:r>
      <w:r w:rsidRPr="004360BF">
        <w:rPr>
          <w:lang w:val="en-AU"/>
        </w:rPr>
        <w:t xml:space="preserve"> and </w:t>
      </w:r>
      <w:r w:rsidR="00CE10EC">
        <w:rPr>
          <w:lang w:val="en-AU"/>
        </w:rPr>
        <w:t>4.98</w:t>
      </w:r>
      <w:r w:rsidRPr="004360BF">
        <w:rPr>
          <w:lang w:val="en-AU"/>
        </w:rPr>
        <w:t> ¢/kWh respectively.</w:t>
      </w:r>
    </w:p>
    <w:p w14:paraId="733CC95B" w14:textId="77777777" w:rsidR="00B30BF6" w:rsidRPr="004360BF" w:rsidRDefault="00B30BF6">
      <w:pPr>
        <w:spacing w:after="0"/>
        <w:rPr>
          <w:b/>
          <w:lang w:val="en-AU"/>
        </w:rPr>
        <w:sectPr w:rsidR="00B30BF6" w:rsidRPr="004360BF" w:rsidSect="00B30BF6">
          <w:pgSz w:w="11906" w:h="16838"/>
          <w:pgMar w:top="1276" w:right="1440" w:bottom="1440" w:left="1440" w:header="709" w:footer="709" w:gutter="0"/>
          <w:pgNumType w:fmt="lowerRoman" w:start="1"/>
          <w:cols w:space="708"/>
          <w:titlePg/>
          <w:docGrid w:linePitch="360"/>
        </w:sectPr>
      </w:pPr>
    </w:p>
    <w:p w14:paraId="24C34E81" w14:textId="77777777" w:rsidR="00AD5F5F" w:rsidRDefault="00B30BF6">
      <w:pPr>
        <w:pStyle w:val="TOC1"/>
        <w:rPr>
          <w:rFonts w:asciiTheme="minorHAnsi" w:eastAsiaTheme="minorEastAsia" w:hAnsiTheme="minorHAnsi" w:cstheme="minorBidi"/>
          <w:b w:val="0"/>
          <w:noProof/>
          <w:sz w:val="22"/>
          <w:szCs w:val="22"/>
          <w:lang w:val="en-AU" w:eastAsia="en-AU"/>
        </w:rPr>
      </w:pPr>
      <w:r w:rsidRPr="004360BF">
        <w:rPr>
          <w:rFonts w:cs="Tahoma"/>
          <w:highlight w:val="yellow"/>
          <w:lang w:val="en-AU"/>
        </w:rPr>
        <w:lastRenderedPageBreak/>
        <w:fldChar w:fldCharType="begin"/>
      </w:r>
      <w:r w:rsidRPr="004360BF">
        <w:rPr>
          <w:rFonts w:cs="Tahoma"/>
          <w:highlight w:val="yellow"/>
          <w:lang w:val="en-AU"/>
        </w:rPr>
        <w:instrText xml:space="preserve"> TOC \o "1-2" </w:instrText>
      </w:r>
      <w:r w:rsidRPr="004360BF">
        <w:rPr>
          <w:rFonts w:cs="Tahoma"/>
          <w:highlight w:val="yellow"/>
          <w:lang w:val="en-AU"/>
        </w:rPr>
        <w:fldChar w:fldCharType="separate"/>
      </w:r>
      <w:r w:rsidR="00AD5F5F">
        <w:rPr>
          <w:noProof/>
        </w:rPr>
        <w:t>Executive Summary</w:t>
      </w:r>
      <w:r w:rsidR="00AD5F5F">
        <w:rPr>
          <w:noProof/>
        </w:rPr>
        <w:tab/>
      </w:r>
      <w:r w:rsidR="00AD5F5F">
        <w:rPr>
          <w:noProof/>
        </w:rPr>
        <w:fldChar w:fldCharType="begin"/>
      </w:r>
      <w:r w:rsidR="00AD5F5F">
        <w:rPr>
          <w:noProof/>
        </w:rPr>
        <w:instrText xml:space="preserve"> PAGEREF _Toc418608655 \h </w:instrText>
      </w:r>
      <w:r w:rsidR="00AD5F5F">
        <w:rPr>
          <w:noProof/>
        </w:rPr>
      </w:r>
      <w:r w:rsidR="00AD5F5F">
        <w:rPr>
          <w:noProof/>
        </w:rPr>
        <w:fldChar w:fldCharType="separate"/>
      </w:r>
      <w:r w:rsidR="008D3215">
        <w:rPr>
          <w:noProof/>
        </w:rPr>
        <w:t>i</w:t>
      </w:r>
      <w:r w:rsidR="00AD5F5F">
        <w:rPr>
          <w:noProof/>
        </w:rPr>
        <w:fldChar w:fldCharType="end"/>
      </w:r>
    </w:p>
    <w:p w14:paraId="73A76E12"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1</w:t>
      </w:r>
      <w:r>
        <w:rPr>
          <w:rFonts w:asciiTheme="minorHAnsi" w:eastAsiaTheme="minorEastAsia" w:hAnsiTheme="minorHAnsi" w:cstheme="minorBidi"/>
          <w:b w:val="0"/>
          <w:noProof/>
          <w:sz w:val="22"/>
          <w:szCs w:val="22"/>
          <w:lang w:val="en-AU" w:eastAsia="en-AU"/>
        </w:rPr>
        <w:tab/>
      </w:r>
      <w:r>
        <w:rPr>
          <w:noProof/>
        </w:rPr>
        <w:t>Background</w:t>
      </w:r>
      <w:r>
        <w:rPr>
          <w:noProof/>
        </w:rPr>
        <w:tab/>
      </w:r>
      <w:r>
        <w:rPr>
          <w:noProof/>
        </w:rPr>
        <w:fldChar w:fldCharType="begin"/>
      </w:r>
      <w:r>
        <w:rPr>
          <w:noProof/>
        </w:rPr>
        <w:instrText xml:space="preserve"> PAGEREF _Toc418608656 \h </w:instrText>
      </w:r>
      <w:r>
        <w:rPr>
          <w:noProof/>
        </w:rPr>
      </w:r>
      <w:r>
        <w:rPr>
          <w:noProof/>
        </w:rPr>
        <w:fldChar w:fldCharType="separate"/>
      </w:r>
      <w:r w:rsidR="008D3215">
        <w:rPr>
          <w:noProof/>
        </w:rPr>
        <w:t>1</w:t>
      </w:r>
      <w:r>
        <w:rPr>
          <w:noProof/>
        </w:rPr>
        <w:fldChar w:fldCharType="end"/>
      </w:r>
    </w:p>
    <w:p w14:paraId="7936A61E"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1.1</w:t>
      </w:r>
      <w:r>
        <w:rPr>
          <w:rFonts w:asciiTheme="minorHAnsi" w:eastAsiaTheme="minorEastAsia" w:hAnsiTheme="minorHAnsi" w:cstheme="minorBidi"/>
          <w:noProof/>
          <w:sz w:val="22"/>
          <w:lang w:val="en-AU" w:eastAsia="en-AU"/>
        </w:rPr>
        <w:tab/>
      </w:r>
      <w:r>
        <w:rPr>
          <w:noProof/>
        </w:rPr>
        <w:t>Northern Territory legislation and National Electricity Rules</w:t>
      </w:r>
      <w:r>
        <w:rPr>
          <w:noProof/>
        </w:rPr>
        <w:tab/>
      </w:r>
      <w:r>
        <w:rPr>
          <w:noProof/>
        </w:rPr>
        <w:fldChar w:fldCharType="begin"/>
      </w:r>
      <w:r>
        <w:rPr>
          <w:noProof/>
        </w:rPr>
        <w:instrText xml:space="preserve"> PAGEREF _Toc418608657 \h </w:instrText>
      </w:r>
      <w:r>
        <w:rPr>
          <w:noProof/>
        </w:rPr>
      </w:r>
      <w:r>
        <w:rPr>
          <w:noProof/>
        </w:rPr>
        <w:fldChar w:fldCharType="separate"/>
      </w:r>
      <w:r w:rsidR="008D3215">
        <w:rPr>
          <w:noProof/>
        </w:rPr>
        <w:t>1</w:t>
      </w:r>
      <w:r>
        <w:rPr>
          <w:noProof/>
        </w:rPr>
        <w:fldChar w:fldCharType="end"/>
      </w:r>
    </w:p>
    <w:p w14:paraId="408FB739"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1.2</w:t>
      </w:r>
      <w:r>
        <w:rPr>
          <w:rFonts w:asciiTheme="minorHAnsi" w:eastAsiaTheme="minorEastAsia" w:hAnsiTheme="minorHAnsi" w:cstheme="minorBidi"/>
          <w:noProof/>
          <w:sz w:val="22"/>
          <w:lang w:val="en-AU" w:eastAsia="en-AU"/>
        </w:rPr>
        <w:tab/>
      </w:r>
      <w:r>
        <w:rPr>
          <w:noProof/>
        </w:rPr>
        <w:t>Structure of Power Networks’ NPPS and Network Pricing Proposal</w:t>
      </w:r>
      <w:r>
        <w:rPr>
          <w:noProof/>
        </w:rPr>
        <w:tab/>
      </w:r>
      <w:r>
        <w:rPr>
          <w:noProof/>
        </w:rPr>
        <w:fldChar w:fldCharType="begin"/>
      </w:r>
      <w:r>
        <w:rPr>
          <w:noProof/>
        </w:rPr>
        <w:instrText xml:space="preserve"> PAGEREF _Toc418608658 \h </w:instrText>
      </w:r>
      <w:r>
        <w:rPr>
          <w:noProof/>
        </w:rPr>
      </w:r>
      <w:r>
        <w:rPr>
          <w:noProof/>
        </w:rPr>
        <w:fldChar w:fldCharType="separate"/>
      </w:r>
      <w:r w:rsidR="008D3215">
        <w:rPr>
          <w:noProof/>
        </w:rPr>
        <w:t>2</w:t>
      </w:r>
      <w:r>
        <w:rPr>
          <w:noProof/>
        </w:rPr>
        <w:fldChar w:fldCharType="end"/>
      </w:r>
    </w:p>
    <w:p w14:paraId="6474D5F4"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1.3</w:t>
      </w:r>
      <w:r>
        <w:rPr>
          <w:rFonts w:asciiTheme="minorHAnsi" w:eastAsiaTheme="minorEastAsia" w:hAnsiTheme="minorHAnsi" w:cstheme="minorBidi"/>
          <w:noProof/>
          <w:sz w:val="22"/>
          <w:lang w:val="en-AU" w:eastAsia="en-AU"/>
        </w:rPr>
        <w:tab/>
      </w:r>
      <w:r>
        <w:rPr>
          <w:noProof/>
        </w:rPr>
        <w:t>Confidentiality</w:t>
      </w:r>
      <w:r>
        <w:rPr>
          <w:noProof/>
        </w:rPr>
        <w:tab/>
      </w:r>
      <w:r>
        <w:rPr>
          <w:noProof/>
        </w:rPr>
        <w:fldChar w:fldCharType="begin"/>
      </w:r>
      <w:r>
        <w:rPr>
          <w:noProof/>
        </w:rPr>
        <w:instrText xml:space="preserve"> PAGEREF _Toc418608659 \h </w:instrText>
      </w:r>
      <w:r>
        <w:rPr>
          <w:noProof/>
        </w:rPr>
      </w:r>
      <w:r>
        <w:rPr>
          <w:noProof/>
        </w:rPr>
        <w:fldChar w:fldCharType="separate"/>
      </w:r>
      <w:r w:rsidR="008D3215">
        <w:rPr>
          <w:noProof/>
        </w:rPr>
        <w:t>3</w:t>
      </w:r>
      <w:r>
        <w:rPr>
          <w:noProof/>
        </w:rPr>
        <w:fldChar w:fldCharType="end"/>
      </w:r>
    </w:p>
    <w:p w14:paraId="7140E015"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2</w:t>
      </w:r>
      <w:r>
        <w:rPr>
          <w:rFonts w:asciiTheme="minorHAnsi" w:eastAsiaTheme="minorEastAsia" w:hAnsiTheme="minorHAnsi" w:cstheme="minorBidi"/>
          <w:b w:val="0"/>
          <w:noProof/>
          <w:sz w:val="22"/>
          <w:szCs w:val="22"/>
          <w:lang w:val="en-AU" w:eastAsia="en-AU"/>
        </w:rPr>
        <w:tab/>
      </w:r>
      <w:r>
        <w:rPr>
          <w:noProof/>
        </w:rPr>
        <w:t>Business Characteristics</w:t>
      </w:r>
      <w:r>
        <w:rPr>
          <w:noProof/>
        </w:rPr>
        <w:tab/>
      </w:r>
      <w:r>
        <w:rPr>
          <w:noProof/>
        </w:rPr>
        <w:fldChar w:fldCharType="begin"/>
      </w:r>
      <w:r>
        <w:rPr>
          <w:noProof/>
        </w:rPr>
        <w:instrText xml:space="preserve"> PAGEREF _Toc418608660 \h </w:instrText>
      </w:r>
      <w:r>
        <w:rPr>
          <w:noProof/>
        </w:rPr>
      </w:r>
      <w:r>
        <w:rPr>
          <w:noProof/>
        </w:rPr>
        <w:fldChar w:fldCharType="separate"/>
      </w:r>
      <w:r w:rsidR="008D3215">
        <w:rPr>
          <w:noProof/>
        </w:rPr>
        <w:t>3</w:t>
      </w:r>
      <w:r>
        <w:rPr>
          <w:noProof/>
        </w:rPr>
        <w:fldChar w:fldCharType="end"/>
      </w:r>
    </w:p>
    <w:p w14:paraId="60E17BCA"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3</w:t>
      </w:r>
      <w:r>
        <w:rPr>
          <w:rFonts w:asciiTheme="minorHAnsi" w:eastAsiaTheme="minorEastAsia" w:hAnsiTheme="minorHAnsi" w:cstheme="minorBidi"/>
          <w:b w:val="0"/>
          <w:noProof/>
          <w:sz w:val="22"/>
          <w:szCs w:val="22"/>
          <w:lang w:val="en-AU" w:eastAsia="en-AU"/>
        </w:rPr>
        <w:tab/>
      </w:r>
      <w:r>
        <w:rPr>
          <w:noProof/>
        </w:rPr>
        <w:t>Regulatory Requirements</w:t>
      </w:r>
      <w:r>
        <w:rPr>
          <w:noProof/>
        </w:rPr>
        <w:tab/>
      </w:r>
      <w:r>
        <w:rPr>
          <w:noProof/>
        </w:rPr>
        <w:fldChar w:fldCharType="begin"/>
      </w:r>
      <w:r>
        <w:rPr>
          <w:noProof/>
        </w:rPr>
        <w:instrText xml:space="preserve"> PAGEREF _Toc418608661 \h </w:instrText>
      </w:r>
      <w:r>
        <w:rPr>
          <w:noProof/>
        </w:rPr>
      </w:r>
      <w:r>
        <w:rPr>
          <w:noProof/>
        </w:rPr>
        <w:fldChar w:fldCharType="separate"/>
      </w:r>
      <w:r w:rsidR="008D3215">
        <w:rPr>
          <w:noProof/>
        </w:rPr>
        <w:t>4</w:t>
      </w:r>
      <w:r>
        <w:rPr>
          <w:noProof/>
        </w:rPr>
        <w:fldChar w:fldCharType="end"/>
      </w:r>
    </w:p>
    <w:p w14:paraId="4556DF75"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3.1</w:t>
      </w:r>
      <w:r>
        <w:rPr>
          <w:rFonts w:asciiTheme="minorHAnsi" w:eastAsiaTheme="minorEastAsia" w:hAnsiTheme="minorHAnsi" w:cstheme="minorBidi"/>
          <w:noProof/>
          <w:sz w:val="22"/>
          <w:lang w:val="en-AU" w:eastAsia="en-AU"/>
        </w:rPr>
        <w:tab/>
      </w:r>
      <w:r>
        <w:rPr>
          <w:noProof/>
        </w:rPr>
        <w:t>Requirements of the TPA Code</w:t>
      </w:r>
      <w:r>
        <w:rPr>
          <w:noProof/>
        </w:rPr>
        <w:tab/>
      </w:r>
      <w:r>
        <w:rPr>
          <w:noProof/>
        </w:rPr>
        <w:fldChar w:fldCharType="begin"/>
      </w:r>
      <w:r>
        <w:rPr>
          <w:noProof/>
        </w:rPr>
        <w:instrText xml:space="preserve"> PAGEREF _Toc418608662 \h </w:instrText>
      </w:r>
      <w:r>
        <w:rPr>
          <w:noProof/>
        </w:rPr>
      </w:r>
      <w:r>
        <w:rPr>
          <w:noProof/>
        </w:rPr>
        <w:fldChar w:fldCharType="separate"/>
      </w:r>
      <w:r w:rsidR="008D3215">
        <w:rPr>
          <w:noProof/>
        </w:rPr>
        <w:t>4</w:t>
      </w:r>
      <w:r>
        <w:rPr>
          <w:noProof/>
        </w:rPr>
        <w:fldChar w:fldCharType="end"/>
      </w:r>
    </w:p>
    <w:p w14:paraId="30C754A3"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3.2</w:t>
      </w:r>
      <w:r>
        <w:rPr>
          <w:rFonts w:asciiTheme="minorHAnsi" w:eastAsiaTheme="minorEastAsia" w:hAnsiTheme="minorHAnsi" w:cstheme="minorBidi"/>
          <w:noProof/>
          <w:sz w:val="22"/>
          <w:lang w:val="en-AU" w:eastAsia="en-AU"/>
        </w:rPr>
        <w:tab/>
      </w:r>
      <w:r>
        <w:rPr>
          <w:noProof/>
        </w:rPr>
        <w:t>Requirements of the Commission’s RIN</w:t>
      </w:r>
      <w:r>
        <w:rPr>
          <w:noProof/>
        </w:rPr>
        <w:tab/>
      </w:r>
      <w:r>
        <w:rPr>
          <w:noProof/>
        </w:rPr>
        <w:fldChar w:fldCharType="begin"/>
      </w:r>
      <w:r>
        <w:rPr>
          <w:noProof/>
        </w:rPr>
        <w:instrText xml:space="preserve"> PAGEREF _Toc418608663 \h </w:instrText>
      </w:r>
      <w:r>
        <w:rPr>
          <w:noProof/>
        </w:rPr>
      </w:r>
      <w:r>
        <w:rPr>
          <w:noProof/>
        </w:rPr>
        <w:fldChar w:fldCharType="separate"/>
      </w:r>
      <w:r w:rsidR="008D3215">
        <w:rPr>
          <w:noProof/>
        </w:rPr>
        <w:t>4</w:t>
      </w:r>
      <w:r>
        <w:rPr>
          <w:noProof/>
        </w:rPr>
        <w:fldChar w:fldCharType="end"/>
      </w:r>
    </w:p>
    <w:p w14:paraId="6A06AF7A"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3.3</w:t>
      </w:r>
      <w:r>
        <w:rPr>
          <w:rFonts w:asciiTheme="minorHAnsi" w:eastAsiaTheme="minorEastAsia" w:hAnsiTheme="minorHAnsi" w:cstheme="minorBidi"/>
          <w:noProof/>
          <w:sz w:val="22"/>
          <w:lang w:val="en-AU" w:eastAsia="en-AU"/>
        </w:rPr>
        <w:tab/>
      </w:r>
      <w:r>
        <w:rPr>
          <w:noProof/>
        </w:rPr>
        <w:t>Requirements of the Commission’s 2014 NPD Final Determination</w:t>
      </w:r>
      <w:r>
        <w:rPr>
          <w:noProof/>
        </w:rPr>
        <w:tab/>
      </w:r>
      <w:r>
        <w:rPr>
          <w:noProof/>
        </w:rPr>
        <w:fldChar w:fldCharType="begin"/>
      </w:r>
      <w:r>
        <w:rPr>
          <w:noProof/>
        </w:rPr>
        <w:instrText xml:space="preserve"> PAGEREF _Toc418608664 \h </w:instrText>
      </w:r>
      <w:r>
        <w:rPr>
          <w:noProof/>
        </w:rPr>
      </w:r>
      <w:r>
        <w:rPr>
          <w:noProof/>
        </w:rPr>
        <w:fldChar w:fldCharType="separate"/>
      </w:r>
      <w:r w:rsidR="008D3215">
        <w:rPr>
          <w:noProof/>
        </w:rPr>
        <w:t>5</w:t>
      </w:r>
      <w:r>
        <w:rPr>
          <w:noProof/>
        </w:rPr>
        <w:fldChar w:fldCharType="end"/>
      </w:r>
    </w:p>
    <w:p w14:paraId="1D86D95A"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3.4</w:t>
      </w:r>
      <w:r>
        <w:rPr>
          <w:rFonts w:asciiTheme="minorHAnsi" w:eastAsiaTheme="minorEastAsia" w:hAnsiTheme="minorHAnsi" w:cstheme="minorBidi"/>
          <w:noProof/>
          <w:sz w:val="22"/>
          <w:lang w:val="en-AU" w:eastAsia="en-AU"/>
        </w:rPr>
        <w:tab/>
      </w:r>
      <w:r>
        <w:rPr>
          <w:noProof/>
        </w:rPr>
        <w:t>Requirements of the Rules</w:t>
      </w:r>
      <w:r>
        <w:rPr>
          <w:noProof/>
        </w:rPr>
        <w:tab/>
      </w:r>
      <w:r>
        <w:rPr>
          <w:noProof/>
        </w:rPr>
        <w:fldChar w:fldCharType="begin"/>
      </w:r>
      <w:r>
        <w:rPr>
          <w:noProof/>
        </w:rPr>
        <w:instrText xml:space="preserve"> PAGEREF _Toc418608665 \h </w:instrText>
      </w:r>
      <w:r>
        <w:rPr>
          <w:noProof/>
        </w:rPr>
      </w:r>
      <w:r>
        <w:rPr>
          <w:noProof/>
        </w:rPr>
        <w:fldChar w:fldCharType="separate"/>
      </w:r>
      <w:r w:rsidR="008D3215">
        <w:rPr>
          <w:noProof/>
        </w:rPr>
        <w:t>8</w:t>
      </w:r>
      <w:r>
        <w:rPr>
          <w:noProof/>
        </w:rPr>
        <w:fldChar w:fldCharType="end"/>
      </w:r>
    </w:p>
    <w:p w14:paraId="594D191A"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Part A:  Network Pricing Principles Statement</w:t>
      </w:r>
      <w:r>
        <w:rPr>
          <w:noProof/>
        </w:rPr>
        <w:tab/>
      </w:r>
      <w:r>
        <w:rPr>
          <w:noProof/>
        </w:rPr>
        <w:fldChar w:fldCharType="begin"/>
      </w:r>
      <w:r>
        <w:rPr>
          <w:noProof/>
        </w:rPr>
        <w:instrText xml:space="preserve"> PAGEREF _Toc418608666 \h </w:instrText>
      </w:r>
      <w:r>
        <w:rPr>
          <w:noProof/>
        </w:rPr>
      </w:r>
      <w:r>
        <w:rPr>
          <w:noProof/>
        </w:rPr>
        <w:fldChar w:fldCharType="separate"/>
      </w:r>
      <w:r w:rsidR="008D3215">
        <w:rPr>
          <w:noProof/>
        </w:rPr>
        <w:t>9</w:t>
      </w:r>
      <w:r>
        <w:rPr>
          <w:noProof/>
        </w:rPr>
        <w:fldChar w:fldCharType="end"/>
      </w:r>
    </w:p>
    <w:p w14:paraId="7DC8D841"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4</w:t>
      </w:r>
      <w:r>
        <w:rPr>
          <w:rFonts w:asciiTheme="minorHAnsi" w:eastAsiaTheme="minorEastAsia" w:hAnsiTheme="minorHAnsi" w:cstheme="minorBidi"/>
          <w:b w:val="0"/>
          <w:noProof/>
          <w:sz w:val="22"/>
          <w:szCs w:val="22"/>
          <w:lang w:val="en-AU" w:eastAsia="en-AU"/>
        </w:rPr>
        <w:tab/>
      </w:r>
      <w:r>
        <w:rPr>
          <w:noProof/>
        </w:rPr>
        <w:t>Classification of Services</w:t>
      </w:r>
      <w:r>
        <w:rPr>
          <w:noProof/>
        </w:rPr>
        <w:tab/>
      </w:r>
      <w:r>
        <w:rPr>
          <w:noProof/>
        </w:rPr>
        <w:fldChar w:fldCharType="begin"/>
      </w:r>
      <w:r>
        <w:rPr>
          <w:noProof/>
        </w:rPr>
        <w:instrText xml:space="preserve"> PAGEREF _Toc418608667 \h </w:instrText>
      </w:r>
      <w:r>
        <w:rPr>
          <w:noProof/>
        </w:rPr>
      </w:r>
      <w:r>
        <w:rPr>
          <w:noProof/>
        </w:rPr>
        <w:fldChar w:fldCharType="separate"/>
      </w:r>
      <w:r w:rsidR="008D3215">
        <w:rPr>
          <w:noProof/>
        </w:rPr>
        <w:t>9</w:t>
      </w:r>
      <w:r>
        <w:rPr>
          <w:noProof/>
        </w:rPr>
        <w:fldChar w:fldCharType="end"/>
      </w:r>
    </w:p>
    <w:p w14:paraId="1D1D1F57"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5</w:t>
      </w:r>
      <w:r>
        <w:rPr>
          <w:rFonts w:asciiTheme="minorHAnsi" w:eastAsiaTheme="minorEastAsia" w:hAnsiTheme="minorHAnsi" w:cstheme="minorBidi"/>
          <w:b w:val="0"/>
          <w:noProof/>
          <w:sz w:val="22"/>
          <w:szCs w:val="22"/>
          <w:lang w:val="en-AU" w:eastAsia="en-AU"/>
        </w:rPr>
        <w:tab/>
      </w:r>
      <w:r>
        <w:rPr>
          <w:noProof/>
        </w:rPr>
        <w:t>Tariff Classes</w:t>
      </w:r>
      <w:r>
        <w:rPr>
          <w:noProof/>
        </w:rPr>
        <w:tab/>
      </w:r>
      <w:r>
        <w:rPr>
          <w:noProof/>
        </w:rPr>
        <w:fldChar w:fldCharType="begin"/>
      </w:r>
      <w:r>
        <w:rPr>
          <w:noProof/>
        </w:rPr>
        <w:instrText xml:space="preserve"> PAGEREF _Toc418608668 \h </w:instrText>
      </w:r>
      <w:r>
        <w:rPr>
          <w:noProof/>
        </w:rPr>
      </w:r>
      <w:r>
        <w:rPr>
          <w:noProof/>
        </w:rPr>
        <w:fldChar w:fldCharType="separate"/>
      </w:r>
      <w:r w:rsidR="008D3215">
        <w:rPr>
          <w:noProof/>
        </w:rPr>
        <w:t>9</w:t>
      </w:r>
      <w:r>
        <w:rPr>
          <w:noProof/>
        </w:rPr>
        <w:fldChar w:fldCharType="end"/>
      </w:r>
    </w:p>
    <w:p w14:paraId="01480B79"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5.1</w:t>
      </w:r>
      <w:r>
        <w:rPr>
          <w:rFonts w:asciiTheme="minorHAnsi" w:eastAsiaTheme="minorEastAsia" w:hAnsiTheme="minorHAnsi" w:cstheme="minorBidi"/>
          <w:noProof/>
          <w:sz w:val="22"/>
          <w:lang w:val="en-AU" w:eastAsia="en-AU"/>
        </w:rPr>
        <w:tab/>
      </w:r>
      <w:r>
        <w:rPr>
          <w:noProof/>
        </w:rPr>
        <w:t>Summary of current tariff classes</w:t>
      </w:r>
      <w:r>
        <w:rPr>
          <w:noProof/>
        </w:rPr>
        <w:tab/>
      </w:r>
      <w:r>
        <w:rPr>
          <w:noProof/>
        </w:rPr>
        <w:fldChar w:fldCharType="begin"/>
      </w:r>
      <w:r>
        <w:rPr>
          <w:noProof/>
        </w:rPr>
        <w:instrText xml:space="preserve"> PAGEREF _Toc418608669 \h </w:instrText>
      </w:r>
      <w:r>
        <w:rPr>
          <w:noProof/>
        </w:rPr>
      </w:r>
      <w:r>
        <w:rPr>
          <w:noProof/>
        </w:rPr>
        <w:fldChar w:fldCharType="separate"/>
      </w:r>
      <w:r w:rsidR="008D3215">
        <w:rPr>
          <w:noProof/>
        </w:rPr>
        <w:t>9</w:t>
      </w:r>
      <w:r>
        <w:rPr>
          <w:noProof/>
        </w:rPr>
        <w:fldChar w:fldCharType="end"/>
      </w:r>
    </w:p>
    <w:p w14:paraId="43ECE3A5"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5.2</w:t>
      </w:r>
      <w:r>
        <w:rPr>
          <w:rFonts w:asciiTheme="minorHAnsi" w:eastAsiaTheme="minorEastAsia" w:hAnsiTheme="minorHAnsi" w:cstheme="minorBidi"/>
          <w:noProof/>
          <w:sz w:val="22"/>
          <w:lang w:val="en-AU" w:eastAsia="en-AU"/>
        </w:rPr>
        <w:tab/>
      </w:r>
      <w:r>
        <w:rPr>
          <w:noProof/>
        </w:rPr>
        <w:t>Domestic tariff class</w:t>
      </w:r>
      <w:r>
        <w:rPr>
          <w:noProof/>
        </w:rPr>
        <w:tab/>
      </w:r>
      <w:r>
        <w:rPr>
          <w:noProof/>
        </w:rPr>
        <w:fldChar w:fldCharType="begin"/>
      </w:r>
      <w:r>
        <w:rPr>
          <w:noProof/>
        </w:rPr>
        <w:instrText xml:space="preserve"> PAGEREF _Toc418608670 \h </w:instrText>
      </w:r>
      <w:r>
        <w:rPr>
          <w:noProof/>
        </w:rPr>
      </w:r>
      <w:r>
        <w:rPr>
          <w:noProof/>
        </w:rPr>
        <w:fldChar w:fldCharType="separate"/>
      </w:r>
      <w:r w:rsidR="008D3215">
        <w:rPr>
          <w:noProof/>
        </w:rPr>
        <w:t>11</w:t>
      </w:r>
      <w:r>
        <w:rPr>
          <w:noProof/>
        </w:rPr>
        <w:fldChar w:fldCharType="end"/>
      </w:r>
    </w:p>
    <w:p w14:paraId="71E5FDBE"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5.3</w:t>
      </w:r>
      <w:r>
        <w:rPr>
          <w:rFonts w:asciiTheme="minorHAnsi" w:eastAsiaTheme="minorEastAsia" w:hAnsiTheme="minorHAnsi" w:cstheme="minorBidi"/>
          <w:noProof/>
          <w:sz w:val="22"/>
          <w:lang w:val="en-AU" w:eastAsia="en-AU"/>
        </w:rPr>
        <w:tab/>
      </w:r>
      <w:r>
        <w:rPr>
          <w:noProof/>
        </w:rPr>
        <w:t>Commercial tariff class</w:t>
      </w:r>
      <w:r>
        <w:rPr>
          <w:noProof/>
        </w:rPr>
        <w:tab/>
      </w:r>
      <w:r>
        <w:rPr>
          <w:noProof/>
        </w:rPr>
        <w:fldChar w:fldCharType="begin"/>
      </w:r>
      <w:r>
        <w:rPr>
          <w:noProof/>
        </w:rPr>
        <w:instrText xml:space="preserve"> PAGEREF _Toc418608671 \h </w:instrText>
      </w:r>
      <w:r>
        <w:rPr>
          <w:noProof/>
        </w:rPr>
      </w:r>
      <w:r>
        <w:rPr>
          <w:noProof/>
        </w:rPr>
        <w:fldChar w:fldCharType="separate"/>
      </w:r>
      <w:r w:rsidR="008D3215">
        <w:rPr>
          <w:noProof/>
        </w:rPr>
        <w:t>11</w:t>
      </w:r>
      <w:r>
        <w:rPr>
          <w:noProof/>
        </w:rPr>
        <w:fldChar w:fldCharType="end"/>
      </w:r>
    </w:p>
    <w:p w14:paraId="1F444E4C"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5.4</w:t>
      </w:r>
      <w:r>
        <w:rPr>
          <w:rFonts w:asciiTheme="minorHAnsi" w:eastAsiaTheme="minorEastAsia" w:hAnsiTheme="minorHAnsi" w:cstheme="minorBidi"/>
          <w:noProof/>
          <w:sz w:val="22"/>
          <w:lang w:val="en-AU" w:eastAsia="en-AU"/>
        </w:rPr>
        <w:tab/>
      </w:r>
      <w:r>
        <w:rPr>
          <w:noProof/>
        </w:rPr>
        <w:t>Commercial HV tariff class</w:t>
      </w:r>
      <w:r>
        <w:rPr>
          <w:noProof/>
        </w:rPr>
        <w:tab/>
      </w:r>
      <w:r>
        <w:rPr>
          <w:noProof/>
        </w:rPr>
        <w:fldChar w:fldCharType="begin"/>
      </w:r>
      <w:r>
        <w:rPr>
          <w:noProof/>
        </w:rPr>
        <w:instrText xml:space="preserve"> PAGEREF _Toc418608672 \h </w:instrText>
      </w:r>
      <w:r>
        <w:rPr>
          <w:noProof/>
        </w:rPr>
      </w:r>
      <w:r>
        <w:rPr>
          <w:noProof/>
        </w:rPr>
        <w:fldChar w:fldCharType="separate"/>
      </w:r>
      <w:r w:rsidR="008D3215">
        <w:rPr>
          <w:noProof/>
        </w:rPr>
        <w:t>12</w:t>
      </w:r>
      <w:r>
        <w:rPr>
          <w:noProof/>
        </w:rPr>
        <w:fldChar w:fldCharType="end"/>
      </w:r>
    </w:p>
    <w:p w14:paraId="1A7C7F38"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5.5</w:t>
      </w:r>
      <w:r>
        <w:rPr>
          <w:rFonts w:asciiTheme="minorHAnsi" w:eastAsiaTheme="minorEastAsia" w:hAnsiTheme="minorHAnsi" w:cstheme="minorBidi"/>
          <w:noProof/>
          <w:sz w:val="22"/>
          <w:lang w:val="en-AU" w:eastAsia="en-AU"/>
        </w:rPr>
        <w:tab/>
      </w:r>
      <w:r>
        <w:rPr>
          <w:noProof/>
        </w:rPr>
        <w:t>Tariff reclassification</w:t>
      </w:r>
      <w:r>
        <w:rPr>
          <w:noProof/>
        </w:rPr>
        <w:tab/>
      </w:r>
      <w:r>
        <w:rPr>
          <w:noProof/>
        </w:rPr>
        <w:fldChar w:fldCharType="begin"/>
      </w:r>
      <w:r>
        <w:rPr>
          <w:noProof/>
        </w:rPr>
        <w:instrText xml:space="preserve"> PAGEREF _Toc418608673 \h </w:instrText>
      </w:r>
      <w:r>
        <w:rPr>
          <w:noProof/>
        </w:rPr>
      </w:r>
      <w:r>
        <w:rPr>
          <w:noProof/>
        </w:rPr>
        <w:fldChar w:fldCharType="separate"/>
      </w:r>
      <w:r w:rsidR="008D3215">
        <w:rPr>
          <w:noProof/>
        </w:rPr>
        <w:t>12</w:t>
      </w:r>
      <w:r>
        <w:rPr>
          <w:noProof/>
        </w:rPr>
        <w:fldChar w:fldCharType="end"/>
      </w:r>
    </w:p>
    <w:p w14:paraId="3529575E"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5.6</w:t>
      </w:r>
      <w:r>
        <w:rPr>
          <w:rFonts w:asciiTheme="minorHAnsi" w:eastAsiaTheme="minorEastAsia" w:hAnsiTheme="minorHAnsi" w:cstheme="minorBidi"/>
          <w:noProof/>
          <w:sz w:val="22"/>
          <w:lang w:val="en-AU" w:eastAsia="en-AU"/>
        </w:rPr>
        <w:tab/>
      </w:r>
      <w:r>
        <w:rPr>
          <w:noProof/>
        </w:rPr>
        <w:t>Generators</w:t>
      </w:r>
      <w:r>
        <w:rPr>
          <w:noProof/>
        </w:rPr>
        <w:tab/>
      </w:r>
      <w:r>
        <w:rPr>
          <w:noProof/>
        </w:rPr>
        <w:fldChar w:fldCharType="begin"/>
      </w:r>
      <w:r>
        <w:rPr>
          <w:noProof/>
        </w:rPr>
        <w:instrText xml:space="preserve"> PAGEREF _Toc418608674 \h </w:instrText>
      </w:r>
      <w:r>
        <w:rPr>
          <w:noProof/>
        </w:rPr>
      </w:r>
      <w:r>
        <w:rPr>
          <w:noProof/>
        </w:rPr>
        <w:fldChar w:fldCharType="separate"/>
      </w:r>
      <w:r w:rsidR="008D3215">
        <w:rPr>
          <w:noProof/>
        </w:rPr>
        <w:t>12</w:t>
      </w:r>
      <w:r>
        <w:rPr>
          <w:noProof/>
        </w:rPr>
        <w:fldChar w:fldCharType="end"/>
      </w:r>
    </w:p>
    <w:p w14:paraId="0E098AB1"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6</w:t>
      </w:r>
      <w:r>
        <w:rPr>
          <w:rFonts w:asciiTheme="minorHAnsi" w:eastAsiaTheme="minorEastAsia" w:hAnsiTheme="minorHAnsi" w:cstheme="minorBidi"/>
          <w:b w:val="0"/>
          <w:noProof/>
          <w:sz w:val="22"/>
          <w:szCs w:val="22"/>
          <w:lang w:val="en-AU" w:eastAsia="en-AU"/>
        </w:rPr>
        <w:tab/>
      </w:r>
      <w:r>
        <w:rPr>
          <w:noProof/>
        </w:rPr>
        <w:t>Reference Tariffs for Direct Control Services</w:t>
      </w:r>
      <w:r>
        <w:rPr>
          <w:noProof/>
        </w:rPr>
        <w:tab/>
      </w:r>
      <w:r>
        <w:rPr>
          <w:noProof/>
        </w:rPr>
        <w:fldChar w:fldCharType="begin"/>
      </w:r>
      <w:r>
        <w:rPr>
          <w:noProof/>
        </w:rPr>
        <w:instrText xml:space="preserve"> PAGEREF _Toc418608675 \h </w:instrText>
      </w:r>
      <w:r>
        <w:rPr>
          <w:noProof/>
        </w:rPr>
      </w:r>
      <w:r>
        <w:rPr>
          <w:noProof/>
        </w:rPr>
        <w:fldChar w:fldCharType="separate"/>
      </w:r>
      <w:r w:rsidR="008D3215">
        <w:rPr>
          <w:noProof/>
        </w:rPr>
        <w:t>13</w:t>
      </w:r>
      <w:r>
        <w:rPr>
          <w:noProof/>
        </w:rPr>
        <w:fldChar w:fldCharType="end"/>
      </w:r>
    </w:p>
    <w:p w14:paraId="1F1A5E1A"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6.1</w:t>
      </w:r>
      <w:r>
        <w:rPr>
          <w:rFonts w:asciiTheme="minorHAnsi" w:eastAsiaTheme="minorEastAsia" w:hAnsiTheme="minorHAnsi" w:cstheme="minorBidi"/>
          <w:noProof/>
          <w:sz w:val="22"/>
          <w:lang w:val="en-AU" w:eastAsia="en-AU"/>
        </w:rPr>
        <w:tab/>
      </w:r>
      <w:r>
        <w:rPr>
          <w:noProof/>
        </w:rPr>
        <w:t>Standard Control Services</w:t>
      </w:r>
      <w:r>
        <w:rPr>
          <w:noProof/>
        </w:rPr>
        <w:tab/>
      </w:r>
      <w:r>
        <w:rPr>
          <w:noProof/>
        </w:rPr>
        <w:fldChar w:fldCharType="begin"/>
      </w:r>
      <w:r>
        <w:rPr>
          <w:noProof/>
        </w:rPr>
        <w:instrText xml:space="preserve"> PAGEREF _Toc418608676 \h </w:instrText>
      </w:r>
      <w:r>
        <w:rPr>
          <w:noProof/>
        </w:rPr>
      </w:r>
      <w:r>
        <w:rPr>
          <w:noProof/>
        </w:rPr>
        <w:fldChar w:fldCharType="separate"/>
      </w:r>
      <w:r w:rsidR="008D3215">
        <w:rPr>
          <w:noProof/>
        </w:rPr>
        <w:t>13</w:t>
      </w:r>
      <w:r>
        <w:rPr>
          <w:noProof/>
        </w:rPr>
        <w:fldChar w:fldCharType="end"/>
      </w:r>
    </w:p>
    <w:p w14:paraId="5198CEF4"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6.2</w:t>
      </w:r>
      <w:r>
        <w:rPr>
          <w:rFonts w:asciiTheme="minorHAnsi" w:eastAsiaTheme="minorEastAsia" w:hAnsiTheme="minorHAnsi" w:cstheme="minorBidi"/>
          <w:noProof/>
          <w:sz w:val="22"/>
          <w:lang w:val="en-AU" w:eastAsia="en-AU"/>
        </w:rPr>
        <w:tab/>
      </w:r>
      <w:r>
        <w:rPr>
          <w:noProof/>
        </w:rPr>
        <w:t>Alternative Control Services</w:t>
      </w:r>
      <w:r>
        <w:rPr>
          <w:noProof/>
        </w:rPr>
        <w:tab/>
      </w:r>
      <w:r>
        <w:rPr>
          <w:noProof/>
        </w:rPr>
        <w:fldChar w:fldCharType="begin"/>
      </w:r>
      <w:r>
        <w:rPr>
          <w:noProof/>
        </w:rPr>
        <w:instrText xml:space="preserve"> PAGEREF _Toc418608677 \h </w:instrText>
      </w:r>
      <w:r>
        <w:rPr>
          <w:noProof/>
        </w:rPr>
      </w:r>
      <w:r>
        <w:rPr>
          <w:noProof/>
        </w:rPr>
        <w:fldChar w:fldCharType="separate"/>
      </w:r>
      <w:r w:rsidR="008D3215">
        <w:rPr>
          <w:noProof/>
        </w:rPr>
        <w:t>14</w:t>
      </w:r>
      <w:r>
        <w:rPr>
          <w:noProof/>
        </w:rPr>
        <w:fldChar w:fldCharType="end"/>
      </w:r>
    </w:p>
    <w:p w14:paraId="6E4859BA"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7</w:t>
      </w:r>
      <w:r>
        <w:rPr>
          <w:rFonts w:asciiTheme="minorHAnsi" w:eastAsiaTheme="minorEastAsia" w:hAnsiTheme="minorHAnsi" w:cstheme="minorBidi"/>
          <w:b w:val="0"/>
          <w:noProof/>
          <w:sz w:val="22"/>
          <w:szCs w:val="22"/>
          <w:lang w:val="en-AU" w:eastAsia="en-AU"/>
        </w:rPr>
        <w:tab/>
      </w:r>
      <w:r>
        <w:rPr>
          <w:noProof/>
        </w:rPr>
        <w:t>Efficient Network Pricing</w:t>
      </w:r>
      <w:r>
        <w:rPr>
          <w:noProof/>
        </w:rPr>
        <w:tab/>
      </w:r>
      <w:r>
        <w:rPr>
          <w:noProof/>
        </w:rPr>
        <w:fldChar w:fldCharType="begin"/>
      </w:r>
      <w:r>
        <w:rPr>
          <w:noProof/>
        </w:rPr>
        <w:instrText xml:space="preserve"> PAGEREF _Toc418608678 \h </w:instrText>
      </w:r>
      <w:r>
        <w:rPr>
          <w:noProof/>
        </w:rPr>
      </w:r>
      <w:r>
        <w:rPr>
          <w:noProof/>
        </w:rPr>
        <w:fldChar w:fldCharType="separate"/>
      </w:r>
      <w:r w:rsidR="008D3215">
        <w:rPr>
          <w:noProof/>
        </w:rPr>
        <w:t>15</w:t>
      </w:r>
      <w:r>
        <w:rPr>
          <w:noProof/>
        </w:rPr>
        <w:fldChar w:fldCharType="end"/>
      </w:r>
    </w:p>
    <w:p w14:paraId="68A734C5"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8</w:t>
      </w:r>
      <w:r>
        <w:rPr>
          <w:rFonts w:asciiTheme="minorHAnsi" w:eastAsiaTheme="minorEastAsia" w:hAnsiTheme="minorHAnsi" w:cstheme="minorBidi"/>
          <w:b w:val="0"/>
          <w:noProof/>
          <w:sz w:val="22"/>
          <w:szCs w:val="22"/>
          <w:lang w:val="en-AU" w:eastAsia="en-AU"/>
        </w:rPr>
        <w:tab/>
      </w:r>
      <w:r>
        <w:rPr>
          <w:noProof/>
        </w:rPr>
        <w:t>Price Modelling</w:t>
      </w:r>
      <w:r>
        <w:rPr>
          <w:noProof/>
        </w:rPr>
        <w:tab/>
      </w:r>
      <w:r>
        <w:rPr>
          <w:noProof/>
        </w:rPr>
        <w:fldChar w:fldCharType="begin"/>
      </w:r>
      <w:r>
        <w:rPr>
          <w:noProof/>
        </w:rPr>
        <w:instrText xml:space="preserve"> PAGEREF _Toc418608679 \h </w:instrText>
      </w:r>
      <w:r>
        <w:rPr>
          <w:noProof/>
        </w:rPr>
      </w:r>
      <w:r>
        <w:rPr>
          <w:noProof/>
        </w:rPr>
        <w:fldChar w:fldCharType="separate"/>
      </w:r>
      <w:r w:rsidR="008D3215">
        <w:rPr>
          <w:noProof/>
        </w:rPr>
        <w:t>15</w:t>
      </w:r>
      <w:r>
        <w:rPr>
          <w:noProof/>
        </w:rPr>
        <w:fldChar w:fldCharType="end"/>
      </w:r>
    </w:p>
    <w:p w14:paraId="71A061AC"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Part B:  2015/16 Network Pricing Proposal</w:t>
      </w:r>
      <w:r>
        <w:rPr>
          <w:noProof/>
        </w:rPr>
        <w:tab/>
      </w:r>
      <w:r>
        <w:rPr>
          <w:noProof/>
        </w:rPr>
        <w:fldChar w:fldCharType="begin"/>
      </w:r>
      <w:r>
        <w:rPr>
          <w:noProof/>
        </w:rPr>
        <w:instrText xml:space="preserve"> PAGEREF _Toc418608680 \h </w:instrText>
      </w:r>
      <w:r>
        <w:rPr>
          <w:noProof/>
        </w:rPr>
      </w:r>
      <w:r>
        <w:rPr>
          <w:noProof/>
        </w:rPr>
        <w:fldChar w:fldCharType="separate"/>
      </w:r>
      <w:r w:rsidR="008D3215">
        <w:rPr>
          <w:noProof/>
        </w:rPr>
        <w:t>17</w:t>
      </w:r>
      <w:r>
        <w:rPr>
          <w:noProof/>
        </w:rPr>
        <w:fldChar w:fldCharType="end"/>
      </w:r>
    </w:p>
    <w:p w14:paraId="30D00A35"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9</w:t>
      </w:r>
      <w:r>
        <w:rPr>
          <w:rFonts w:asciiTheme="minorHAnsi" w:eastAsiaTheme="minorEastAsia" w:hAnsiTheme="minorHAnsi" w:cstheme="minorBidi"/>
          <w:b w:val="0"/>
          <w:noProof/>
          <w:sz w:val="22"/>
          <w:szCs w:val="22"/>
          <w:lang w:val="en-AU" w:eastAsia="en-AU"/>
        </w:rPr>
        <w:tab/>
      </w:r>
      <w:r>
        <w:rPr>
          <w:noProof/>
        </w:rPr>
        <w:t>Power Networks’ Tariff Strategy</w:t>
      </w:r>
      <w:r>
        <w:rPr>
          <w:noProof/>
        </w:rPr>
        <w:tab/>
      </w:r>
      <w:r>
        <w:rPr>
          <w:noProof/>
        </w:rPr>
        <w:fldChar w:fldCharType="begin"/>
      </w:r>
      <w:r>
        <w:rPr>
          <w:noProof/>
        </w:rPr>
        <w:instrText xml:space="preserve"> PAGEREF _Toc418608681 \h </w:instrText>
      </w:r>
      <w:r>
        <w:rPr>
          <w:noProof/>
        </w:rPr>
      </w:r>
      <w:r>
        <w:rPr>
          <w:noProof/>
        </w:rPr>
        <w:fldChar w:fldCharType="separate"/>
      </w:r>
      <w:r w:rsidR="008D3215">
        <w:rPr>
          <w:noProof/>
        </w:rPr>
        <w:t>17</w:t>
      </w:r>
      <w:r>
        <w:rPr>
          <w:noProof/>
        </w:rPr>
        <w:fldChar w:fldCharType="end"/>
      </w:r>
    </w:p>
    <w:p w14:paraId="38245D5C"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9.1</w:t>
      </w:r>
      <w:r>
        <w:rPr>
          <w:rFonts w:asciiTheme="minorHAnsi" w:eastAsiaTheme="minorEastAsia" w:hAnsiTheme="minorHAnsi" w:cstheme="minorBidi"/>
          <w:noProof/>
          <w:sz w:val="22"/>
          <w:lang w:val="en-AU" w:eastAsia="en-AU"/>
        </w:rPr>
        <w:tab/>
      </w:r>
      <w:r>
        <w:rPr>
          <w:noProof/>
        </w:rPr>
        <w:t>Network tariff objectives</w:t>
      </w:r>
      <w:r>
        <w:rPr>
          <w:noProof/>
        </w:rPr>
        <w:tab/>
      </w:r>
      <w:r>
        <w:rPr>
          <w:noProof/>
        </w:rPr>
        <w:fldChar w:fldCharType="begin"/>
      </w:r>
      <w:r>
        <w:rPr>
          <w:noProof/>
        </w:rPr>
        <w:instrText xml:space="preserve"> PAGEREF _Toc418608682 \h </w:instrText>
      </w:r>
      <w:r>
        <w:rPr>
          <w:noProof/>
        </w:rPr>
      </w:r>
      <w:r>
        <w:rPr>
          <w:noProof/>
        </w:rPr>
        <w:fldChar w:fldCharType="separate"/>
      </w:r>
      <w:r w:rsidR="008D3215">
        <w:rPr>
          <w:noProof/>
        </w:rPr>
        <w:t>17</w:t>
      </w:r>
      <w:r>
        <w:rPr>
          <w:noProof/>
        </w:rPr>
        <w:fldChar w:fldCharType="end"/>
      </w:r>
    </w:p>
    <w:p w14:paraId="661E5E8C"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9.2</w:t>
      </w:r>
      <w:r>
        <w:rPr>
          <w:rFonts w:asciiTheme="minorHAnsi" w:eastAsiaTheme="minorEastAsia" w:hAnsiTheme="minorHAnsi" w:cstheme="minorBidi"/>
          <w:noProof/>
          <w:sz w:val="22"/>
          <w:lang w:val="en-AU" w:eastAsia="en-AU"/>
        </w:rPr>
        <w:tab/>
      </w:r>
      <w:r>
        <w:rPr>
          <w:noProof/>
        </w:rPr>
        <w:t>Drivers of tariff reform</w:t>
      </w:r>
      <w:r>
        <w:rPr>
          <w:noProof/>
        </w:rPr>
        <w:tab/>
      </w:r>
      <w:r>
        <w:rPr>
          <w:noProof/>
        </w:rPr>
        <w:fldChar w:fldCharType="begin"/>
      </w:r>
      <w:r>
        <w:rPr>
          <w:noProof/>
        </w:rPr>
        <w:instrText xml:space="preserve"> PAGEREF _Toc418608683 \h </w:instrText>
      </w:r>
      <w:r>
        <w:rPr>
          <w:noProof/>
        </w:rPr>
      </w:r>
      <w:r>
        <w:rPr>
          <w:noProof/>
        </w:rPr>
        <w:fldChar w:fldCharType="separate"/>
      </w:r>
      <w:r w:rsidR="008D3215">
        <w:rPr>
          <w:noProof/>
        </w:rPr>
        <w:t>17</w:t>
      </w:r>
      <w:r>
        <w:rPr>
          <w:noProof/>
        </w:rPr>
        <w:fldChar w:fldCharType="end"/>
      </w:r>
    </w:p>
    <w:p w14:paraId="361E0FAE"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9.3</w:t>
      </w:r>
      <w:r>
        <w:rPr>
          <w:rFonts w:asciiTheme="minorHAnsi" w:eastAsiaTheme="minorEastAsia" w:hAnsiTheme="minorHAnsi" w:cstheme="minorBidi"/>
          <w:noProof/>
          <w:sz w:val="22"/>
          <w:lang w:val="en-AU" w:eastAsia="en-AU"/>
        </w:rPr>
        <w:tab/>
      </w:r>
      <w:r>
        <w:rPr>
          <w:noProof/>
        </w:rPr>
        <w:t>Tariff strategies</w:t>
      </w:r>
      <w:r>
        <w:rPr>
          <w:noProof/>
        </w:rPr>
        <w:tab/>
      </w:r>
      <w:r>
        <w:rPr>
          <w:noProof/>
        </w:rPr>
        <w:fldChar w:fldCharType="begin"/>
      </w:r>
      <w:r>
        <w:rPr>
          <w:noProof/>
        </w:rPr>
        <w:instrText xml:space="preserve"> PAGEREF _Toc418608684 \h </w:instrText>
      </w:r>
      <w:r>
        <w:rPr>
          <w:noProof/>
        </w:rPr>
      </w:r>
      <w:r>
        <w:rPr>
          <w:noProof/>
        </w:rPr>
        <w:fldChar w:fldCharType="separate"/>
      </w:r>
      <w:r w:rsidR="008D3215">
        <w:rPr>
          <w:noProof/>
        </w:rPr>
        <w:t>19</w:t>
      </w:r>
      <w:r>
        <w:rPr>
          <w:noProof/>
        </w:rPr>
        <w:fldChar w:fldCharType="end"/>
      </w:r>
    </w:p>
    <w:p w14:paraId="3A4C527D" w14:textId="77777777" w:rsidR="00AD5F5F" w:rsidRDefault="00AD5F5F">
      <w:pPr>
        <w:pStyle w:val="TOC2"/>
        <w:tabs>
          <w:tab w:val="left" w:pos="880"/>
          <w:tab w:val="right" w:leader="dot" w:pos="9016"/>
        </w:tabs>
        <w:rPr>
          <w:rFonts w:asciiTheme="minorHAnsi" w:eastAsiaTheme="minorEastAsia" w:hAnsiTheme="minorHAnsi" w:cstheme="minorBidi"/>
          <w:noProof/>
          <w:sz w:val="22"/>
          <w:lang w:val="en-AU" w:eastAsia="en-AU"/>
        </w:rPr>
      </w:pPr>
      <w:r>
        <w:rPr>
          <w:noProof/>
        </w:rPr>
        <w:t>9.4</w:t>
      </w:r>
      <w:r>
        <w:rPr>
          <w:rFonts w:asciiTheme="minorHAnsi" w:eastAsiaTheme="minorEastAsia" w:hAnsiTheme="minorHAnsi" w:cstheme="minorBidi"/>
          <w:noProof/>
          <w:sz w:val="22"/>
          <w:lang w:val="en-AU" w:eastAsia="en-AU"/>
        </w:rPr>
        <w:tab/>
      </w:r>
      <w:r>
        <w:rPr>
          <w:noProof/>
        </w:rPr>
        <w:t>Interval metering and time of use based tariffs for small customers</w:t>
      </w:r>
      <w:r>
        <w:rPr>
          <w:noProof/>
        </w:rPr>
        <w:tab/>
      </w:r>
      <w:r>
        <w:rPr>
          <w:noProof/>
        </w:rPr>
        <w:fldChar w:fldCharType="begin"/>
      </w:r>
      <w:r>
        <w:rPr>
          <w:noProof/>
        </w:rPr>
        <w:instrText xml:space="preserve"> PAGEREF _Toc418608685 \h </w:instrText>
      </w:r>
      <w:r>
        <w:rPr>
          <w:noProof/>
        </w:rPr>
      </w:r>
      <w:r>
        <w:rPr>
          <w:noProof/>
        </w:rPr>
        <w:fldChar w:fldCharType="separate"/>
      </w:r>
      <w:r w:rsidR="008D3215">
        <w:rPr>
          <w:noProof/>
        </w:rPr>
        <w:t>24</w:t>
      </w:r>
      <w:r>
        <w:rPr>
          <w:noProof/>
        </w:rPr>
        <w:fldChar w:fldCharType="end"/>
      </w:r>
    </w:p>
    <w:p w14:paraId="1D055BCE"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10</w:t>
      </w:r>
      <w:r>
        <w:rPr>
          <w:rFonts w:asciiTheme="minorHAnsi" w:eastAsiaTheme="minorEastAsia" w:hAnsiTheme="minorHAnsi" w:cstheme="minorBidi"/>
          <w:b w:val="0"/>
          <w:noProof/>
          <w:sz w:val="22"/>
          <w:szCs w:val="22"/>
          <w:lang w:val="en-AU" w:eastAsia="en-AU"/>
        </w:rPr>
        <w:tab/>
      </w:r>
      <w:r>
        <w:rPr>
          <w:noProof/>
        </w:rPr>
        <w:t>Tariff Charging Parameters – 2015/16</w:t>
      </w:r>
      <w:r>
        <w:rPr>
          <w:noProof/>
        </w:rPr>
        <w:tab/>
      </w:r>
      <w:r>
        <w:rPr>
          <w:noProof/>
        </w:rPr>
        <w:fldChar w:fldCharType="begin"/>
      </w:r>
      <w:r>
        <w:rPr>
          <w:noProof/>
        </w:rPr>
        <w:instrText xml:space="preserve"> PAGEREF _Toc418608686 \h </w:instrText>
      </w:r>
      <w:r>
        <w:rPr>
          <w:noProof/>
        </w:rPr>
      </w:r>
      <w:r>
        <w:rPr>
          <w:noProof/>
        </w:rPr>
        <w:fldChar w:fldCharType="separate"/>
      </w:r>
      <w:r w:rsidR="008D3215">
        <w:rPr>
          <w:noProof/>
        </w:rPr>
        <w:t>24</w:t>
      </w:r>
      <w:r>
        <w:rPr>
          <w:noProof/>
        </w:rPr>
        <w:fldChar w:fldCharType="end"/>
      </w:r>
    </w:p>
    <w:p w14:paraId="719FB1DE"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10.1</w:t>
      </w:r>
      <w:r>
        <w:rPr>
          <w:rFonts w:asciiTheme="minorHAnsi" w:eastAsiaTheme="minorEastAsia" w:hAnsiTheme="minorHAnsi" w:cstheme="minorBidi"/>
          <w:noProof/>
          <w:sz w:val="22"/>
          <w:lang w:val="en-AU" w:eastAsia="en-AU"/>
        </w:rPr>
        <w:tab/>
      </w:r>
      <w:r>
        <w:rPr>
          <w:noProof/>
        </w:rPr>
        <w:t>Domestic tariff</w:t>
      </w:r>
      <w:r>
        <w:rPr>
          <w:noProof/>
        </w:rPr>
        <w:tab/>
      </w:r>
      <w:r>
        <w:rPr>
          <w:noProof/>
        </w:rPr>
        <w:fldChar w:fldCharType="begin"/>
      </w:r>
      <w:r>
        <w:rPr>
          <w:noProof/>
        </w:rPr>
        <w:instrText xml:space="preserve"> PAGEREF _Toc418608687 \h </w:instrText>
      </w:r>
      <w:r>
        <w:rPr>
          <w:noProof/>
        </w:rPr>
      </w:r>
      <w:r>
        <w:rPr>
          <w:noProof/>
        </w:rPr>
        <w:fldChar w:fldCharType="separate"/>
      </w:r>
      <w:r w:rsidR="008D3215">
        <w:rPr>
          <w:noProof/>
        </w:rPr>
        <w:t>25</w:t>
      </w:r>
      <w:r>
        <w:rPr>
          <w:noProof/>
        </w:rPr>
        <w:fldChar w:fldCharType="end"/>
      </w:r>
    </w:p>
    <w:p w14:paraId="16778F28"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10.2</w:t>
      </w:r>
      <w:r>
        <w:rPr>
          <w:rFonts w:asciiTheme="minorHAnsi" w:eastAsiaTheme="minorEastAsia" w:hAnsiTheme="minorHAnsi" w:cstheme="minorBidi"/>
          <w:noProof/>
          <w:sz w:val="22"/>
          <w:lang w:val="en-AU" w:eastAsia="en-AU"/>
        </w:rPr>
        <w:tab/>
      </w:r>
      <w:r>
        <w:rPr>
          <w:noProof/>
        </w:rPr>
        <w:t>&lt;750 MWh pa Commercial tariff</w:t>
      </w:r>
      <w:r>
        <w:rPr>
          <w:noProof/>
        </w:rPr>
        <w:tab/>
      </w:r>
      <w:r>
        <w:rPr>
          <w:noProof/>
        </w:rPr>
        <w:fldChar w:fldCharType="begin"/>
      </w:r>
      <w:r>
        <w:rPr>
          <w:noProof/>
        </w:rPr>
        <w:instrText xml:space="preserve"> PAGEREF _Toc418608688 \h </w:instrText>
      </w:r>
      <w:r>
        <w:rPr>
          <w:noProof/>
        </w:rPr>
      </w:r>
      <w:r>
        <w:rPr>
          <w:noProof/>
        </w:rPr>
        <w:fldChar w:fldCharType="separate"/>
      </w:r>
      <w:r w:rsidR="008D3215">
        <w:rPr>
          <w:noProof/>
        </w:rPr>
        <w:t>26</w:t>
      </w:r>
      <w:r>
        <w:rPr>
          <w:noProof/>
        </w:rPr>
        <w:fldChar w:fldCharType="end"/>
      </w:r>
    </w:p>
    <w:p w14:paraId="03BBAE9A"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10.3</w:t>
      </w:r>
      <w:r>
        <w:rPr>
          <w:rFonts w:asciiTheme="minorHAnsi" w:eastAsiaTheme="minorEastAsia" w:hAnsiTheme="minorHAnsi" w:cstheme="minorBidi"/>
          <w:noProof/>
          <w:sz w:val="22"/>
          <w:lang w:val="en-AU" w:eastAsia="en-AU"/>
        </w:rPr>
        <w:tab/>
      </w:r>
      <w:r>
        <w:rPr>
          <w:noProof/>
        </w:rPr>
        <w:t>Unmetered tariff</w:t>
      </w:r>
      <w:r>
        <w:rPr>
          <w:noProof/>
        </w:rPr>
        <w:tab/>
      </w:r>
      <w:r>
        <w:rPr>
          <w:noProof/>
        </w:rPr>
        <w:fldChar w:fldCharType="begin"/>
      </w:r>
      <w:r>
        <w:rPr>
          <w:noProof/>
        </w:rPr>
        <w:instrText xml:space="preserve"> PAGEREF _Toc418608689 \h </w:instrText>
      </w:r>
      <w:r>
        <w:rPr>
          <w:noProof/>
        </w:rPr>
      </w:r>
      <w:r>
        <w:rPr>
          <w:noProof/>
        </w:rPr>
        <w:fldChar w:fldCharType="separate"/>
      </w:r>
      <w:r w:rsidR="008D3215">
        <w:rPr>
          <w:noProof/>
        </w:rPr>
        <w:t>26</w:t>
      </w:r>
      <w:r>
        <w:rPr>
          <w:noProof/>
        </w:rPr>
        <w:fldChar w:fldCharType="end"/>
      </w:r>
    </w:p>
    <w:p w14:paraId="5225FED8"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10.4</w:t>
      </w:r>
      <w:r>
        <w:rPr>
          <w:rFonts w:asciiTheme="minorHAnsi" w:eastAsiaTheme="minorEastAsia" w:hAnsiTheme="minorHAnsi" w:cstheme="minorBidi"/>
          <w:noProof/>
          <w:sz w:val="22"/>
          <w:lang w:val="en-AU" w:eastAsia="en-AU"/>
        </w:rPr>
        <w:tab/>
      </w:r>
      <w:r>
        <w:rPr>
          <w:noProof/>
        </w:rPr>
        <w:t>&gt;750 MWh pa Commercial (HV and LV) tariffs</w:t>
      </w:r>
      <w:r>
        <w:rPr>
          <w:noProof/>
        </w:rPr>
        <w:tab/>
      </w:r>
      <w:r>
        <w:rPr>
          <w:noProof/>
        </w:rPr>
        <w:fldChar w:fldCharType="begin"/>
      </w:r>
      <w:r>
        <w:rPr>
          <w:noProof/>
        </w:rPr>
        <w:instrText xml:space="preserve"> PAGEREF _Toc418608690 \h </w:instrText>
      </w:r>
      <w:r>
        <w:rPr>
          <w:noProof/>
        </w:rPr>
      </w:r>
      <w:r>
        <w:rPr>
          <w:noProof/>
        </w:rPr>
        <w:fldChar w:fldCharType="separate"/>
      </w:r>
      <w:r w:rsidR="008D3215">
        <w:rPr>
          <w:noProof/>
        </w:rPr>
        <w:t>27</w:t>
      </w:r>
      <w:r>
        <w:rPr>
          <w:noProof/>
        </w:rPr>
        <w:fldChar w:fldCharType="end"/>
      </w:r>
    </w:p>
    <w:p w14:paraId="16AE8774"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11</w:t>
      </w:r>
      <w:r>
        <w:rPr>
          <w:rFonts w:asciiTheme="minorHAnsi" w:eastAsiaTheme="minorEastAsia" w:hAnsiTheme="minorHAnsi" w:cstheme="minorBidi"/>
          <w:b w:val="0"/>
          <w:noProof/>
          <w:sz w:val="22"/>
          <w:szCs w:val="22"/>
          <w:lang w:val="en-AU" w:eastAsia="en-AU"/>
        </w:rPr>
        <w:tab/>
      </w:r>
      <w:r>
        <w:rPr>
          <w:noProof/>
        </w:rPr>
        <w:t>Power Networks’ Revenue and Tariff Changes – 2015/16</w:t>
      </w:r>
      <w:r>
        <w:rPr>
          <w:noProof/>
        </w:rPr>
        <w:tab/>
      </w:r>
      <w:r>
        <w:rPr>
          <w:noProof/>
        </w:rPr>
        <w:fldChar w:fldCharType="begin"/>
      </w:r>
      <w:r>
        <w:rPr>
          <w:noProof/>
        </w:rPr>
        <w:instrText xml:space="preserve"> PAGEREF _Toc418608691 \h </w:instrText>
      </w:r>
      <w:r>
        <w:rPr>
          <w:noProof/>
        </w:rPr>
      </w:r>
      <w:r>
        <w:rPr>
          <w:noProof/>
        </w:rPr>
        <w:fldChar w:fldCharType="separate"/>
      </w:r>
      <w:r w:rsidR="008D3215">
        <w:rPr>
          <w:noProof/>
        </w:rPr>
        <w:t>28</w:t>
      </w:r>
      <w:r>
        <w:rPr>
          <w:noProof/>
        </w:rPr>
        <w:fldChar w:fldCharType="end"/>
      </w:r>
    </w:p>
    <w:p w14:paraId="408F1E98"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11.1</w:t>
      </w:r>
      <w:r>
        <w:rPr>
          <w:rFonts w:asciiTheme="minorHAnsi" w:eastAsiaTheme="minorEastAsia" w:hAnsiTheme="minorHAnsi" w:cstheme="minorBidi"/>
          <w:noProof/>
          <w:sz w:val="22"/>
          <w:lang w:val="en-AU" w:eastAsia="en-AU"/>
        </w:rPr>
        <w:tab/>
      </w:r>
      <w:r>
        <w:rPr>
          <w:noProof/>
        </w:rPr>
        <w:t>Network standard control revenue for 2015/16</w:t>
      </w:r>
      <w:r>
        <w:rPr>
          <w:noProof/>
        </w:rPr>
        <w:tab/>
      </w:r>
      <w:r>
        <w:rPr>
          <w:noProof/>
        </w:rPr>
        <w:fldChar w:fldCharType="begin"/>
      </w:r>
      <w:r>
        <w:rPr>
          <w:noProof/>
        </w:rPr>
        <w:instrText xml:space="preserve"> PAGEREF _Toc418608692 \h </w:instrText>
      </w:r>
      <w:r>
        <w:rPr>
          <w:noProof/>
        </w:rPr>
      </w:r>
      <w:r>
        <w:rPr>
          <w:noProof/>
        </w:rPr>
        <w:fldChar w:fldCharType="separate"/>
      </w:r>
      <w:r w:rsidR="008D3215">
        <w:rPr>
          <w:noProof/>
        </w:rPr>
        <w:t>28</w:t>
      </w:r>
      <w:r>
        <w:rPr>
          <w:noProof/>
        </w:rPr>
        <w:fldChar w:fldCharType="end"/>
      </w:r>
    </w:p>
    <w:p w14:paraId="4D958290"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11.2</w:t>
      </w:r>
      <w:r>
        <w:rPr>
          <w:rFonts w:asciiTheme="minorHAnsi" w:eastAsiaTheme="minorEastAsia" w:hAnsiTheme="minorHAnsi" w:cstheme="minorBidi"/>
          <w:noProof/>
          <w:sz w:val="22"/>
          <w:lang w:val="en-AU" w:eastAsia="en-AU"/>
        </w:rPr>
        <w:tab/>
      </w:r>
      <w:r>
        <w:rPr>
          <w:noProof/>
        </w:rPr>
        <w:t>Network tariff changes for 2015/16</w:t>
      </w:r>
      <w:r>
        <w:rPr>
          <w:noProof/>
        </w:rPr>
        <w:tab/>
      </w:r>
      <w:r>
        <w:rPr>
          <w:noProof/>
        </w:rPr>
        <w:fldChar w:fldCharType="begin"/>
      </w:r>
      <w:r>
        <w:rPr>
          <w:noProof/>
        </w:rPr>
        <w:instrText xml:space="preserve"> PAGEREF _Toc418608693 \h </w:instrText>
      </w:r>
      <w:r>
        <w:rPr>
          <w:noProof/>
        </w:rPr>
      </w:r>
      <w:r>
        <w:rPr>
          <w:noProof/>
        </w:rPr>
        <w:fldChar w:fldCharType="separate"/>
      </w:r>
      <w:r w:rsidR="008D3215">
        <w:rPr>
          <w:noProof/>
        </w:rPr>
        <w:t>28</w:t>
      </w:r>
      <w:r>
        <w:rPr>
          <w:noProof/>
        </w:rPr>
        <w:fldChar w:fldCharType="end"/>
      </w:r>
    </w:p>
    <w:p w14:paraId="7BBEA3E1"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12</w:t>
      </w:r>
      <w:r>
        <w:rPr>
          <w:rFonts w:asciiTheme="minorHAnsi" w:eastAsiaTheme="minorEastAsia" w:hAnsiTheme="minorHAnsi" w:cstheme="minorBidi"/>
          <w:b w:val="0"/>
          <w:noProof/>
          <w:sz w:val="22"/>
          <w:szCs w:val="22"/>
          <w:lang w:val="en-AU" w:eastAsia="en-AU"/>
        </w:rPr>
        <w:tab/>
      </w:r>
      <w:r>
        <w:rPr>
          <w:noProof/>
        </w:rPr>
        <w:t>Customer Impacts</w:t>
      </w:r>
      <w:r>
        <w:rPr>
          <w:noProof/>
        </w:rPr>
        <w:tab/>
      </w:r>
      <w:r>
        <w:rPr>
          <w:noProof/>
        </w:rPr>
        <w:fldChar w:fldCharType="begin"/>
      </w:r>
      <w:r>
        <w:rPr>
          <w:noProof/>
        </w:rPr>
        <w:instrText xml:space="preserve"> PAGEREF _Toc418608694 \h </w:instrText>
      </w:r>
      <w:r>
        <w:rPr>
          <w:noProof/>
        </w:rPr>
      </w:r>
      <w:r>
        <w:rPr>
          <w:noProof/>
        </w:rPr>
        <w:fldChar w:fldCharType="separate"/>
      </w:r>
      <w:r w:rsidR="008D3215">
        <w:rPr>
          <w:noProof/>
        </w:rPr>
        <w:t>32</w:t>
      </w:r>
      <w:r>
        <w:rPr>
          <w:noProof/>
        </w:rPr>
        <w:fldChar w:fldCharType="end"/>
      </w:r>
    </w:p>
    <w:p w14:paraId="5BA1D936"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12.1</w:t>
      </w:r>
      <w:r>
        <w:rPr>
          <w:rFonts w:asciiTheme="minorHAnsi" w:eastAsiaTheme="minorEastAsia" w:hAnsiTheme="minorHAnsi" w:cstheme="minorBidi"/>
          <w:noProof/>
          <w:sz w:val="22"/>
          <w:lang w:val="en-AU" w:eastAsia="en-AU"/>
        </w:rPr>
        <w:tab/>
      </w:r>
      <w:r>
        <w:rPr>
          <w:noProof/>
        </w:rPr>
        <w:t>Indicative customer impact</w:t>
      </w:r>
      <w:r>
        <w:rPr>
          <w:noProof/>
        </w:rPr>
        <w:tab/>
      </w:r>
      <w:r>
        <w:rPr>
          <w:noProof/>
        </w:rPr>
        <w:fldChar w:fldCharType="begin"/>
      </w:r>
      <w:r>
        <w:rPr>
          <w:noProof/>
        </w:rPr>
        <w:instrText xml:space="preserve"> PAGEREF _Toc418608695 \h </w:instrText>
      </w:r>
      <w:r>
        <w:rPr>
          <w:noProof/>
        </w:rPr>
      </w:r>
      <w:r>
        <w:rPr>
          <w:noProof/>
        </w:rPr>
        <w:fldChar w:fldCharType="separate"/>
      </w:r>
      <w:r w:rsidR="008D3215">
        <w:rPr>
          <w:noProof/>
        </w:rPr>
        <w:t>32</w:t>
      </w:r>
      <w:r>
        <w:rPr>
          <w:noProof/>
        </w:rPr>
        <w:fldChar w:fldCharType="end"/>
      </w:r>
    </w:p>
    <w:p w14:paraId="6B16CACD"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12.2</w:t>
      </w:r>
      <w:r>
        <w:rPr>
          <w:rFonts w:asciiTheme="minorHAnsi" w:eastAsiaTheme="minorEastAsia" w:hAnsiTheme="minorHAnsi" w:cstheme="minorBidi"/>
          <w:noProof/>
          <w:sz w:val="22"/>
          <w:lang w:val="en-AU" w:eastAsia="en-AU"/>
        </w:rPr>
        <w:tab/>
      </w:r>
      <w:r>
        <w:rPr>
          <w:noProof/>
        </w:rPr>
        <w:t>Variations to tariffs</w:t>
      </w:r>
      <w:r>
        <w:rPr>
          <w:noProof/>
        </w:rPr>
        <w:tab/>
      </w:r>
      <w:r>
        <w:rPr>
          <w:noProof/>
        </w:rPr>
        <w:fldChar w:fldCharType="begin"/>
      </w:r>
      <w:r>
        <w:rPr>
          <w:noProof/>
        </w:rPr>
        <w:instrText xml:space="preserve"> PAGEREF _Toc418608696 \h </w:instrText>
      </w:r>
      <w:r>
        <w:rPr>
          <w:noProof/>
        </w:rPr>
      </w:r>
      <w:r>
        <w:rPr>
          <w:noProof/>
        </w:rPr>
        <w:fldChar w:fldCharType="separate"/>
      </w:r>
      <w:r w:rsidR="008D3215">
        <w:rPr>
          <w:noProof/>
        </w:rPr>
        <w:t>32</w:t>
      </w:r>
      <w:r>
        <w:rPr>
          <w:noProof/>
        </w:rPr>
        <w:fldChar w:fldCharType="end"/>
      </w:r>
    </w:p>
    <w:p w14:paraId="646F00AC"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13</w:t>
      </w:r>
      <w:r>
        <w:rPr>
          <w:rFonts w:asciiTheme="minorHAnsi" w:eastAsiaTheme="minorEastAsia" w:hAnsiTheme="minorHAnsi" w:cstheme="minorBidi"/>
          <w:b w:val="0"/>
          <w:noProof/>
          <w:sz w:val="22"/>
          <w:szCs w:val="22"/>
          <w:lang w:val="en-AU" w:eastAsia="en-AU"/>
        </w:rPr>
        <w:tab/>
      </w:r>
      <w:r>
        <w:rPr>
          <w:noProof/>
        </w:rPr>
        <w:t>Compliance</w:t>
      </w:r>
      <w:r>
        <w:rPr>
          <w:noProof/>
        </w:rPr>
        <w:tab/>
      </w:r>
      <w:r>
        <w:rPr>
          <w:noProof/>
        </w:rPr>
        <w:fldChar w:fldCharType="begin"/>
      </w:r>
      <w:r>
        <w:rPr>
          <w:noProof/>
        </w:rPr>
        <w:instrText xml:space="preserve"> PAGEREF _Toc418608697 \h </w:instrText>
      </w:r>
      <w:r>
        <w:rPr>
          <w:noProof/>
        </w:rPr>
      </w:r>
      <w:r>
        <w:rPr>
          <w:noProof/>
        </w:rPr>
        <w:fldChar w:fldCharType="separate"/>
      </w:r>
      <w:r w:rsidR="008D3215">
        <w:rPr>
          <w:noProof/>
        </w:rPr>
        <w:t>33</w:t>
      </w:r>
      <w:r>
        <w:rPr>
          <w:noProof/>
        </w:rPr>
        <w:fldChar w:fldCharType="end"/>
      </w:r>
    </w:p>
    <w:p w14:paraId="1179BD66"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13.1</w:t>
      </w:r>
      <w:r>
        <w:rPr>
          <w:rFonts w:asciiTheme="minorHAnsi" w:eastAsiaTheme="minorEastAsia" w:hAnsiTheme="minorHAnsi" w:cstheme="minorBidi"/>
          <w:noProof/>
          <w:sz w:val="22"/>
          <w:lang w:val="en-AU" w:eastAsia="en-AU"/>
        </w:rPr>
        <w:tab/>
      </w:r>
      <w:r>
        <w:rPr>
          <w:noProof/>
        </w:rPr>
        <w:t>Compliance with the revenue cap</w:t>
      </w:r>
      <w:r>
        <w:rPr>
          <w:noProof/>
        </w:rPr>
        <w:tab/>
      </w:r>
      <w:r>
        <w:rPr>
          <w:noProof/>
        </w:rPr>
        <w:fldChar w:fldCharType="begin"/>
      </w:r>
      <w:r>
        <w:rPr>
          <w:noProof/>
        </w:rPr>
        <w:instrText xml:space="preserve"> PAGEREF _Toc418608698 \h </w:instrText>
      </w:r>
      <w:r>
        <w:rPr>
          <w:noProof/>
        </w:rPr>
      </w:r>
      <w:r>
        <w:rPr>
          <w:noProof/>
        </w:rPr>
        <w:fldChar w:fldCharType="separate"/>
      </w:r>
      <w:r w:rsidR="008D3215">
        <w:rPr>
          <w:noProof/>
        </w:rPr>
        <w:t>33</w:t>
      </w:r>
      <w:r>
        <w:rPr>
          <w:noProof/>
        </w:rPr>
        <w:fldChar w:fldCharType="end"/>
      </w:r>
    </w:p>
    <w:p w14:paraId="0663AFA6"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lastRenderedPageBreak/>
        <w:t>13.2</w:t>
      </w:r>
      <w:r>
        <w:rPr>
          <w:rFonts w:asciiTheme="minorHAnsi" w:eastAsiaTheme="minorEastAsia" w:hAnsiTheme="minorHAnsi" w:cstheme="minorBidi"/>
          <w:noProof/>
          <w:sz w:val="22"/>
          <w:lang w:val="en-AU" w:eastAsia="en-AU"/>
        </w:rPr>
        <w:tab/>
      </w:r>
      <w:r>
        <w:rPr>
          <w:noProof/>
        </w:rPr>
        <w:t>Compliance with the tariff class side constraints</w:t>
      </w:r>
      <w:r>
        <w:rPr>
          <w:noProof/>
        </w:rPr>
        <w:tab/>
      </w:r>
      <w:r>
        <w:rPr>
          <w:noProof/>
        </w:rPr>
        <w:fldChar w:fldCharType="begin"/>
      </w:r>
      <w:r>
        <w:rPr>
          <w:noProof/>
        </w:rPr>
        <w:instrText xml:space="preserve"> PAGEREF _Toc418608699 \h </w:instrText>
      </w:r>
      <w:r>
        <w:rPr>
          <w:noProof/>
        </w:rPr>
      </w:r>
      <w:r>
        <w:rPr>
          <w:noProof/>
        </w:rPr>
        <w:fldChar w:fldCharType="separate"/>
      </w:r>
      <w:r w:rsidR="008D3215">
        <w:rPr>
          <w:noProof/>
        </w:rPr>
        <w:t>34</w:t>
      </w:r>
      <w:r>
        <w:rPr>
          <w:noProof/>
        </w:rPr>
        <w:fldChar w:fldCharType="end"/>
      </w:r>
    </w:p>
    <w:p w14:paraId="3956329F"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13.3</w:t>
      </w:r>
      <w:r>
        <w:rPr>
          <w:rFonts w:asciiTheme="minorHAnsi" w:eastAsiaTheme="minorEastAsia" w:hAnsiTheme="minorHAnsi" w:cstheme="minorBidi"/>
          <w:noProof/>
          <w:sz w:val="22"/>
          <w:lang w:val="en-AU" w:eastAsia="en-AU"/>
        </w:rPr>
        <w:tab/>
      </w:r>
      <w:r>
        <w:rPr>
          <w:noProof/>
        </w:rPr>
        <w:t>Compliance with LRMC, avoidable and stand alone cost requirements</w:t>
      </w:r>
      <w:r>
        <w:rPr>
          <w:noProof/>
        </w:rPr>
        <w:tab/>
      </w:r>
      <w:r>
        <w:rPr>
          <w:noProof/>
        </w:rPr>
        <w:fldChar w:fldCharType="begin"/>
      </w:r>
      <w:r>
        <w:rPr>
          <w:noProof/>
        </w:rPr>
        <w:instrText xml:space="preserve"> PAGEREF _Toc418608700 \h </w:instrText>
      </w:r>
      <w:r>
        <w:rPr>
          <w:noProof/>
        </w:rPr>
      </w:r>
      <w:r>
        <w:rPr>
          <w:noProof/>
        </w:rPr>
        <w:fldChar w:fldCharType="separate"/>
      </w:r>
      <w:r w:rsidR="008D3215">
        <w:rPr>
          <w:noProof/>
        </w:rPr>
        <w:t>34</w:t>
      </w:r>
      <w:r>
        <w:rPr>
          <w:noProof/>
        </w:rPr>
        <w:fldChar w:fldCharType="end"/>
      </w:r>
    </w:p>
    <w:p w14:paraId="3AE0C3E5"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13.4</w:t>
      </w:r>
      <w:r>
        <w:rPr>
          <w:rFonts w:asciiTheme="minorHAnsi" w:eastAsiaTheme="minorEastAsia" w:hAnsiTheme="minorHAnsi" w:cstheme="minorBidi"/>
          <w:noProof/>
          <w:sz w:val="22"/>
          <w:lang w:val="en-AU" w:eastAsia="en-AU"/>
        </w:rPr>
        <w:tab/>
      </w:r>
      <w:r>
        <w:rPr>
          <w:noProof/>
        </w:rPr>
        <w:t>Transaction costs</w:t>
      </w:r>
      <w:r>
        <w:rPr>
          <w:noProof/>
        </w:rPr>
        <w:tab/>
      </w:r>
      <w:r>
        <w:rPr>
          <w:noProof/>
        </w:rPr>
        <w:fldChar w:fldCharType="begin"/>
      </w:r>
      <w:r>
        <w:rPr>
          <w:noProof/>
        </w:rPr>
        <w:instrText xml:space="preserve"> PAGEREF _Toc418608701 \h </w:instrText>
      </w:r>
      <w:r>
        <w:rPr>
          <w:noProof/>
        </w:rPr>
      </w:r>
      <w:r>
        <w:rPr>
          <w:noProof/>
        </w:rPr>
        <w:fldChar w:fldCharType="separate"/>
      </w:r>
      <w:r w:rsidR="008D3215">
        <w:rPr>
          <w:noProof/>
        </w:rPr>
        <w:t>36</w:t>
      </w:r>
      <w:r>
        <w:rPr>
          <w:noProof/>
        </w:rPr>
        <w:fldChar w:fldCharType="end"/>
      </w:r>
    </w:p>
    <w:p w14:paraId="5BC802A1" w14:textId="77777777" w:rsidR="00AD5F5F" w:rsidRDefault="00AD5F5F">
      <w:pPr>
        <w:pStyle w:val="TOC2"/>
        <w:tabs>
          <w:tab w:val="left" w:pos="1100"/>
          <w:tab w:val="right" w:leader="dot" w:pos="9016"/>
        </w:tabs>
        <w:rPr>
          <w:rFonts w:asciiTheme="minorHAnsi" w:eastAsiaTheme="minorEastAsia" w:hAnsiTheme="minorHAnsi" w:cstheme="minorBidi"/>
          <w:noProof/>
          <w:sz w:val="22"/>
          <w:lang w:val="en-AU" w:eastAsia="en-AU"/>
        </w:rPr>
      </w:pPr>
      <w:r>
        <w:rPr>
          <w:noProof/>
        </w:rPr>
        <w:t>13.5</w:t>
      </w:r>
      <w:r>
        <w:rPr>
          <w:rFonts w:asciiTheme="minorHAnsi" w:eastAsiaTheme="minorEastAsia" w:hAnsiTheme="minorHAnsi" w:cstheme="minorBidi"/>
          <w:noProof/>
          <w:sz w:val="22"/>
          <w:lang w:val="en-AU" w:eastAsia="en-AU"/>
        </w:rPr>
        <w:tab/>
      </w:r>
      <w:r>
        <w:rPr>
          <w:noProof/>
        </w:rPr>
        <w:t>Response to price signals</w:t>
      </w:r>
      <w:r>
        <w:rPr>
          <w:noProof/>
        </w:rPr>
        <w:tab/>
      </w:r>
      <w:r>
        <w:rPr>
          <w:noProof/>
        </w:rPr>
        <w:fldChar w:fldCharType="begin"/>
      </w:r>
      <w:r>
        <w:rPr>
          <w:noProof/>
        </w:rPr>
        <w:instrText xml:space="preserve"> PAGEREF _Toc418608702 \h </w:instrText>
      </w:r>
      <w:r>
        <w:rPr>
          <w:noProof/>
        </w:rPr>
      </w:r>
      <w:r>
        <w:rPr>
          <w:noProof/>
        </w:rPr>
        <w:fldChar w:fldCharType="separate"/>
      </w:r>
      <w:r w:rsidR="008D3215">
        <w:rPr>
          <w:noProof/>
        </w:rPr>
        <w:t>36</w:t>
      </w:r>
      <w:r>
        <w:rPr>
          <w:noProof/>
        </w:rPr>
        <w:fldChar w:fldCharType="end"/>
      </w:r>
    </w:p>
    <w:p w14:paraId="2319BD8C"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14</w:t>
      </w:r>
      <w:r>
        <w:rPr>
          <w:rFonts w:asciiTheme="minorHAnsi" w:eastAsiaTheme="minorEastAsia" w:hAnsiTheme="minorHAnsi" w:cstheme="minorBidi"/>
          <w:b w:val="0"/>
          <w:noProof/>
          <w:sz w:val="22"/>
          <w:szCs w:val="22"/>
          <w:lang w:val="en-AU" w:eastAsia="en-AU"/>
        </w:rPr>
        <w:tab/>
      </w:r>
      <w:r>
        <w:rPr>
          <w:noProof/>
        </w:rPr>
        <w:t>Price Modelling</w:t>
      </w:r>
      <w:r>
        <w:rPr>
          <w:noProof/>
        </w:rPr>
        <w:tab/>
      </w:r>
      <w:r>
        <w:rPr>
          <w:noProof/>
        </w:rPr>
        <w:fldChar w:fldCharType="begin"/>
      </w:r>
      <w:r>
        <w:rPr>
          <w:noProof/>
        </w:rPr>
        <w:instrText xml:space="preserve"> PAGEREF _Toc418608703 \h </w:instrText>
      </w:r>
      <w:r>
        <w:rPr>
          <w:noProof/>
        </w:rPr>
      </w:r>
      <w:r>
        <w:rPr>
          <w:noProof/>
        </w:rPr>
        <w:fldChar w:fldCharType="separate"/>
      </w:r>
      <w:r w:rsidR="008D3215">
        <w:rPr>
          <w:noProof/>
        </w:rPr>
        <w:t>37</w:t>
      </w:r>
      <w:r>
        <w:rPr>
          <w:noProof/>
        </w:rPr>
        <w:fldChar w:fldCharType="end"/>
      </w:r>
    </w:p>
    <w:p w14:paraId="2D895C48"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Part C: Attachments</w:t>
      </w:r>
      <w:r>
        <w:rPr>
          <w:noProof/>
        </w:rPr>
        <w:tab/>
      </w:r>
      <w:r>
        <w:rPr>
          <w:noProof/>
        </w:rPr>
        <w:fldChar w:fldCharType="begin"/>
      </w:r>
      <w:r>
        <w:rPr>
          <w:noProof/>
        </w:rPr>
        <w:instrText xml:space="preserve"> PAGEREF _Toc418608704 \h </w:instrText>
      </w:r>
      <w:r>
        <w:rPr>
          <w:noProof/>
        </w:rPr>
      </w:r>
      <w:r>
        <w:rPr>
          <w:noProof/>
        </w:rPr>
        <w:fldChar w:fldCharType="separate"/>
      </w:r>
      <w:r w:rsidR="008D3215">
        <w:rPr>
          <w:noProof/>
        </w:rPr>
        <w:t>38</w:t>
      </w:r>
      <w:r>
        <w:rPr>
          <w:noProof/>
        </w:rPr>
        <w:fldChar w:fldCharType="end"/>
      </w:r>
    </w:p>
    <w:p w14:paraId="09A60762"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Attachment 1 – Network Service Classification</w:t>
      </w:r>
      <w:r>
        <w:rPr>
          <w:noProof/>
        </w:rPr>
        <w:tab/>
      </w:r>
      <w:r>
        <w:rPr>
          <w:noProof/>
        </w:rPr>
        <w:fldChar w:fldCharType="begin"/>
      </w:r>
      <w:r>
        <w:rPr>
          <w:noProof/>
        </w:rPr>
        <w:instrText xml:space="preserve"> PAGEREF _Toc418608705 \h </w:instrText>
      </w:r>
      <w:r>
        <w:rPr>
          <w:noProof/>
        </w:rPr>
      </w:r>
      <w:r>
        <w:rPr>
          <w:noProof/>
        </w:rPr>
        <w:fldChar w:fldCharType="separate"/>
      </w:r>
      <w:r w:rsidR="008D3215">
        <w:rPr>
          <w:noProof/>
        </w:rPr>
        <w:t>38</w:t>
      </w:r>
      <w:r>
        <w:rPr>
          <w:noProof/>
        </w:rPr>
        <w:fldChar w:fldCharType="end"/>
      </w:r>
    </w:p>
    <w:p w14:paraId="4175EA2E"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Attachment 2 – Cost of Supply Modelling</w:t>
      </w:r>
      <w:r>
        <w:rPr>
          <w:noProof/>
        </w:rPr>
        <w:tab/>
      </w:r>
      <w:r>
        <w:rPr>
          <w:noProof/>
        </w:rPr>
        <w:fldChar w:fldCharType="begin"/>
      </w:r>
      <w:r>
        <w:rPr>
          <w:noProof/>
        </w:rPr>
        <w:instrText xml:space="preserve"> PAGEREF _Toc418608706 \h </w:instrText>
      </w:r>
      <w:r>
        <w:rPr>
          <w:noProof/>
        </w:rPr>
      </w:r>
      <w:r>
        <w:rPr>
          <w:noProof/>
        </w:rPr>
        <w:fldChar w:fldCharType="separate"/>
      </w:r>
      <w:r w:rsidR="008D3215">
        <w:rPr>
          <w:noProof/>
        </w:rPr>
        <w:t>43</w:t>
      </w:r>
      <w:r>
        <w:rPr>
          <w:noProof/>
        </w:rPr>
        <w:fldChar w:fldCharType="end"/>
      </w:r>
    </w:p>
    <w:p w14:paraId="63A5CDA9"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Attachment 3 – Tariffs for 2015/16</w:t>
      </w:r>
      <w:r>
        <w:rPr>
          <w:noProof/>
        </w:rPr>
        <w:tab/>
      </w:r>
      <w:r>
        <w:rPr>
          <w:noProof/>
        </w:rPr>
        <w:fldChar w:fldCharType="begin"/>
      </w:r>
      <w:r>
        <w:rPr>
          <w:noProof/>
        </w:rPr>
        <w:instrText xml:space="preserve"> PAGEREF _Toc418608707 \h </w:instrText>
      </w:r>
      <w:r>
        <w:rPr>
          <w:noProof/>
        </w:rPr>
      </w:r>
      <w:r>
        <w:rPr>
          <w:noProof/>
        </w:rPr>
        <w:fldChar w:fldCharType="separate"/>
      </w:r>
      <w:r w:rsidR="008D3215">
        <w:rPr>
          <w:noProof/>
        </w:rPr>
        <w:t>50</w:t>
      </w:r>
      <w:r>
        <w:rPr>
          <w:noProof/>
        </w:rPr>
        <w:fldChar w:fldCharType="end"/>
      </w:r>
    </w:p>
    <w:p w14:paraId="6ACFBC43"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Attachment 4 – Compliance Checklist</w:t>
      </w:r>
      <w:r>
        <w:rPr>
          <w:noProof/>
        </w:rPr>
        <w:tab/>
      </w:r>
      <w:r>
        <w:rPr>
          <w:noProof/>
        </w:rPr>
        <w:fldChar w:fldCharType="begin"/>
      </w:r>
      <w:r>
        <w:rPr>
          <w:noProof/>
        </w:rPr>
        <w:instrText xml:space="preserve"> PAGEREF _Toc418608708 \h </w:instrText>
      </w:r>
      <w:r>
        <w:rPr>
          <w:noProof/>
        </w:rPr>
      </w:r>
      <w:r>
        <w:rPr>
          <w:noProof/>
        </w:rPr>
        <w:fldChar w:fldCharType="separate"/>
      </w:r>
      <w:r w:rsidR="008D3215">
        <w:rPr>
          <w:noProof/>
        </w:rPr>
        <w:t>53</w:t>
      </w:r>
      <w:r>
        <w:rPr>
          <w:noProof/>
        </w:rPr>
        <w:fldChar w:fldCharType="end"/>
      </w:r>
    </w:p>
    <w:p w14:paraId="3E763773" w14:textId="77777777" w:rsidR="00AD5F5F" w:rsidRDefault="00AD5F5F">
      <w:pPr>
        <w:pStyle w:val="TOC1"/>
        <w:rPr>
          <w:rFonts w:asciiTheme="minorHAnsi" w:eastAsiaTheme="minorEastAsia" w:hAnsiTheme="minorHAnsi" w:cstheme="minorBidi"/>
          <w:b w:val="0"/>
          <w:noProof/>
          <w:sz w:val="22"/>
          <w:szCs w:val="22"/>
          <w:lang w:val="en-AU" w:eastAsia="en-AU"/>
        </w:rPr>
      </w:pPr>
      <w:r>
        <w:rPr>
          <w:noProof/>
        </w:rPr>
        <w:t>Attachment 5 – Glossary</w:t>
      </w:r>
      <w:r>
        <w:rPr>
          <w:noProof/>
        </w:rPr>
        <w:tab/>
      </w:r>
      <w:r>
        <w:rPr>
          <w:noProof/>
        </w:rPr>
        <w:fldChar w:fldCharType="begin"/>
      </w:r>
      <w:r>
        <w:rPr>
          <w:noProof/>
        </w:rPr>
        <w:instrText xml:space="preserve"> PAGEREF _Toc418608709 \h </w:instrText>
      </w:r>
      <w:r>
        <w:rPr>
          <w:noProof/>
        </w:rPr>
      </w:r>
      <w:r>
        <w:rPr>
          <w:noProof/>
        </w:rPr>
        <w:fldChar w:fldCharType="separate"/>
      </w:r>
      <w:r w:rsidR="008D3215">
        <w:rPr>
          <w:noProof/>
        </w:rPr>
        <w:t>59</w:t>
      </w:r>
      <w:r>
        <w:rPr>
          <w:noProof/>
        </w:rPr>
        <w:fldChar w:fldCharType="end"/>
      </w:r>
    </w:p>
    <w:p w14:paraId="5CEEA16C" w14:textId="3F0CC777" w:rsidR="00CC3585" w:rsidRPr="004360BF" w:rsidRDefault="00B30BF6" w:rsidP="000955C1">
      <w:pPr>
        <w:spacing w:after="0"/>
        <w:rPr>
          <w:b/>
          <w:lang w:val="en-AU"/>
        </w:rPr>
        <w:sectPr w:rsidR="00CC3585" w:rsidRPr="004360BF" w:rsidSect="00B30BF6">
          <w:type w:val="oddPage"/>
          <w:pgSz w:w="11906" w:h="16838"/>
          <w:pgMar w:top="1276" w:right="1440" w:bottom="1440" w:left="1440" w:header="709" w:footer="709" w:gutter="0"/>
          <w:pgNumType w:start="1"/>
          <w:cols w:space="708"/>
          <w:titlePg/>
          <w:docGrid w:linePitch="360"/>
        </w:sectPr>
      </w:pPr>
      <w:r w:rsidRPr="004360BF">
        <w:rPr>
          <w:rFonts w:cs="Tahoma"/>
          <w:highlight w:val="yellow"/>
          <w:lang w:val="en-AU"/>
        </w:rPr>
        <w:fldChar w:fldCharType="end"/>
      </w:r>
      <w:r w:rsidR="008120F4" w:rsidRPr="004360BF" w:rsidDel="008120F4">
        <w:rPr>
          <w:lang w:val="en-AU"/>
        </w:rPr>
        <w:t xml:space="preserve"> </w:t>
      </w:r>
      <w:bookmarkStart w:id="7" w:name="_Toc387600442"/>
      <w:bookmarkStart w:id="8" w:name="_Toc417291224"/>
      <w:bookmarkStart w:id="9" w:name="_Toc417291714"/>
      <w:bookmarkStart w:id="10" w:name="_Toc417292482"/>
      <w:bookmarkStart w:id="11" w:name="_Ref214623393"/>
    </w:p>
    <w:p w14:paraId="4280BCF6" w14:textId="4F2516F5" w:rsidR="00C24855" w:rsidRPr="004360BF" w:rsidRDefault="00C24855" w:rsidP="00B30BF6">
      <w:pPr>
        <w:pStyle w:val="Heading1"/>
      </w:pPr>
      <w:bookmarkStart w:id="12" w:name="_Toc291262207"/>
      <w:bookmarkStart w:id="13" w:name="_Toc417457987"/>
      <w:bookmarkStart w:id="14" w:name="_Toc418608656"/>
      <w:r w:rsidRPr="004360BF">
        <w:lastRenderedPageBreak/>
        <w:t>Background</w:t>
      </w:r>
      <w:bookmarkEnd w:id="7"/>
      <w:bookmarkEnd w:id="8"/>
      <w:bookmarkEnd w:id="9"/>
      <w:bookmarkEnd w:id="10"/>
      <w:bookmarkEnd w:id="12"/>
      <w:bookmarkEnd w:id="13"/>
      <w:bookmarkEnd w:id="14"/>
    </w:p>
    <w:p w14:paraId="5FDDEF59" w14:textId="77777777" w:rsidR="00C24855" w:rsidRPr="004360BF" w:rsidRDefault="00C24855" w:rsidP="00B30BF6">
      <w:pPr>
        <w:pStyle w:val="Heading2"/>
      </w:pPr>
      <w:bookmarkStart w:id="15" w:name="_Toc387600444"/>
      <w:bookmarkStart w:id="16" w:name="_Toc417291225"/>
      <w:bookmarkStart w:id="17" w:name="_Toc417291715"/>
      <w:bookmarkStart w:id="18" w:name="_Toc417292483"/>
      <w:bookmarkStart w:id="19" w:name="_Toc291262208"/>
      <w:bookmarkStart w:id="20" w:name="_Toc417457988"/>
      <w:bookmarkStart w:id="21" w:name="_Toc418608657"/>
      <w:r w:rsidRPr="004360BF">
        <w:t>Northern Territory legislation and National Electricity Rules</w:t>
      </w:r>
      <w:bookmarkEnd w:id="15"/>
      <w:bookmarkEnd w:id="16"/>
      <w:bookmarkEnd w:id="17"/>
      <w:bookmarkEnd w:id="18"/>
      <w:bookmarkEnd w:id="19"/>
      <w:bookmarkEnd w:id="20"/>
      <w:bookmarkEnd w:id="21"/>
      <w:r w:rsidRPr="004360BF">
        <w:t xml:space="preserve"> </w:t>
      </w:r>
    </w:p>
    <w:p w14:paraId="60341C32" w14:textId="77777777" w:rsidR="00C24855" w:rsidRPr="004360BF" w:rsidRDefault="00C24855" w:rsidP="00C24855">
      <w:pPr>
        <w:rPr>
          <w:lang w:val="en-AU"/>
        </w:rPr>
      </w:pPr>
      <w:r w:rsidRPr="004360BF">
        <w:rPr>
          <w:lang w:val="en-AU"/>
        </w:rPr>
        <w:t xml:space="preserve">Clause 9 of the </w:t>
      </w:r>
      <w:r w:rsidRPr="004360BF">
        <w:rPr>
          <w:i/>
          <w:lang w:val="en-AU"/>
        </w:rPr>
        <w:t>Northern Territory Electricity Networks (Third Party Access) Act</w:t>
      </w:r>
      <w:r w:rsidRPr="004360BF">
        <w:rPr>
          <w:lang w:val="en-AU"/>
        </w:rPr>
        <w:t xml:space="preserve"> establishes the Utilities Commission (the Commission) as the jurisdictional regulator and empowers it to monitor and enforce compliance with the Electricity Networks (Third Party Access) Code (TPA Code). The TPA Code sets out the respective responsibilities of the Commission and of Power Networks and includes provisions on the regulation and pricing of standard network access services.</w:t>
      </w:r>
    </w:p>
    <w:p w14:paraId="4A2A9576" w14:textId="77777777" w:rsidR="00C24855" w:rsidRPr="004360BF" w:rsidRDefault="00C24855" w:rsidP="00EE7AA1">
      <w:pPr>
        <w:pStyle w:val="Heading3"/>
      </w:pPr>
      <w:bookmarkStart w:id="22" w:name="_Toc417291716"/>
      <w:bookmarkStart w:id="23" w:name="_Toc417292484"/>
      <w:bookmarkStart w:id="24" w:name="_Toc291262209"/>
      <w:r w:rsidRPr="004360BF">
        <w:t>Network Pricing Principles Statement</w:t>
      </w:r>
      <w:bookmarkEnd w:id="22"/>
      <w:bookmarkEnd w:id="23"/>
      <w:bookmarkEnd w:id="24"/>
      <w:r w:rsidRPr="004360BF">
        <w:t xml:space="preserve"> </w:t>
      </w:r>
    </w:p>
    <w:p w14:paraId="5EB4ADE7" w14:textId="411947E4" w:rsidR="00C24855" w:rsidRPr="004360BF" w:rsidRDefault="00C24855" w:rsidP="00C24855">
      <w:pPr>
        <w:rPr>
          <w:lang w:val="en-AU"/>
        </w:rPr>
      </w:pPr>
      <w:r w:rsidRPr="004360BF">
        <w:rPr>
          <w:lang w:val="en-AU"/>
        </w:rPr>
        <w:t>The TPA Code requires that Power Networks provide the Commission with a statement, for approval, setting out the details of the principles and methods used for defining the individual standard network access services to be supplied by the network providers and for establishing the reference tariffs to apply to those services</w:t>
      </w:r>
      <w:r w:rsidRPr="004360BF">
        <w:rPr>
          <w:rStyle w:val="FootnoteReference"/>
          <w:lang w:val="en-AU"/>
        </w:rPr>
        <w:footnoteReference w:id="8"/>
      </w:r>
      <w:r w:rsidRPr="004360BF">
        <w:rPr>
          <w:lang w:val="en-AU"/>
        </w:rPr>
        <w:t>. This is referred to as the Network Pricing Principles Statement (NPPS)</w:t>
      </w:r>
      <w:r w:rsidR="00933A97" w:rsidRPr="004360BF">
        <w:rPr>
          <w:lang w:val="en-AU"/>
        </w:rPr>
        <w:t xml:space="preserve"> and the Commission approved it at the commencement of the 2014-19 regulatory </w:t>
      </w:r>
      <w:r w:rsidR="003D1697" w:rsidRPr="004360BF">
        <w:rPr>
          <w:lang w:val="en-AU"/>
        </w:rPr>
        <w:t xml:space="preserve">control </w:t>
      </w:r>
      <w:proofErr w:type="gramStart"/>
      <w:r w:rsidR="00933A97" w:rsidRPr="004360BF">
        <w:rPr>
          <w:lang w:val="en-AU"/>
        </w:rPr>
        <w:t>period</w:t>
      </w:r>
      <w:proofErr w:type="gramEnd"/>
      <w:r w:rsidR="00933A97" w:rsidRPr="004360BF">
        <w:rPr>
          <w:lang w:val="en-AU"/>
        </w:rPr>
        <w:t>, in 2014/15</w:t>
      </w:r>
      <w:r w:rsidRPr="004360BF">
        <w:rPr>
          <w:lang w:val="en-AU"/>
        </w:rPr>
        <w:t>.</w:t>
      </w:r>
      <w:r w:rsidR="00933A97" w:rsidRPr="004360BF">
        <w:rPr>
          <w:lang w:val="en-AU"/>
        </w:rPr>
        <w:t xml:space="preserve">  It is replicated here in summary form in order to provide the necessary context for the 2015/16 Network Pricing Proposal.</w:t>
      </w:r>
    </w:p>
    <w:p w14:paraId="54804F2F" w14:textId="77777777" w:rsidR="00C24855" w:rsidRPr="004360BF" w:rsidRDefault="00C24855" w:rsidP="00EC6F00">
      <w:pPr>
        <w:pStyle w:val="Heading3"/>
      </w:pPr>
      <w:bookmarkStart w:id="25" w:name="_Toc417291717"/>
      <w:bookmarkStart w:id="26" w:name="_Toc417292485"/>
      <w:bookmarkStart w:id="27" w:name="_Toc291262210"/>
      <w:r w:rsidRPr="004360BF">
        <w:t>Network Pricing Proposal</w:t>
      </w:r>
      <w:bookmarkEnd w:id="25"/>
      <w:bookmarkEnd w:id="26"/>
      <w:bookmarkEnd w:id="27"/>
      <w:r w:rsidRPr="004360BF">
        <w:t xml:space="preserve"> </w:t>
      </w:r>
    </w:p>
    <w:p w14:paraId="596A96DD" w14:textId="77777777" w:rsidR="00C24855" w:rsidRPr="004360BF" w:rsidRDefault="00C24855" w:rsidP="00C24855">
      <w:pPr>
        <w:rPr>
          <w:lang w:val="en-AU"/>
        </w:rPr>
      </w:pPr>
      <w:r w:rsidRPr="004360BF">
        <w:rPr>
          <w:lang w:val="en-AU"/>
        </w:rPr>
        <w:t>The TPA Code further requires that Power Networks provide the Commission with a statement, for approval, setting out proposed standard control network tariffs for the forthcoming regulatory year, including a statement detailing how the standard control network tariffs have been calculated by application of the principles in the TPA Code</w:t>
      </w:r>
      <w:r w:rsidRPr="004360BF">
        <w:rPr>
          <w:rStyle w:val="FootnoteReference"/>
          <w:lang w:val="en-AU"/>
        </w:rPr>
        <w:footnoteReference w:id="9"/>
      </w:r>
      <w:r w:rsidRPr="004360BF">
        <w:rPr>
          <w:lang w:val="en-AU"/>
        </w:rPr>
        <w:t>. The RIN outlines the requirements of the Network Pricing Proposal</w:t>
      </w:r>
      <w:r w:rsidRPr="004360BF">
        <w:rPr>
          <w:rStyle w:val="FootnoteReference"/>
          <w:lang w:val="en-AU"/>
        </w:rPr>
        <w:footnoteReference w:id="10"/>
      </w:r>
      <w:r w:rsidRPr="004360BF">
        <w:rPr>
          <w:lang w:val="en-AU"/>
        </w:rPr>
        <w:t xml:space="preserve">, addressing many of the matters required by a Pricing Proposal in Chapter 6 (Part I) of the Rules. </w:t>
      </w:r>
    </w:p>
    <w:p w14:paraId="692A7F7D" w14:textId="77777777" w:rsidR="00C24855" w:rsidRPr="004360BF" w:rsidRDefault="00C24855" w:rsidP="00C24855">
      <w:pPr>
        <w:spacing w:after="0"/>
        <w:rPr>
          <w:lang w:val="en-AU"/>
        </w:rPr>
      </w:pPr>
      <w:r w:rsidRPr="004360BF">
        <w:rPr>
          <w:lang w:val="en-AU"/>
        </w:rPr>
        <w:br w:type="page"/>
      </w:r>
    </w:p>
    <w:p w14:paraId="1E69CB22" w14:textId="77777777" w:rsidR="00C24855" w:rsidRPr="004360BF" w:rsidRDefault="00C24855" w:rsidP="00B30BF6">
      <w:pPr>
        <w:pStyle w:val="Heading2"/>
      </w:pPr>
      <w:bookmarkStart w:id="28" w:name="_Toc387600445"/>
      <w:bookmarkStart w:id="29" w:name="_Toc417291226"/>
      <w:bookmarkStart w:id="30" w:name="_Toc417291718"/>
      <w:bookmarkStart w:id="31" w:name="_Toc417292486"/>
      <w:bookmarkStart w:id="32" w:name="_Toc291262211"/>
      <w:bookmarkStart w:id="33" w:name="_Toc417457989"/>
      <w:bookmarkStart w:id="34" w:name="_Toc418608658"/>
      <w:r w:rsidRPr="004360BF">
        <w:lastRenderedPageBreak/>
        <w:t>Structure of Power Networks’ NPPS and Network Pricing Proposal</w:t>
      </w:r>
      <w:bookmarkEnd w:id="28"/>
      <w:bookmarkEnd w:id="29"/>
      <w:bookmarkEnd w:id="30"/>
      <w:bookmarkEnd w:id="31"/>
      <w:bookmarkEnd w:id="32"/>
      <w:bookmarkEnd w:id="33"/>
      <w:bookmarkEnd w:id="34"/>
    </w:p>
    <w:p w14:paraId="5BA2A055" w14:textId="555FB884" w:rsidR="00C24855" w:rsidRPr="004360BF" w:rsidRDefault="00C24855" w:rsidP="00C24855">
      <w:pPr>
        <w:rPr>
          <w:lang w:val="en-AU"/>
        </w:rPr>
      </w:pPr>
      <w:r w:rsidRPr="004360BF">
        <w:rPr>
          <w:lang w:val="en-AU"/>
        </w:rPr>
        <w:t>The structure of Power Networks’ NPPS and 2015/16 Netw</w:t>
      </w:r>
      <w:r w:rsidR="00656CF7" w:rsidRPr="004360BF">
        <w:rPr>
          <w:lang w:val="en-AU"/>
        </w:rPr>
        <w:t xml:space="preserve">ork Pricing Proposal is represented </w:t>
      </w:r>
      <w:r w:rsidR="00B30BF6" w:rsidRPr="004360BF">
        <w:rPr>
          <w:lang w:val="en-AU"/>
        </w:rPr>
        <w:t xml:space="preserve">in </w:t>
      </w:r>
      <w:r w:rsidR="00CC1083" w:rsidRPr="004360BF">
        <w:rPr>
          <w:lang w:val="en-AU"/>
        </w:rPr>
        <w:fldChar w:fldCharType="begin"/>
      </w:r>
      <w:r w:rsidR="00CC1083" w:rsidRPr="004360BF">
        <w:rPr>
          <w:lang w:val="en-AU"/>
        </w:rPr>
        <w:instrText xml:space="preserve"> REF _Ref291258231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1</w:t>
      </w:r>
      <w:r w:rsidR="00CC1083" w:rsidRPr="004360BF">
        <w:rPr>
          <w:lang w:val="en-AU"/>
        </w:rPr>
        <w:fldChar w:fldCharType="end"/>
      </w:r>
      <w:r w:rsidRPr="004360BF">
        <w:rPr>
          <w:lang w:val="en-AU"/>
        </w:rPr>
        <w:t xml:space="preserve">. </w:t>
      </w:r>
    </w:p>
    <w:p w14:paraId="08EDB393" w14:textId="77777777" w:rsidR="00C24855" w:rsidRPr="004360BF" w:rsidRDefault="00C24855" w:rsidP="00C24855">
      <w:pPr>
        <w:pStyle w:val="Caption"/>
        <w:rPr>
          <w:lang w:val="en-AU"/>
        </w:rPr>
      </w:pPr>
      <w:bookmarkStart w:id="35" w:name="_Ref291258231"/>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1</w:t>
      </w:r>
      <w:r w:rsidR="00517DD9" w:rsidRPr="004360BF">
        <w:rPr>
          <w:lang w:val="en-AU"/>
        </w:rPr>
        <w:fldChar w:fldCharType="end"/>
      </w:r>
      <w:bookmarkEnd w:id="35"/>
      <w:r w:rsidRPr="004360BF">
        <w:rPr>
          <w:lang w:val="en-AU"/>
        </w:rPr>
        <w:t xml:space="preserve"> – Structure of the NPPS and 2015/16 Network Pricing Proposal</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5670"/>
      </w:tblGrid>
      <w:tr w:rsidR="00C24855" w:rsidRPr="004360BF" w14:paraId="6B872D6B" w14:textId="77777777" w:rsidTr="004D777E">
        <w:trPr>
          <w:cantSplit/>
          <w:tblHeader/>
        </w:trPr>
        <w:tc>
          <w:tcPr>
            <w:tcW w:w="1560" w:type="dxa"/>
            <w:shd w:val="solid" w:color="C6D9F1" w:themeColor="text2" w:themeTint="33" w:fill="auto"/>
          </w:tcPr>
          <w:p w14:paraId="220EC7F3" w14:textId="77777777" w:rsidR="00C24855" w:rsidRPr="004360BF" w:rsidRDefault="00C24855" w:rsidP="004D777E">
            <w:pPr>
              <w:spacing w:before="40" w:after="40"/>
              <w:rPr>
                <w:b/>
                <w:sz w:val="22"/>
                <w:szCs w:val="22"/>
                <w:lang w:val="en-AU"/>
              </w:rPr>
            </w:pPr>
            <w:r w:rsidRPr="004360BF">
              <w:rPr>
                <w:b/>
                <w:sz w:val="22"/>
                <w:szCs w:val="22"/>
                <w:lang w:val="en-AU"/>
              </w:rPr>
              <w:t>Chapter</w:t>
            </w:r>
          </w:p>
        </w:tc>
        <w:tc>
          <w:tcPr>
            <w:tcW w:w="2126" w:type="dxa"/>
            <w:shd w:val="solid" w:color="C6D9F1" w:themeColor="text2" w:themeTint="33" w:fill="auto"/>
          </w:tcPr>
          <w:p w14:paraId="2C197BF0" w14:textId="77777777" w:rsidR="00C24855" w:rsidRPr="004360BF" w:rsidRDefault="00C24855" w:rsidP="004D777E">
            <w:pPr>
              <w:spacing w:before="40" w:after="40"/>
              <w:rPr>
                <w:b/>
                <w:sz w:val="22"/>
                <w:szCs w:val="22"/>
                <w:lang w:val="en-AU"/>
              </w:rPr>
            </w:pPr>
            <w:r w:rsidRPr="004360BF">
              <w:rPr>
                <w:b/>
                <w:sz w:val="22"/>
                <w:szCs w:val="22"/>
                <w:lang w:val="en-AU"/>
              </w:rPr>
              <w:t>Title</w:t>
            </w:r>
          </w:p>
        </w:tc>
        <w:tc>
          <w:tcPr>
            <w:tcW w:w="5670" w:type="dxa"/>
            <w:shd w:val="solid" w:color="C6D9F1" w:themeColor="text2" w:themeTint="33" w:fill="auto"/>
          </w:tcPr>
          <w:p w14:paraId="68B464AD" w14:textId="77777777" w:rsidR="00C24855" w:rsidRPr="004360BF" w:rsidRDefault="00C24855" w:rsidP="004D777E">
            <w:pPr>
              <w:spacing w:before="40" w:after="40"/>
              <w:rPr>
                <w:b/>
                <w:sz w:val="22"/>
                <w:szCs w:val="22"/>
                <w:lang w:val="en-AU"/>
              </w:rPr>
            </w:pPr>
            <w:r w:rsidRPr="004360BF">
              <w:rPr>
                <w:b/>
                <w:sz w:val="22"/>
                <w:szCs w:val="22"/>
                <w:lang w:val="en-AU"/>
              </w:rPr>
              <w:t>Purpose</w:t>
            </w:r>
          </w:p>
        </w:tc>
      </w:tr>
      <w:tr w:rsidR="00C24855" w:rsidRPr="004360BF" w14:paraId="6C703AA2" w14:textId="77777777" w:rsidTr="004D777E">
        <w:trPr>
          <w:cantSplit/>
        </w:trPr>
        <w:tc>
          <w:tcPr>
            <w:tcW w:w="1560" w:type="dxa"/>
            <w:shd w:val="clear" w:color="auto" w:fill="auto"/>
          </w:tcPr>
          <w:p w14:paraId="3BE64347" w14:textId="77777777" w:rsidR="00C24855" w:rsidRPr="004360BF" w:rsidRDefault="00C24855" w:rsidP="00983241">
            <w:pPr>
              <w:spacing w:before="40" w:after="40"/>
              <w:rPr>
                <w:sz w:val="22"/>
                <w:szCs w:val="22"/>
                <w:lang w:val="en-AU"/>
              </w:rPr>
            </w:pPr>
            <w:r w:rsidRPr="004360BF">
              <w:rPr>
                <w:sz w:val="22"/>
                <w:szCs w:val="22"/>
                <w:lang w:val="en-AU"/>
              </w:rPr>
              <w:t>2</w:t>
            </w:r>
          </w:p>
        </w:tc>
        <w:tc>
          <w:tcPr>
            <w:tcW w:w="2126" w:type="dxa"/>
            <w:shd w:val="clear" w:color="auto" w:fill="auto"/>
          </w:tcPr>
          <w:p w14:paraId="0BAFD9BB" w14:textId="77777777" w:rsidR="00C24855" w:rsidRPr="004360BF" w:rsidRDefault="00C24855" w:rsidP="00983241">
            <w:pPr>
              <w:spacing w:before="40" w:after="40"/>
              <w:rPr>
                <w:sz w:val="22"/>
                <w:szCs w:val="22"/>
                <w:lang w:val="en-AU"/>
              </w:rPr>
            </w:pPr>
            <w:r w:rsidRPr="004360BF">
              <w:rPr>
                <w:sz w:val="22"/>
                <w:szCs w:val="22"/>
                <w:lang w:val="en-AU"/>
              </w:rPr>
              <w:t>Business Characteristics</w:t>
            </w:r>
          </w:p>
        </w:tc>
        <w:tc>
          <w:tcPr>
            <w:tcW w:w="5670" w:type="dxa"/>
            <w:shd w:val="clear" w:color="auto" w:fill="auto"/>
          </w:tcPr>
          <w:p w14:paraId="744093BA" w14:textId="77777777" w:rsidR="00C24855" w:rsidRPr="004360BF" w:rsidRDefault="00C24855" w:rsidP="00983241">
            <w:pPr>
              <w:spacing w:before="40" w:after="40"/>
              <w:rPr>
                <w:sz w:val="22"/>
                <w:szCs w:val="22"/>
                <w:lang w:val="en-AU"/>
              </w:rPr>
            </w:pPr>
            <w:r w:rsidRPr="004360BF">
              <w:rPr>
                <w:sz w:val="22"/>
                <w:szCs w:val="22"/>
                <w:lang w:val="en-AU"/>
              </w:rPr>
              <w:t>Summarises those characteristics of Power Networks’ system that provide the context for network tariffs.</w:t>
            </w:r>
          </w:p>
        </w:tc>
      </w:tr>
      <w:tr w:rsidR="00C24855" w:rsidRPr="004360BF" w14:paraId="600230A9" w14:textId="77777777" w:rsidTr="004D777E">
        <w:trPr>
          <w:cantSplit/>
        </w:trPr>
        <w:tc>
          <w:tcPr>
            <w:tcW w:w="1560" w:type="dxa"/>
            <w:shd w:val="clear" w:color="auto" w:fill="auto"/>
          </w:tcPr>
          <w:p w14:paraId="288640A1" w14:textId="77777777" w:rsidR="00C24855" w:rsidRPr="004360BF" w:rsidRDefault="00C24855" w:rsidP="00983241">
            <w:pPr>
              <w:spacing w:before="40" w:after="40"/>
              <w:rPr>
                <w:sz w:val="22"/>
                <w:szCs w:val="22"/>
                <w:lang w:val="en-AU"/>
              </w:rPr>
            </w:pPr>
            <w:r w:rsidRPr="004360BF">
              <w:rPr>
                <w:sz w:val="22"/>
                <w:szCs w:val="22"/>
                <w:lang w:val="en-AU"/>
              </w:rPr>
              <w:t>3</w:t>
            </w:r>
          </w:p>
        </w:tc>
        <w:tc>
          <w:tcPr>
            <w:tcW w:w="2126" w:type="dxa"/>
            <w:shd w:val="clear" w:color="auto" w:fill="auto"/>
          </w:tcPr>
          <w:p w14:paraId="416A29FE" w14:textId="77777777" w:rsidR="00C24855" w:rsidRPr="004360BF" w:rsidRDefault="00C24855" w:rsidP="00983241">
            <w:pPr>
              <w:spacing w:before="40" w:after="40"/>
              <w:rPr>
                <w:sz w:val="22"/>
                <w:szCs w:val="22"/>
                <w:lang w:val="en-AU"/>
              </w:rPr>
            </w:pPr>
            <w:r w:rsidRPr="004360BF">
              <w:rPr>
                <w:sz w:val="22"/>
                <w:szCs w:val="22"/>
                <w:lang w:val="en-AU"/>
              </w:rPr>
              <w:t xml:space="preserve">Regulatory Requirements </w:t>
            </w:r>
          </w:p>
        </w:tc>
        <w:tc>
          <w:tcPr>
            <w:tcW w:w="5670" w:type="dxa"/>
            <w:shd w:val="clear" w:color="auto" w:fill="auto"/>
          </w:tcPr>
          <w:p w14:paraId="20D9D662" w14:textId="77777777" w:rsidR="00C24855" w:rsidRPr="004360BF" w:rsidRDefault="00C24855" w:rsidP="00983241">
            <w:pPr>
              <w:spacing w:before="40" w:after="40"/>
              <w:rPr>
                <w:sz w:val="22"/>
                <w:szCs w:val="22"/>
                <w:lang w:val="en-AU"/>
              </w:rPr>
            </w:pPr>
            <w:r w:rsidRPr="004360BF">
              <w:rPr>
                <w:sz w:val="22"/>
                <w:szCs w:val="22"/>
                <w:lang w:val="en-AU"/>
              </w:rPr>
              <w:t>Summarises the regulatory requirements as they relate to Power Networks’ NPPS and Network Pricing Proposal.</w:t>
            </w:r>
          </w:p>
        </w:tc>
      </w:tr>
      <w:tr w:rsidR="00C24855" w:rsidRPr="004360BF" w14:paraId="750E52D5" w14:textId="77777777" w:rsidTr="004D777E">
        <w:trPr>
          <w:cantSplit/>
        </w:trPr>
        <w:tc>
          <w:tcPr>
            <w:tcW w:w="9356" w:type="dxa"/>
            <w:gridSpan w:val="3"/>
            <w:shd w:val="clear" w:color="auto" w:fill="auto"/>
          </w:tcPr>
          <w:p w14:paraId="4F11B309" w14:textId="77777777" w:rsidR="00C24855" w:rsidRPr="004360BF" w:rsidRDefault="00C24855" w:rsidP="00983241">
            <w:pPr>
              <w:spacing w:before="40" w:after="40"/>
              <w:rPr>
                <w:sz w:val="22"/>
                <w:lang w:val="en-AU"/>
              </w:rPr>
            </w:pPr>
            <w:r w:rsidRPr="004360BF">
              <w:rPr>
                <w:sz w:val="22"/>
                <w:lang w:val="en-AU"/>
              </w:rPr>
              <w:t>PART A: NETWORK PRICING PRINCIPLES STATEMENT</w:t>
            </w:r>
          </w:p>
        </w:tc>
      </w:tr>
      <w:tr w:rsidR="00C24855" w:rsidRPr="004360BF" w14:paraId="6728A353" w14:textId="77777777" w:rsidTr="004D777E">
        <w:trPr>
          <w:cantSplit/>
        </w:trPr>
        <w:tc>
          <w:tcPr>
            <w:tcW w:w="1560" w:type="dxa"/>
            <w:shd w:val="clear" w:color="auto" w:fill="auto"/>
          </w:tcPr>
          <w:p w14:paraId="418CAB2B" w14:textId="77777777" w:rsidR="00C24855" w:rsidRPr="004360BF" w:rsidRDefault="00C24855" w:rsidP="00983241">
            <w:pPr>
              <w:spacing w:before="40" w:after="40"/>
              <w:rPr>
                <w:sz w:val="22"/>
                <w:szCs w:val="22"/>
                <w:lang w:val="en-AU"/>
              </w:rPr>
            </w:pPr>
            <w:r w:rsidRPr="004360BF">
              <w:rPr>
                <w:sz w:val="22"/>
                <w:szCs w:val="22"/>
                <w:lang w:val="en-AU"/>
              </w:rPr>
              <w:t>4</w:t>
            </w:r>
          </w:p>
        </w:tc>
        <w:tc>
          <w:tcPr>
            <w:tcW w:w="2126" w:type="dxa"/>
            <w:shd w:val="clear" w:color="auto" w:fill="auto"/>
          </w:tcPr>
          <w:p w14:paraId="4C8F58C7" w14:textId="77777777" w:rsidR="00C24855" w:rsidRPr="004360BF" w:rsidRDefault="00C24855" w:rsidP="00983241">
            <w:pPr>
              <w:spacing w:before="40" w:after="40"/>
              <w:rPr>
                <w:sz w:val="22"/>
                <w:szCs w:val="22"/>
                <w:lang w:val="en-AU"/>
              </w:rPr>
            </w:pPr>
            <w:r w:rsidRPr="004360BF">
              <w:rPr>
                <w:sz w:val="22"/>
                <w:szCs w:val="22"/>
                <w:lang w:val="en-AU"/>
              </w:rPr>
              <w:t xml:space="preserve">Classification of Services </w:t>
            </w:r>
          </w:p>
        </w:tc>
        <w:tc>
          <w:tcPr>
            <w:tcW w:w="5670" w:type="dxa"/>
            <w:shd w:val="clear" w:color="auto" w:fill="auto"/>
          </w:tcPr>
          <w:p w14:paraId="324DA110" w14:textId="77777777" w:rsidR="00C24855" w:rsidRPr="004360BF" w:rsidRDefault="00C24855" w:rsidP="00983241">
            <w:pPr>
              <w:spacing w:before="40" w:after="40"/>
              <w:rPr>
                <w:sz w:val="22"/>
                <w:szCs w:val="22"/>
                <w:lang w:val="en-AU"/>
              </w:rPr>
            </w:pPr>
            <w:r w:rsidRPr="004360BF">
              <w:rPr>
                <w:sz w:val="22"/>
                <w:szCs w:val="22"/>
                <w:lang w:val="en-AU"/>
              </w:rPr>
              <w:t>Sets out the principles and methods used for defining the individual direct control services that are supplied by Power Networks.</w:t>
            </w:r>
          </w:p>
        </w:tc>
      </w:tr>
      <w:tr w:rsidR="00C24855" w:rsidRPr="004360BF" w14:paraId="0C812952" w14:textId="77777777" w:rsidTr="004D777E">
        <w:trPr>
          <w:cantSplit/>
          <w:trHeight w:val="882"/>
        </w:trPr>
        <w:tc>
          <w:tcPr>
            <w:tcW w:w="1560" w:type="dxa"/>
            <w:shd w:val="clear" w:color="auto" w:fill="auto"/>
          </w:tcPr>
          <w:p w14:paraId="1D0E900E" w14:textId="77777777" w:rsidR="00C24855" w:rsidRPr="004360BF" w:rsidRDefault="00C24855" w:rsidP="00983241">
            <w:pPr>
              <w:spacing w:before="40" w:after="40"/>
              <w:rPr>
                <w:sz w:val="22"/>
                <w:szCs w:val="22"/>
                <w:lang w:val="en-AU"/>
              </w:rPr>
            </w:pPr>
            <w:r w:rsidRPr="004360BF">
              <w:rPr>
                <w:sz w:val="22"/>
                <w:szCs w:val="22"/>
                <w:lang w:val="en-AU"/>
              </w:rPr>
              <w:t>5</w:t>
            </w:r>
          </w:p>
        </w:tc>
        <w:tc>
          <w:tcPr>
            <w:tcW w:w="2126" w:type="dxa"/>
            <w:shd w:val="clear" w:color="auto" w:fill="auto"/>
          </w:tcPr>
          <w:p w14:paraId="52B927F3" w14:textId="77777777" w:rsidR="00C24855" w:rsidRPr="004360BF" w:rsidRDefault="00C24855" w:rsidP="00983241">
            <w:pPr>
              <w:spacing w:before="40" w:after="40"/>
              <w:rPr>
                <w:sz w:val="22"/>
                <w:szCs w:val="22"/>
                <w:lang w:val="en-AU"/>
              </w:rPr>
            </w:pPr>
            <w:r w:rsidRPr="004360BF">
              <w:rPr>
                <w:sz w:val="22"/>
                <w:szCs w:val="22"/>
                <w:lang w:val="en-AU"/>
              </w:rPr>
              <w:t>Tariff Classes</w:t>
            </w:r>
          </w:p>
        </w:tc>
        <w:tc>
          <w:tcPr>
            <w:tcW w:w="5670" w:type="dxa"/>
            <w:shd w:val="clear" w:color="auto" w:fill="auto"/>
          </w:tcPr>
          <w:p w14:paraId="243E7E54" w14:textId="77777777" w:rsidR="00C24855" w:rsidRPr="004360BF" w:rsidRDefault="00C24855" w:rsidP="00983241">
            <w:pPr>
              <w:spacing w:before="40" w:after="40"/>
              <w:rPr>
                <w:sz w:val="22"/>
                <w:szCs w:val="22"/>
                <w:lang w:val="en-AU"/>
              </w:rPr>
            </w:pPr>
            <w:r w:rsidRPr="004360BF">
              <w:rPr>
                <w:sz w:val="22"/>
                <w:szCs w:val="22"/>
                <w:lang w:val="en-AU"/>
              </w:rPr>
              <w:t>Explains how the tariff classes, into which Power Networks’ customers of standard control services are divided, have been constituted.</w:t>
            </w:r>
          </w:p>
        </w:tc>
      </w:tr>
      <w:tr w:rsidR="00C24855" w:rsidRPr="004360BF" w14:paraId="523DE9EF" w14:textId="77777777" w:rsidTr="004D777E">
        <w:trPr>
          <w:cantSplit/>
        </w:trPr>
        <w:tc>
          <w:tcPr>
            <w:tcW w:w="1560" w:type="dxa"/>
            <w:shd w:val="clear" w:color="auto" w:fill="auto"/>
          </w:tcPr>
          <w:p w14:paraId="521AE93B" w14:textId="77777777" w:rsidR="00C24855" w:rsidRPr="004360BF" w:rsidRDefault="00C24855" w:rsidP="00983241">
            <w:pPr>
              <w:spacing w:before="40" w:after="40"/>
              <w:rPr>
                <w:sz w:val="22"/>
                <w:szCs w:val="22"/>
                <w:lang w:val="en-AU"/>
              </w:rPr>
            </w:pPr>
            <w:r w:rsidRPr="004360BF">
              <w:rPr>
                <w:sz w:val="22"/>
                <w:szCs w:val="22"/>
                <w:lang w:val="en-AU"/>
              </w:rPr>
              <w:t>6</w:t>
            </w:r>
          </w:p>
        </w:tc>
        <w:tc>
          <w:tcPr>
            <w:tcW w:w="2126" w:type="dxa"/>
            <w:shd w:val="clear" w:color="auto" w:fill="auto"/>
          </w:tcPr>
          <w:p w14:paraId="6D727058" w14:textId="77777777" w:rsidR="00C24855" w:rsidRPr="004360BF" w:rsidRDefault="00C24855" w:rsidP="00983241">
            <w:pPr>
              <w:spacing w:before="40" w:after="40"/>
              <w:rPr>
                <w:sz w:val="22"/>
                <w:szCs w:val="22"/>
                <w:lang w:val="en-AU"/>
              </w:rPr>
            </w:pPr>
            <w:r w:rsidRPr="004360BF">
              <w:rPr>
                <w:sz w:val="22"/>
                <w:szCs w:val="22"/>
                <w:lang w:val="en-AU"/>
              </w:rPr>
              <w:t>Reference Tariffs for Direct Control Services</w:t>
            </w:r>
          </w:p>
        </w:tc>
        <w:tc>
          <w:tcPr>
            <w:tcW w:w="5670" w:type="dxa"/>
            <w:shd w:val="clear" w:color="auto" w:fill="auto"/>
          </w:tcPr>
          <w:p w14:paraId="5A4CE018" w14:textId="77777777" w:rsidR="00C24855" w:rsidRPr="004360BF" w:rsidRDefault="00C24855" w:rsidP="00983241">
            <w:pPr>
              <w:spacing w:before="40" w:after="40"/>
              <w:rPr>
                <w:sz w:val="22"/>
                <w:szCs w:val="22"/>
                <w:lang w:val="en-AU"/>
              </w:rPr>
            </w:pPr>
            <w:r w:rsidRPr="004360BF">
              <w:rPr>
                <w:sz w:val="22"/>
                <w:szCs w:val="22"/>
                <w:lang w:val="en-AU"/>
              </w:rPr>
              <w:t>Explains the factors that Power Networks has taken into account in establishing tariffs for direct control services.</w:t>
            </w:r>
          </w:p>
        </w:tc>
      </w:tr>
      <w:tr w:rsidR="00C24855" w:rsidRPr="004360BF" w14:paraId="39EB3992" w14:textId="77777777" w:rsidTr="004D777E">
        <w:trPr>
          <w:cantSplit/>
        </w:trPr>
        <w:tc>
          <w:tcPr>
            <w:tcW w:w="1560" w:type="dxa"/>
            <w:shd w:val="clear" w:color="auto" w:fill="auto"/>
          </w:tcPr>
          <w:p w14:paraId="2C446146" w14:textId="77777777" w:rsidR="00C24855" w:rsidRPr="004360BF" w:rsidRDefault="00C24855" w:rsidP="00983241">
            <w:pPr>
              <w:spacing w:before="40" w:after="40"/>
              <w:rPr>
                <w:sz w:val="22"/>
                <w:szCs w:val="22"/>
                <w:lang w:val="en-AU"/>
              </w:rPr>
            </w:pPr>
            <w:r w:rsidRPr="004360BF">
              <w:rPr>
                <w:sz w:val="22"/>
                <w:szCs w:val="22"/>
                <w:lang w:val="en-AU"/>
              </w:rPr>
              <w:t>7</w:t>
            </w:r>
          </w:p>
        </w:tc>
        <w:tc>
          <w:tcPr>
            <w:tcW w:w="2126" w:type="dxa"/>
            <w:shd w:val="clear" w:color="auto" w:fill="auto"/>
          </w:tcPr>
          <w:p w14:paraId="56548009" w14:textId="77777777" w:rsidR="00C24855" w:rsidRPr="004360BF" w:rsidRDefault="00C24855" w:rsidP="00983241">
            <w:pPr>
              <w:spacing w:before="40" w:after="40"/>
              <w:rPr>
                <w:sz w:val="22"/>
                <w:szCs w:val="22"/>
                <w:lang w:val="en-AU"/>
              </w:rPr>
            </w:pPr>
            <w:r w:rsidRPr="004360BF">
              <w:rPr>
                <w:sz w:val="22"/>
                <w:szCs w:val="22"/>
                <w:lang w:val="en-AU"/>
              </w:rPr>
              <w:t>Efficient Network Pricing</w:t>
            </w:r>
          </w:p>
        </w:tc>
        <w:tc>
          <w:tcPr>
            <w:tcW w:w="5670" w:type="dxa"/>
            <w:shd w:val="clear" w:color="auto" w:fill="auto"/>
          </w:tcPr>
          <w:p w14:paraId="02C0CFA9" w14:textId="77777777" w:rsidR="00C24855" w:rsidRPr="004360BF" w:rsidRDefault="00C24855" w:rsidP="00983241">
            <w:pPr>
              <w:spacing w:before="40" w:after="40"/>
              <w:rPr>
                <w:sz w:val="22"/>
                <w:szCs w:val="22"/>
                <w:lang w:val="en-AU"/>
              </w:rPr>
            </w:pPr>
            <w:r w:rsidRPr="004360BF">
              <w:rPr>
                <w:sz w:val="22"/>
                <w:szCs w:val="22"/>
                <w:lang w:val="en-AU"/>
              </w:rPr>
              <w:t xml:space="preserve">Sets out how Power Networks has observed economic principles in establishing its tariffs and their charging parameters. </w:t>
            </w:r>
          </w:p>
        </w:tc>
      </w:tr>
      <w:tr w:rsidR="00C24855" w:rsidRPr="004360BF" w14:paraId="44F4E5B7" w14:textId="77777777" w:rsidTr="004D777E">
        <w:trPr>
          <w:cantSplit/>
        </w:trPr>
        <w:tc>
          <w:tcPr>
            <w:tcW w:w="1560" w:type="dxa"/>
            <w:shd w:val="clear" w:color="auto" w:fill="auto"/>
          </w:tcPr>
          <w:p w14:paraId="100C7235" w14:textId="77777777" w:rsidR="00C24855" w:rsidRPr="004360BF" w:rsidRDefault="00C24855" w:rsidP="00983241">
            <w:pPr>
              <w:spacing w:before="40" w:after="40"/>
              <w:rPr>
                <w:sz w:val="22"/>
                <w:szCs w:val="22"/>
                <w:lang w:val="en-AU"/>
              </w:rPr>
            </w:pPr>
            <w:r w:rsidRPr="004360BF">
              <w:rPr>
                <w:sz w:val="22"/>
                <w:szCs w:val="22"/>
                <w:lang w:val="en-AU"/>
              </w:rPr>
              <w:t>8</w:t>
            </w:r>
          </w:p>
        </w:tc>
        <w:tc>
          <w:tcPr>
            <w:tcW w:w="2126" w:type="dxa"/>
            <w:shd w:val="clear" w:color="auto" w:fill="auto"/>
          </w:tcPr>
          <w:p w14:paraId="48860F67" w14:textId="77777777" w:rsidR="00C24855" w:rsidRPr="004360BF" w:rsidRDefault="00C24855" w:rsidP="00983241">
            <w:pPr>
              <w:spacing w:before="40" w:after="40"/>
              <w:rPr>
                <w:sz w:val="22"/>
                <w:szCs w:val="22"/>
                <w:lang w:val="en-AU"/>
              </w:rPr>
            </w:pPr>
            <w:r w:rsidRPr="004360BF">
              <w:rPr>
                <w:sz w:val="22"/>
                <w:szCs w:val="22"/>
                <w:lang w:val="en-AU"/>
              </w:rPr>
              <w:t xml:space="preserve">Price Modelling </w:t>
            </w:r>
          </w:p>
        </w:tc>
        <w:tc>
          <w:tcPr>
            <w:tcW w:w="5670" w:type="dxa"/>
            <w:shd w:val="clear" w:color="auto" w:fill="auto"/>
          </w:tcPr>
          <w:p w14:paraId="5A09CC71" w14:textId="77777777" w:rsidR="00C24855" w:rsidRPr="004360BF" w:rsidRDefault="00C24855" w:rsidP="00983241">
            <w:pPr>
              <w:spacing w:before="40" w:after="40"/>
              <w:rPr>
                <w:sz w:val="22"/>
                <w:szCs w:val="22"/>
                <w:lang w:val="en-AU"/>
              </w:rPr>
            </w:pPr>
            <w:r w:rsidRPr="004360BF">
              <w:rPr>
                <w:sz w:val="22"/>
                <w:szCs w:val="22"/>
                <w:lang w:val="en-AU"/>
              </w:rPr>
              <w:t>Describes the Pricing Proposal Model (confidential) that is submitted as an attachment to this document.</w:t>
            </w:r>
          </w:p>
        </w:tc>
      </w:tr>
      <w:tr w:rsidR="00C24855" w:rsidRPr="004360BF" w14:paraId="3E3B24B0" w14:textId="77777777" w:rsidTr="004D777E">
        <w:trPr>
          <w:cantSplit/>
        </w:trPr>
        <w:tc>
          <w:tcPr>
            <w:tcW w:w="9356" w:type="dxa"/>
            <w:gridSpan w:val="3"/>
            <w:shd w:val="clear" w:color="auto" w:fill="auto"/>
          </w:tcPr>
          <w:p w14:paraId="021D6F15" w14:textId="77777777" w:rsidR="00C24855" w:rsidRPr="004360BF" w:rsidRDefault="00C24855" w:rsidP="00983241">
            <w:pPr>
              <w:spacing w:before="40" w:after="40"/>
              <w:rPr>
                <w:sz w:val="22"/>
                <w:szCs w:val="22"/>
                <w:lang w:val="en-AU"/>
              </w:rPr>
            </w:pPr>
            <w:r w:rsidRPr="004360BF">
              <w:rPr>
                <w:sz w:val="22"/>
                <w:lang w:val="en-AU"/>
              </w:rPr>
              <w:t xml:space="preserve"> PART B: 2015/16 NETWORK PRICING PROPOSAL</w:t>
            </w:r>
          </w:p>
        </w:tc>
      </w:tr>
      <w:tr w:rsidR="00C24855" w:rsidRPr="004360BF" w14:paraId="0482C085" w14:textId="77777777" w:rsidTr="004D777E">
        <w:trPr>
          <w:cantSplit/>
        </w:trPr>
        <w:tc>
          <w:tcPr>
            <w:tcW w:w="1560" w:type="dxa"/>
            <w:shd w:val="clear" w:color="auto" w:fill="auto"/>
          </w:tcPr>
          <w:p w14:paraId="7DFB4648" w14:textId="77777777" w:rsidR="00C24855" w:rsidRPr="004360BF" w:rsidRDefault="00C24855" w:rsidP="00983241">
            <w:pPr>
              <w:spacing w:before="40" w:after="40"/>
              <w:rPr>
                <w:sz w:val="22"/>
                <w:szCs w:val="22"/>
                <w:lang w:val="en-AU"/>
              </w:rPr>
            </w:pPr>
            <w:r w:rsidRPr="004360BF">
              <w:rPr>
                <w:sz w:val="22"/>
                <w:szCs w:val="22"/>
                <w:lang w:val="en-AU"/>
              </w:rPr>
              <w:t>9</w:t>
            </w:r>
          </w:p>
        </w:tc>
        <w:tc>
          <w:tcPr>
            <w:tcW w:w="2126" w:type="dxa"/>
            <w:shd w:val="clear" w:color="auto" w:fill="auto"/>
          </w:tcPr>
          <w:p w14:paraId="2BC440E7" w14:textId="77777777" w:rsidR="00C24855" w:rsidRPr="004360BF" w:rsidRDefault="00C24855" w:rsidP="00983241">
            <w:pPr>
              <w:spacing w:before="40" w:after="40"/>
              <w:rPr>
                <w:sz w:val="22"/>
                <w:szCs w:val="22"/>
                <w:lang w:val="en-AU"/>
              </w:rPr>
            </w:pPr>
            <w:r w:rsidRPr="004360BF">
              <w:rPr>
                <w:sz w:val="22"/>
                <w:szCs w:val="22"/>
                <w:lang w:val="en-AU"/>
              </w:rPr>
              <w:t>Power Networks’ Tariff Strategy</w:t>
            </w:r>
          </w:p>
        </w:tc>
        <w:tc>
          <w:tcPr>
            <w:tcW w:w="5670" w:type="dxa"/>
            <w:shd w:val="clear" w:color="auto" w:fill="auto"/>
          </w:tcPr>
          <w:p w14:paraId="22FAA46D" w14:textId="77777777" w:rsidR="00C24855" w:rsidRPr="004360BF" w:rsidRDefault="00C24855" w:rsidP="00983241">
            <w:pPr>
              <w:spacing w:before="40" w:after="40"/>
              <w:rPr>
                <w:sz w:val="22"/>
                <w:szCs w:val="22"/>
                <w:lang w:val="en-AU"/>
              </w:rPr>
            </w:pPr>
            <w:r w:rsidRPr="004360BF">
              <w:rPr>
                <w:sz w:val="22"/>
                <w:szCs w:val="22"/>
                <w:lang w:val="en-AU"/>
              </w:rPr>
              <w:t xml:space="preserve">Outlines Power Networks’ network tariff strategy for the 2014-19 regulatory control </w:t>
            </w:r>
            <w:proofErr w:type="gramStart"/>
            <w:r w:rsidRPr="004360BF">
              <w:rPr>
                <w:sz w:val="22"/>
                <w:szCs w:val="22"/>
                <w:lang w:val="en-AU"/>
              </w:rPr>
              <w:t>period</w:t>
            </w:r>
            <w:proofErr w:type="gramEnd"/>
            <w:r w:rsidRPr="004360BF">
              <w:rPr>
                <w:sz w:val="22"/>
                <w:szCs w:val="22"/>
                <w:lang w:val="en-AU"/>
              </w:rPr>
              <w:t>.</w:t>
            </w:r>
          </w:p>
        </w:tc>
      </w:tr>
      <w:tr w:rsidR="00C24855" w:rsidRPr="004360BF" w14:paraId="0F371DBF" w14:textId="77777777" w:rsidTr="004D777E">
        <w:trPr>
          <w:cantSplit/>
        </w:trPr>
        <w:tc>
          <w:tcPr>
            <w:tcW w:w="1560" w:type="dxa"/>
            <w:shd w:val="clear" w:color="auto" w:fill="auto"/>
          </w:tcPr>
          <w:p w14:paraId="27205668" w14:textId="77777777" w:rsidR="00C24855" w:rsidRPr="004360BF" w:rsidRDefault="00C24855" w:rsidP="00983241">
            <w:pPr>
              <w:spacing w:before="40" w:after="40"/>
              <w:rPr>
                <w:i/>
                <w:sz w:val="22"/>
                <w:szCs w:val="22"/>
                <w:lang w:val="en-AU"/>
              </w:rPr>
            </w:pPr>
            <w:r w:rsidRPr="004360BF">
              <w:rPr>
                <w:sz w:val="22"/>
                <w:szCs w:val="22"/>
                <w:lang w:val="en-AU"/>
              </w:rPr>
              <w:t>10</w:t>
            </w:r>
          </w:p>
        </w:tc>
        <w:tc>
          <w:tcPr>
            <w:tcW w:w="2126" w:type="dxa"/>
            <w:shd w:val="clear" w:color="auto" w:fill="auto"/>
          </w:tcPr>
          <w:p w14:paraId="1E9F8E14" w14:textId="77777777" w:rsidR="00C24855" w:rsidRPr="004360BF" w:rsidRDefault="00C24855" w:rsidP="00983241">
            <w:pPr>
              <w:spacing w:before="40" w:after="40"/>
              <w:rPr>
                <w:sz w:val="22"/>
                <w:szCs w:val="22"/>
                <w:lang w:val="en-AU"/>
              </w:rPr>
            </w:pPr>
            <w:r w:rsidRPr="004360BF">
              <w:rPr>
                <w:sz w:val="22"/>
                <w:szCs w:val="22"/>
                <w:lang w:val="en-AU"/>
              </w:rPr>
              <w:t xml:space="preserve">Tariff Classes and Tariffs </w:t>
            </w:r>
          </w:p>
        </w:tc>
        <w:tc>
          <w:tcPr>
            <w:tcW w:w="5670" w:type="dxa"/>
            <w:shd w:val="clear" w:color="auto" w:fill="auto"/>
          </w:tcPr>
          <w:p w14:paraId="6A1A54E1" w14:textId="77777777" w:rsidR="00C24855" w:rsidRPr="004360BF" w:rsidRDefault="00C24855" w:rsidP="00983241">
            <w:pPr>
              <w:keepNext/>
              <w:spacing w:before="40" w:after="40" w:line="320" w:lineRule="exact"/>
              <w:outlineLvl w:val="2"/>
              <w:rPr>
                <w:i/>
                <w:sz w:val="22"/>
                <w:szCs w:val="22"/>
                <w:lang w:val="en-AU"/>
              </w:rPr>
            </w:pPr>
            <w:bookmarkStart w:id="36" w:name="_Toc417291719"/>
            <w:bookmarkStart w:id="37" w:name="_Toc417292487"/>
            <w:r w:rsidRPr="004360BF">
              <w:rPr>
                <w:sz w:val="22"/>
                <w:szCs w:val="22"/>
                <w:lang w:val="en-AU" w:eastAsia="en-AU"/>
              </w:rPr>
              <w:t>Outlines the tariff classes and the proposed tariffs for each tariff class.</w:t>
            </w:r>
            <w:bookmarkEnd w:id="36"/>
            <w:bookmarkEnd w:id="37"/>
          </w:p>
        </w:tc>
      </w:tr>
      <w:tr w:rsidR="00C24855" w:rsidRPr="004360BF" w14:paraId="64F72BBF" w14:textId="77777777" w:rsidTr="004D777E">
        <w:trPr>
          <w:cantSplit/>
        </w:trPr>
        <w:tc>
          <w:tcPr>
            <w:tcW w:w="1560" w:type="dxa"/>
            <w:shd w:val="clear" w:color="auto" w:fill="auto"/>
          </w:tcPr>
          <w:p w14:paraId="507CF257" w14:textId="77777777" w:rsidR="00C24855" w:rsidRPr="004360BF" w:rsidRDefault="00C24855" w:rsidP="00983241">
            <w:pPr>
              <w:spacing w:before="40" w:after="40"/>
              <w:rPr>
                <w:sz w:val="22"/>
                <w:szCs w:val="22"/>
                <w:lang w:val="en-AU"/>
              </w:rPr>
            </w:pPr>
            <w:r w:rsidRPr="004360BF">
              <w:rPr>
                <w:sz w:val="22"/>
                <w:szCs w:val="22"/>
                <w:lang w:val="en-AU"/>
              </w:rPr>
              <w:t>11</w:t>
            </w:r>
          </w:p>
        </w:tc>
        <w:tc>
          <w:tcPr>
            <w:tcW w:w="2126" w:type="dxa"/>
            <w:shd w:val="clear" w:color="auto" w:fill="auto"/>
          </w:tcPr>
          <w:p w14:paraId="6469D828" w14:textId="77777777" w:rsidR="00C24855" w:rsidRPr="004360BF" w:rsidRDefault="00C24855" w:rsidP="00983241">
            <w:pPr>
              <w:spacing w:before="40" w:after="40"/>
              <w:rPr>
                <w:sz w:val="22"/>
                <w:szCs w:val="22"/>
                <w:lang w:val="en-AU"/>
              </w:rPr>
            </w:pPr>
            <w:r w:rsidRPr="004360BF">
              <w:rPr>
                <w:sz w:val="22"/>
                <w:szCs w:val="22"/>
                <w:lang w:val="en-AU"/>
              </w:rPr>
              <w:t>Tariff Charging Parameters</w:t>
            </w:r>
          </w:p>
        </w:tc>
        <w:tc>
          <w:tcPr>
            <w:tcW w:w="5670" w:type="dxa"/>
            <w:shd w:val="clear" w:color="auto" w:fill="auto"/>
          </w:tcPr>
          <w:p w14:paraId="4B966D98" w14:textId="77777777" w:rsidR="00C24855" w:rsidRPr="004360BF" w:rsidRDefault="00C24855" w:rsidP="00983241">
            <w:pPr>
              <w:spacing w:before="40" w:after="40"/>
              <w:rPr>
                <w:sz w:val="22"/>
                <w:szCs w:val="22"/>
                <w:lang w:val="en-AU"/>
              </w:rPr>
            </w:pPr>
            <w:r w:rsidRPr="004360BF">
              <w:rPr>
                <w:sz w:val="22"/>
                <w:szCs w:val="22"/>
                <w:lang w:val="en-AU"/>
              </w:rPr>
              <w:t xml:space="preserve">Sets out, for each proposed tariff, the charging parameters and the elements of service to which each charging parameter relates. </w:t>
            </w:r>
          </w:p>
        </w:tc>
      </w:tr>
      <w:tr w:rsidR="00C24855" w:rsidRPr="004360BF" w14:paraId="45EBCE48" w14:textId="77777777" w:rsidTr="004D777E">
        <w:trPr>
          <w:cantSplit/>
        </w:trPr>
        <w:tc>
          <w:tcPr>
            <w:tcW w:w="1560" w:type="dxa"/>
            <w:shd w:val="clear" w:color="auto" w:fill="auto"/>
          </w:tcPr>
          <w:p w14:paraId="79561BD2" w14:textId="77777777" w:rsidR="00C24855" w:rsidRPr="004360BF" w:rsidRDefault="00C24855" w:rsidP="00983241">
            <w:pPr>
              <w:spacing w:before="40" w:after="40"/>
              <w:rPr>
                <w:sz w:val="22"/>
                <w:szCs w:val="22"/>
                <w:lang w:val="en-AU"/>
              </w:rPr>
            </w:pPr>
            <w:r w:rsidRPr="004360BF">
              <w:rPr>
                <w:sz w:val="22"/>
                <w:szCs w:val="22"/>
                <w:lang w:val="en-AU"/>
              </w:rPr>
              <w:t>12</w:t>
            </w:r>
          </w:p>
        </w:tc>
        <w:tc>
          <w:tcPr>
            <w:tcW w:w="2126" w:type="dxa"/>
            <w:shd w:val="clear" w:color="auto" w:fill="auto"/>
          </w:tcPr>
          <w:p w14:paraId="77763488" w14:textId="77777777" w:rsidR="00C24855" w:rsidRPr="004360BF" w:rsidRDefault="00C24855" w:rsidP="00983241">
            <w:pPr>
              <w:spacing w:before="40" w:after="40"/>
              <w:rPr>
                <w:sz w:val="22"/>
                <w:szCs w:val="22"/>
                <w:lang w:val="en-AU"/>
              </w:rPr>
            </w:pPr>
            <w:r w:rsidRPr="004360BF">
              <w:rPr>
                <w:sz w:val="22"/>
                <w:szCs w:val="22"/>
                <w:lang w:val="en-AU"/>
              </w:rPr>
              <w:t xml:space="preserve">Power Networks’ Revenue </w:t>
            </w:r>
            <w:r w:rsidR="001766E3" w:rsidRPr="004360BF">
              <w:rPr>
                <w:sz w:val="22"/>
                <w:szCs w:val="22"/>
                <w:lang w:val="en-AU"/>
              </w:rPr>
              <w:t>and</w:t>
            </w:r>
            <w:r w:rsidRPr="004360BF">
              <w:rPr>
                <w:sz w:val="22"/>
                <w:szCs w:val="22"/>
                <w:lang w:val="en-AU"/>
              </w:rPr>
              <w:t xml:space="preserve"> Tariff Changes – 2015/16</w:t>
            </w:r>
          </w:p>
        </w:tc>
        <w:tc>
          <w:tcPr>
            <w:tcW w:w="5670" w:type="dxa"/>
            <w:shd w:val="clear" w:color="auto" w:fill="auto"/>
          </w:tcPr>
          <w:p w14:paraId="0CCA3F51" w14:textId="77777777" w:rsidR="00C24855" w:rsidRPr="004360BF" w:rsidRDefault="00C24855" w:rsidP="00983241">
            <w:pPr>
              <w:spacing w:before="40" w:after="40"/>
              <w:rPr>
                <w:sz w:val="22"/>
                <w:szCs w:val="22"/>
                <w:lang w:val="en-AU"/>
              </w:rPr>
            </w:pPr>
            <w:r w:rsidRPr="004360BF">
              <w:rPr>
                <w:sz w:val="22"/>
                <w:szCs w:val="22"/>
                <w:lang w:val="en-AU"/>
              </w:rPr>
              <w:t xml:space="preserve">Sets out the expected weighted average revenue for each tariff class and the increase to each tariff charging parameter in 2015/16. </w:t>
            </w:r>
          </w:p>
        </w:tc>
      </w:tr>
      <w:tr w:rsidR="00C24855" w:rsidRPr="004360BF" w14:paraId="70D7F0A8" w14:textId="77777777" w:rsidTr="004D777E">
        <w:trPr>
          <w:cantSplit/>
        </w:trPr>
        <w:tc>
          <w:tcPr>
            <w:tcW w:w="1560" w:type="dxa"/>
            <w:shd w:val="clear" w:color="auto" w:fill="auto"/>
          </w:tcPr>
          <w:p w14:paraId="0255816B" w14:textId="77777777" w:rsidR="00C24855" w:rsidRPr="004360BF" w:rsidRDefault="00C24855" w:rsidP="00983241">
            <w:pPr>
              <w:spacing w:before="40" w:after="40"/>
              <w:rPr>
                <w:sz w:val="22"/>
                <w:szCs w:val="22"/>
                <w:lang w:val="en-AU"/>
              </w:rPr>
            </w:pPr>
            <w:r w:rsidRPr="004360BF">
              <w:rPr>
                <w:sz w:val="22"/>
                <w:szCs w:val="22"/>
                <w:lang w:val="en-AU"/>
              </w:rPr>
              <w:t>13</w:t>
            </w:r>
          </w:p>
        </w:tc>
        <w:tc>
          <w:tcPr>
            <w:tcW w:w="2126" w:type="dxa"/>
            <w:shd w:val="clear" w:color="auto" w:fill="auto"/>
          </w:tcPr>
          <w:p w14:paraId="25529082" w14:textId="77777777" w:rsidR="00C24855" w:rsidRPr="004360BF" w:rsidRDefault="00C24855" w:rsidP="00983241">
            <w:pPr>
              <w:spacing w:before="40" w:after="40"/>
              <w:rPr>
                <w:sz w:val="22"/>
                <w:szCs w:val="22"/>
                <w:lang w:val="en-AU"/>
              </w:rPr>
            </w:pPr>
            <w:r w:rsidRPr="004360BF">
              <w:rPr>
                <w:sz w:val="22"/>
                <w:szCs w:val="22"/>
                <w:lang w:val="en-AU"/>
              </w:rPr>
              <w:t>Customer Impacts</w:t>
            </w:r>
          </w:p>
        </w:tc>
        <w:tc>
          <w:tcPr>
            <w:tcW w:w="5670" w:type="dxa"/>
            <w:shd w:val="clear" w:color="auto" w:fill="auto"/>
          </w:tcPr>
          <w:p w14:paraId="6B7E8C44" w14:textId="77777777" w:rsidR="00C24855" w:rsidRPr="004360BF" w:rsidRDefault="00C24855" w:rsidP="00983241">
            <w:pPr>
              <w:spacing w:before="40" w:after="40"/>
              <w:rPr>
                <w:sz w:val="22"/>
                <w:szCs w:val="22"/>
                <w:lang w:val="en-AU"/>
              </w:rPr>
            </w:pPr>
            <w:r w:rsidRPr="004360BF">
              <w:rPr>
                <w:sz w:val="22"/>
                <w:szCs w:val="22"/>
                <w:lang w:val="en-AU"/>
              </w:rPr>
              <w:t>Considers the impact of the 2015/16 prices on customers and the nature of any variations and adjustments that could occur to tariffs.</w:t>
            </w:r>
          </w:p>
        </w:tc>
      </w:tr>
      <w:tr w:rsidR="00C24855" w:rsidRPr="004360BF" w14:paraId="30EA104A" w14:textId="77777777" w:rsidTr="004D777E">
        <w:trPr>
          <w:cantSplit/>
        </w:trPr>
        <w:tc>
          <w:tcPr>
            <w:tcW w:w="1560" w:type="dxa"/>
            <w:shd w:val="clear" w:color="auto" w:fill="auto"/>
          </w:tcPr>
          <w:p w14:paraId="273842DC" w14:textId="77777777" w:rsidR="00C24855" w:rsidRPr="004360BF" w:rsidRDefault="00C24855" w:rsidP="00983241">
            <w:pPr>
              <w:spacing w:before="40" w:after="40"/>
              <w:rPr>
                <w:sz w:val="22"/>
                <w:szCs w:val="22"/>
                <w:lang w:val="en-AU"/>
              </w:rPr>
            </w:pPr>
            <w:r w:rsidRPr="004360BF">
              <w:rPr>
                <w:sz w:val="22"/>
                <w:szCs w:val="22"/>
                <w:lang w:val="en-AU"/>
              </w:rPr>
              <w:t>14</w:t>
            </w:r>
          </w:p>
        </w:tc>
        <w:tc>
          <w:tcPr>
            <w:tcW w:w="2126" w:type="dxa"/>
            <w:shd w:val="clear" w:color="auto" w:fill="auto"/>
          </w:tcPr>
          <w:p w14:paraId="3469C611" w14:textId="77777777" w:rsidR="00C24855" w:rsidRPr="004360BF" w:rsidRDefault="00C24855" w:rsidP="00983241">
            <w:pPr>
              <w:spacing w:before="40" w:after="40"/>
              <w:rPr>
                <w:sz w:val="22"/>
                <w:szCs w:val="22"/>
                <w:lang w:val="en-AU"/>
              </w:rPr>
            </w:pPr>
            <w:r w:rsidRPr="004360BF">
              <w:rPr>
                <w:sz w:val="22"/>
                <w:szCs w:val="22"/>
                <w:lang w:val="en-AU"/>
              </w:rPr>
              <w:t>Compliance</w:t>
            </w:r>
          </w:p>
        </w:tc>
        <w:tc>
          <w:tcPr>
            <w:tcW w:w="5670" w:type="dxa"/>
            <w:shd w:val="clear" w:color="auto" w:fill="auto"/>
          </w:tcPr>
          <w:p w14:paraId="58E05357" w14:textId="77777777" w:rsidR="00C24855" w:rsidRPr="004360BF" w:rsidRDefault="00C24855" w:rsidP="00983241">
            <w:pPr>
              <w:spacing w:before="40" w:after="40"/>
              <w:rPr>
                <w:sz w:val="22"/>
                <w:szCs w:val="22"/>
                <w:lang w:val="en-AU"/>
              </w:rPr>
            </w:pPr>
            <w:r w:rsidRPr="004360BF">
              <w:rPr>
                <w:sz w:val="22"/>
                <w:szCs w:val="22"/>
                <w:lang w:val="en-AU"/>
              </w:rPr>
              <w:t>This chapter demonstrates the compliance of Power Networks’ proposed network tariffs for the 2015/16 regulatory year.</w:t>
            </w:r>
          </w:p>
        </w:tc>
      </w:tr>
      <w:tr w:rsidR="00C24855" w:rsidRPr="004360BF" w14:paraId="75DC528C" w14:textId="77777777" w:rsidTr="004D777E">
        <w:trPr>
          <w:cantSplit/>
        </w:trPr>
        <w:tc>
          <w:tcPr>
            <w:tcW w:w="1560" w:type="dxa"/>
            <w:shd w:val="clear" w:color="auto" w:fill="auto"/>
          </w:tcPr>
          <w:p w14:paraId="1E7FBF00" w14:textId="77777777" w:rsidR="00C24855" w:rsidRPr="004360BF" w:rsidRDefault="00C24855" w:rsidP="00983241">
            <w:pPr>
              <w:spacing w:before="40" w:after="40"/>
              <w:rPr>
                <w:sz w:val="22"/>
                <w:szCs w:val="22"/>
                <w:lang w:val="en-AU"/>
              </w:rPr>
            </w:pPr>
            <w:r w:rsidRPr="004360BF">
              <w:rPr>
                <w:sz w:val="22"/>
                <w:szCs w:val="22"/>
                <w:lang w:val="en-AU"/>
              </w:rPr>
              <w:t>15</w:t>
            </w:r>
          </w:p>
        </w:tc>
        <w:tc>
          <w:tcPr>
            <w:tcW w:w="2126" w:type="dxa"/>
            <w:shd w:val="clear" w:color="auto" w:fill="auto"/>
          </w:tcPr>
          <w:p w14:paraId="25CF2DDB" w14:textId="77777777" w:rsidR="00C24855" w:rsidRPr="004360BF" w:rsidRDefault="00C24855" w:rsidP="00983241">
            <w:pPr>
              <w:spacing w:before="40" w:after="40"/>
              <w:rPr>
                <w:sz w:val="22"/>
                <w:szCs w:val="22"/>
                <w:lang w:val="en-AU"/>
              </w:rPr>
            </w:pPr>
            <w:r w:rsidRPr="004360BF">
              <w:rPr>
                <w:sz w:val="22"/>
                <w:szCs w:val="22"/>
                <w:lang w:val="en-AU"/>
              </w:rPr>
              <w:t xml:space="preserve">Price Modelling </w:t>
            </w:r>
          </w:p>
        </w:tc>
        <w:tc>
          <w:tcPr>
            <w:tcW w:w="5670" w:type="dxa"/>
            <w:shd w:val="clear" w:color="auto" w:fill="auto"/>
          </w:tcPr>
          <w:p w14:paraId="181EEFA5" w14:textId="77777777" w:rsidR="00C24855" w:rsidRPr="004360BF" w:rsidRDefault="00C24855" w:rsidP="00983241">
            <w:pPr>
              <w:spacing w:before="40" w:after="40"/>
              <w:rPr>
                <w:sz w:val="22"/>
                <w:szCs w:val="22"/>
                <w:lang w:val="en-AU"/>
              </w:rPr>
            </w:pPr>
            <w:r w:rsidRPr="004360BF">
              <w:rPr>
                <w:sz w:val="22"/>
                <w:szCs w:val="22"/>
                <w:lang w:val="en-AU"/>
              </w:rPr>
              <w:t>Describes the Pricing Proposal Model (confidential) that is submitted as an attachment to this document.</w:t>
            </w:r>
          </w:p>
        </w:tc>
      </w:tr>
      <w:tr w:rsidR="00C24855" w:rsidRPr="004360BF" w14:paraId="60B7396D" w14:textId="77777777" w:rsidTr="004D777E">
        <w:trPr>
          <w:cantSplit/>
        </w:trPr>
        <w:tc>
          <w:tcPr>
            <w:tcW w:w="9356" w:type="dxa"/>
            <w:gridSpan w:val="3"/>
            <w:shd w:val="clear" w:color="auto" w:fill="auto"/>
          </w:tcPr>
          <w:p w14:paraId="2057BB40" w14:textId="77777777" w:rsidR="00C24855" w:rsidRPr="004360BF" w:rsidRDefault="00C24855" w:rsidP="00946FE7">
            <w:pPr>
              <w:keepNext/>
              <w:spacing w:before="40" w:after="40"/>
              <w:rPr>
                <w:sz w:val="22"/>
                <w:szCs w:val="22"/>
                <w:highlight w:val="green"/>
                <w:lang w:val="en-AU"/>
              </w:rPr>
            </w:pPr>
            <w:r w:rsidRPr="004360BF">
              <w:rPr>
                <w:sz w:val="22"/>
                <w:lang w:val="en-AU"/>
              </w:rPr>
              <w:lastRenderedPageBreak/>
              <w:t>PART C: ATTACHMENTS</w:t>
            </w:r>
          </w:p>
        </w:tc>
      </w:tr>
      <w:tr w:rsidR="00C24855" w:rsidRPr="004360BF" w14:paraId="37E3C7F2" w14:textId="77777777" w:rsidTr="004D777E">
        <w:trPr>
          <w:cantSplit/>
        </w:trPr>
        <w:tc>
          <w:tcPr>
            <w:tcW w:w="1560" w:type="dxa"/>
            <w:shd w:val="clear" w:color="auto" w:fill="auto"/>
          </w:tcPr>
          <w:p w14:paraId="7022E6C2" w14:textId="77777777" w:rsidR="00C24855" w:rsidRPr="004360BF" w:rsidRDefault="00C24855" w:rsidP="00983241">
            <w:pPr>
              <w:spacing w:before="40" w:after="40"/>
              <w:rPr>
                <w:sz w:val="22"/>
                <w:szCs w:val="22"/>
                <w:lang w:val="en-AU"/>
              </w:rPr>
            </w:pPr>
            <w:r w:rsidRPr="004360BF">
              <w:rPr>
                <w:sz w:val="22"/>
                <w:szCs w:val="22"/>
                <w:lang w:val="en-AU"/>
              </w:rPr>
              <w:t>Attachment 1</w:t>
            </w:r>
          </w:p>
        </w:tc>
        <w:tc>
          <w:tcPr>
            <w:tcW w:w="2126" w:type="dxa"/>
            <w:shd w:val="clear" w:color="auto" w:fill="auto"/>
          </w:tcPr>
          <w:p w14:paraId="05FB8A5B" w14:textId="77777777" w:rsidR="00C24855" w:rsidRPr="004360BF" w:rsidRDefault="00C24855" w:rsidP="00983241">
            <w:pPr>
              <w:spacing w:before="40" w:after="40"/>
              <w:rPr>
                <w:sz w:val="22"/>
                <w:szCs w:val="22"/>
                <w:lang w:val="en-AU"/>
              </w:rPr>
            </w:pPr>
            <w:r w:rsidRPr="004360BF">
              <w:rPr>
                <w:sz w:val="22"/>
                <w:szCs w:val="22"/>
                <w:lang w:val="en-AU"/>
              </w:rPr>
              <w:t>Network Service Classification</w:t>
            </w:r>
          </w:p>
        </w:tc>
        <w:tc>
          <w:tcPr>
            <w:tcW w:w="5670" w:type="dxa"/>
            <w:shd w:val="clear" w:color="auto" w:fill="auto"/>
          </w:tcPr>
          <w:p w14:paraId="1DF76B80" w14:textId="77777777" w:rsidR="00C24855" w:rsidRPr="004360BF" w:rsidRDefault="00C24855" w:rsidP="00983241">
            <w:pPr>
              <w:spacing w:before="40" w:after="40"/>
              <w:rPr>
                <w:sz w:val="22"/>
                <w:szCs w:val="22"/>
                <w:lang w:val="en-AU"/>
              </w:rPr>
            </w:pPr>
            <w:r w:rsidRPr="004360BF">
              <w:rPr>
                <w:sz w:val="22"/>
                <w:szCs w:val="22"/>
                <w:lang w:val="en-AU"/>
              </w:rPr>
              <w:t xml:space="preserve">Includes the </w:t>
            </w:r>
            <w:r w:rsidRPr="004360BF">
              <w:rPr>
                <w:rFonts w:eastAsia="MS Gothic"/>
                <w:bCs/>
                <w:sz w:val="22"/>
                <w:szCs w:val="22"/>
                <w:lang w:val="en-AU" w:eastAsia="en-AU"/>
              </w:rPr>
              <w:t>Commission’s classification of Power Networks’ network access services, as per the 2014 NPD Final Determination.</w:t>
            </w:r>
          </w:p>
        </w:tc>
      </w:tr>
      <w:tr w:rsidR="00C24855" w:rsidRPr="004360BF" w14:paraId="5897AE1D" w14:textId="77777777" w:rsidTr="004D777E">
        <w:trPr>
          <w:cantSplit/>
        </w:trPr>
        <w:tc>
          <w:tcPr>
            <w:tcW w:w="1560" w:type="dxa"/>
            <w:shd w:val="clear" w:color="auto" w:fill="auto"/>
          </w:tcPr>
          <w:p w14:paraId="387A5C77" w14:textId="77777777" w:rsidR="00C24855" w:rsidRPr="004360BF" w:rsidRDefault="00C24855" w:rsidP="00983241">
            <w:pPr>
              <w:spacing w:before="40" w:after="40"/>
              <w:rPr>
                <w:sz w:val="22"/>
                <w:szCs w:val="22"/>
                <w:lang w:val="en-AU"/>
              </w:rPr>
            </w:pPr>
            <w:r w:rsidRPr="004360BF">
              <w:rPr>
                <w:sz w:val="22"/>
                <w:szCs w:val="22"/>
                <w:lang w:val="en-AU"/>
              </w:rPr>
              <w:t>Attachment 2</w:t>
            </w:r>
          </w:p>
        </w:tc>
        <w:tc>
          <w:tcPr>
            <w:tcW w:w="2126" w:type="dxa"/>
            <w:shd w:val="clear" w:color="auto" w:fill="auto"/>
          </w:tcPr>
          <w:p w14:paraId="493A1AFF" w14:textId="77777777" w:rsidR="00C24855" w:rsidRPr="004360BF" w:rsidRDefault="00C24855" w:rsidP="00983241">
            <w:pPr>
              <w:spacing w:before="40" w:after="40"/>
              <w:rPr>
                <w:sz w:val="22"/>
                <w:szCs w:val="22"/>
                <w:lang w:val="en-AU"/>
              </w:rPr>
            </w:pPr>
            <w:r w:rsidRPr="004360BF">
              <w:rPr>
                <w:sz w:val="22"/>
                <w:szCs w:val="22"/>
                <w:lang w:val="en-AU"/>
              </w:rPr>
              <w:t>Cost of Supply Modelling</w:t>
            </w:r>
          </w:p>
        </w:tc>
        <w:tc>
          <w:tcPr>
            <w:tcW w:w="5670" w:type="dxa"/>
            <w:shd w:val="clear" w:color="auto" w:fill="auto"/>
          </w:tcPr>
          <w:p w14:paraId="552A7357" w14:textId="77777777" w:rsidR="00C24855" w:rsidRPr="004360BF" w:rsidRDefault="00C24855" w:rsidP="00983241">
            <w:pPr>
              <w:spacing w:before="40" w:after="40"/>
              <w:rPr>
                <w:sz w:val="22"/>
                <w:szCs w:val="22"/>
                <w:lang w:val="en-AU"/>
              </w:rPr>
            </w:pPr>
            <w:r w:rsidRPr="004360BF">
              <w:rPr>
                <w:sz w:val="22"/>
                <w:szCs w:val="22"/>
                <w:lang w:val="en-AU"/>
              </w:rPr>
              <w:t xml:space="preserve">Description of Power Networks’ approach to modelling the cost of supply. </w:t>
            </w:r>
          </w:p>
        </w:tc>
      </w:tr>
      <w:tr w:rsidR="00C24855" w:rsidRPr="004360BF" w14:paraId="75C38CD9" w14:textId="77777777" w:rsidTr="004D777E">
        <w:trPr>
          <w:cantSplit/>
        </w:trPr>
        <w:tc>
          <w:tcPr>
            <w:tcW w:w="1560" w:type="dxa"/>
            <w:shd w:val="clear" w:color="auto" w:fill="auto"/>
          </w:tcPr>
          <w:p w14:paraId="4DFF82C0" w14:textId="77777777" w:rsidR="00C24855" w:rsidRPr="004360BF" w:rsidRDefault="00C24855" w:rsidP="00983241">
            <w:pPr>
              <w:spacing w:before="40" w:after="40"/>
              <w:rPr>
                <w:sz w:val="22"/>
                <w:szCs w:val="22"/>
                <w:lang w:val="en-AU"/>
              </w:rPr>
            </w:pPr>
            <w:r w:rsidRPr="004360BF">
              <w:rPr>
                <w:sz w:val="22"/>
                <w:szCs w:val="22"/>
                <w:lang w:val="en-AU"/>
              </w:rPr>
              <w:t>Attachment 3</w:t>
            </w:r>
          </w:p>
        </w:tc>
        <w:tc>
          <w:tcPr>
            <w:tcW w:w="2126" w:type="dxa"/>
            <w:shd w:val="clear" w:color="auto" w:fill="auto"/>
          </w:tcPr>
          <w:p w14:paraId="5E47CF06" w14:textId="77777777" w:rsidR="00C24855" w:rsidRPr="004360BF" w:rsidRDefault="00C24855" w:rsidP="00983241">
            <w:pPr>
              <w:spacing w:before="40" w:after="40"/>
              <w:rPr>
                <w:sz w:val="22"/>
                <w:szCs w:val="22"/>
                <w:lang w:val="en-AU"/>
              </w:rPr>
            </w:pPr>
            <w:r w:rsidRPr="004360BF">
              <w:rPr>
                <w:sz w:val="22"/>
                <w:szCs w:val="22"/>
                <w:lang w:val="en-AU"/>
              </w:rPr>
              <w:t>Tariffs for 2015/16</w:t>
            </w:r>
          </w:p>
        </w:tc>
        <w:tc>
          <w:tcPr>
            <w:tcW w:w="5670" w:type="dxa"/>
            <w:shd w:val="clear" w:color="auto" w:fill="auto"/>
          </w:tcPr>
          <w:p w14:paraId="03DDF9C4" w14:textId="77777777" w:rsidR="00C24855" w:rsidRPr="004360BF" w:rsidRDefault="00C24855" w:rsidP="00983241">
            <w:pPr>
              <w:spacing w:before="40" w:after="40"/>
              <w:rPr>
                <w:sz w:val="22"/>
                <w:szCs w:val="22"/>
                <w:lang w:val="en-AU"/>
              </w:rPr>
            </w:pPr>
            <w:r w:rsidRPr="004360BF">
              <w:rPr>
                <w:sz w:val="22"/>
                <w:szCs w:val="22"/>
                <w:lang w:val="en-AU"/>
              </w:rPr>
              <w:t>Power Networks’ proposed standard control network tariffs for 2015/16.</w:t>
            </w:r>
          </w:p>
        </w:tc>
      </w:tr>
      <w:tr w:rsidR="00C24855" w:rsidRPr="004360BF" w14:paraId="44ED8C1B" w14:textId="77777777" w:rsidTr="004D777E">
        <w:trPr>
          <w:cantSplit/>
        </w:trPr>
        <w:tc>
          <w:tcPr>
            <w:tcW w:w="1560" w:type="dxa"/>
            <w:shd w:val="clear" w:color="auto" w:fill="auto"/>
          </w:tcPr>
          <w:p w14:paraId="69FF46F5" w14:textId="77777777" w:rsidR="00C24855" w:rsidRPr="004360BF" w:rsidRDefault="00C24855" w:rsidP="00983241">
            <w:pPr>
              <w:spacing w:before="40" w:after="40"/>
              <w:rPr>
                <w:sz w:val="22"/>
                <w:szCs w:val="22"/>
                <w:lang w:val="en-AU"/>
              </w:rPr>
            </w:pPr>
            <w:r w:rsidRPr="004360BF">
              <w:rPr>
                <w:sz w:val="22"/>
                <w:szCs w:val="22"/>
                <w:lang w:val="en-AU"/>
              </w:rPr>
              <w:t>Attachment 4</w:t>
            </w:r>
          </w:p>
        </w:tc>
        <w:tc>
          <w:tcPr>
            <w:tcW w:w="2126" w:type="dxa"/>
            <w:shd w:val="clear" w:color="auto" w:fill="auto"/>
          </w:tcPr>
          <w:p w14:paraId="01521507" w14:textId="77777777" w:rsidR="00C24855" w:rsidRPr="004360BF" w:rsidRDefault="00C24855" w:rsidP="00983241">
            <w:pPr>
              <w:spacing w:before="40" w:after="40"/>
              <w:rPr>
                <w:sz w:val="22"/>
                <w:szCs w:val="22"/>
                <w:lang w:val="en-AU"/>
              </w:rPr>
            </w:pPr>
            <w:r w:rsidRPr="004360BF">
              <w:rPr>
                <w:sz w:val="22"/>
                <w:szCs w:val="22"/>
                <w:lang w:val="en-AU"/>
              </w:rPr>
              <w:t xml:space="preserve">Compliance Checklist </w:t>
            </w:r>
          </w:p>
        </w:tc>
        <w:tc>
          <w:tcPr>
            <w:tcW w:w="5670" w:type="dxa"/>
            <w:shd w:val="clear" w:color="auto" w:fill="auto"/>
          </w:tcPr>
          <w:p w14:paraId="44FD4FDC" w14:textId="77777777" w:rsidR="00C24855" w:rsidRPr="004360BF" w:rsidRDefault="00C24855" w:rsidP="00983241">
            <w:pPr>
              <w:spacing w:before="40" w:after="40"/>
              <w:rPr>
                <w:sz w:val="22"/>
                <w:szCs w:val="22"/>
                <w:lang w:val="en-AU"/>
              </w:rPr>
            </w:pPr>
            <w:r w:rsidRPr="004360BF">
              <w:rPr>
                <w:sz w:val="22"/>
                <w:szCs w:val="22"/>
                <w:lang w:val="en-AU"/>
              </w:rPr>
              <w:t>Checklist of compliance requirements cross-referenced to sections of this Pricing Proposal.</w:t>
            </w:r>
          </w:p>
        </w:tc>
      </w:tr>
      <w:tr w:rsidR="00C24855" w:rsidRPr="004360BF" w14:paraId="3AB68815" w14:textId="77777777" w:rsidTr="004D777E">
        <w:trPr>
          <w:cantSplit/>
        </w:trPr>
        <w:tc>
          <w:tcPr>
            <w:tcW w:w="1560" w:type="dxa"/>
            <w:shd w:val="clear" w:color="auto" w:fill="auto"/>
          </w:tcPr>
          <w:p w14:paraId="6824BD4D" w14:textId="77777777" w:rsidR="00C24855" w:rsidRPr="004360BF" w:rsidRDefault="00C24855" w:rsidP="00983241">
            <w:pPr>
              <w:spacing w:before="40" w:after="40"/>
              <w:rPr>
                <w:sz w:val="22"/>
                <w:szCs w:val="22"/>
                <w:lang w:val="en-AU"/>
              </w:rPr>
            </w:pPr>
            <w:r w:rsidRPr="004360BF">
              <w:rPr>
                <w:sz w:val="22"/>
                <w:szCs w:val="22"/>
                <w:lang w:val="en-AU"/>
              </w:rPr>
              <w:t>Attachment 5</w:t>
            </w:r>
          </w:p>
        </w:tc>
        <w:tc>
          <w:tcPr>
            <w:tcW w:w="2126" w:type="dxa"/>
            <w:shd w:val="clear" w:color="auto" w:fill="auto"/>
          </w:tcPr>
          <w:p w14:paraId="647F167A" w14:textId="77777777" w:rsidR="00C24855" w:rsidRPr="004360BF" w:rsidRDefault="00C24855" w:rsidP="00983241">
            <w:pPr>
              <w:spacing w:before="40" w:after="40"/>
              <w:rPr>
                <w:sz w:val="22"/>
                <w:szCs w:val="22"/>
                <w:lang w:val="en-AU"/>
              </w:rPr>
            </w:pPr>
            <w:r w:rsidRPr="004360BF">
              <w:rPr>
                <w:sz w:val="22"/>
                <w:szCs w:val="22"/>
                <w:lang w:val="en-AU"/>
              </w:rPr>
              <w:t>Glossary</w:t>
            </w:r>
          </w:p>
        </w:tc>
        <w:tc>
          <w:tcPr>
            <w:tcW w:w="5670" w:type="dxa"/>
            <w:shd w:val="clear" w:color="auto" w:fill="auto"/>
          </w:tcPr>
          <w:p w14:paraId="7A8E288C" w14:textId="77777777" w:rsidR="00C24855" w:rsidRPr="004360BF" w:rsidRDefault="00C24855" w:rsidP="00983241">
            <w:pPr>
              <w:spacing w:before="40" w:after="40"/>
              <w:rPr>
                <w:sz w:val="22"/>
                <w:szCs w:val="22"/>
                <w:lang w:val="en-AU"/>
              </w:rPr>
            </w:pPr>
            <w:r w:rsidRPr="004360BF">
              <w:rPr>
                <w:sz w:val="22"/>
                <w:szCs w:val="22"/>
                <w:lang w:val="en-AU"/>
              </w:rPr>
              <w:t>Abbreviations used in this document.</w:t>
            </w:r>
          </w:p>
        </w:tc>
      </w:tr>
      <w:tr w:rsidR="00C24855" w:rsidRPr="004360BF" w14:paraId="2AC1BCE4" w14:textId="77777777" w:rsidTr="004D777E">
        <w:trPr>
          <w:cantSplit/>
          <w:trHeight w:val="195"/>
        </w:trPr>
        <w:tc>
          <w:tcPr>
            <w:tcW w:w="1560" w:type="dxa"/>
            <w:shd w:val="clear" w:color="auto" w:fill="auto"/>
          </w:tcPr>
          <w:p w14:paraId="078F65F9" w14:textId="77777777" w:rsidR="00C24855" w:rsidRPr="004360BF" w:rsidRDefault="00C24855" w:rsidP="00983241">
            <w:pPr>
              <w:spacing w:before="40" w:after="40"/>
              <w:rPr>
                <w:sz w:val="22"/>
                <w:szCs w:val="22"/>
                <w:lang w:val="en-AU"/>
              </w:rPr>
            </w:pPr>
            <w:r w:rsidRPr="004360BF">
              <w:rPr>
                <w:sz w:val="22"/>
                <w:szCs w:val="22"/>
                <w:lang w:val="en-AU"/>
              </w:rPr>
              <w:t>Confidential</w:t>
            </w:r>
            <w:r w:rsidRPr="004360BF">
              <w:rPr>
                <w:sz w:val="22"/>
                <w:szCs w:val="22"/>
                <w:lang w:val="en-AU"/>
              </w:rPr>
              <w:br/>
              <w:t>Attachment 6</w:t>
            </w:r>
          </w:p>
        </w:tc>
        <w:tc>
          <w:tcPr>
            <w:tcW w:w="2126" w:type="dxa"/>
            <w:shd w:val="clear" w:color="auto" w:fill="auto"/>
          </w:tcPr>
          <w:p w14:paraId="2347BADB" w14:textId="77777777" w:rsidR="00C24855" w:rsidRPr="004360BF" w:rsidRDefault="00C24855" w:rsidP="00983241">
            <w:pPr>
              <w:spacing w:before="40" w:after="40"/>
              <w:rPr>
                <w:sz w:val="22"/>
                <w:szCs w:val="22"/>
                <w:lang w:val="en-AU"/>
              </w:rPr>
            </w:pPr>
            <w:r w:rsidRPr="004360BF">
              <w:rPr>
                <w:sz w:val="22"/>
                <w:szCs w:val="22"/>
                <w:lang w:val="en-AU"/>
              </w:rPr>
              <w:t>Cost of Supply Model (2015/16 Pricing Proposal Model)</w:t>
            </w:r>
          </w:p>
        </w:tc>
        <w:tc>
          <w:tcPr>
            <w:tcW w:w="5670" w:type="dxa"/>
            <w:shd w:val="clear" w:color="auto" w:fill="auto"/>
          </w:tcPr>
          <w:p w14:paraId="11D81C48" w14:textId="77777777" w:rsidR="00C24855" w:rsidRPr="004360BF" w:rsidRDefault="00C24855" w:rsidP="00983241">
            <w:pPr>
              <w:spacing w:before="40" w:after="40"/>
              <w:rPr>
                <w:sz w:val="22"/>
                <w:szCs w:val="22"/>
                <w:lang w:val="en-AU"/>
              </w:rPr>
            </w:pPr>
            <w:r w:rsidRPr="004360BF">
              <w:rPr>
                <w:sz w:val="22"/>
                <w:szCs w:val="22"/>
                <w:lang w:val="en-AU"/>
              </w:rPr>
              <w:t>Modelling of the cost of providing standard network access services.</w:t>
            </w:r>
          </w:p>
        </w:tc>
      </w:tr>
    </w:tbl>
    <w:p w14:paraId="65783C49" w14:textId="77777777" w:rsidR="00C24855" w:rsidRPr="004360BF" w:rsidRDefault="00C24855" w:rsidP="00C24855">
      <w:pPr>
        <w:spacing w:after="0"/>
        <w:rPr>
          <w:lang w:val="en-AU"/>
        </w:rPr>
      </w:pPr>
    </w:p>
    <w:p w14:paraId="50ADA4F8" w14:textId="77777777" w:rsidR="00C24855" w:rsidRPr="004360BF" w:rsidRDefault="00C24855" w:rsidP="00B30BF6">
      <w:pPr>
        <w:pStyle w:val="Heading2"/>
      </w:pPr>
      <w:bookmarkStart w:id="38" w:name="_Toc387600446"/>
      <w:bookmarkStart w:id="39" w:name="_Toc417291227"/>
      <w:bookmarkStart w:id="40" w:name="_Toc417291720"/>
      <w:bookmarkStart w:id="41" w:name="_Toc417292488"/>
      <w:bookmarkStart w:id="42" w:name="_Toc291262212"/>
      <w:bookmarkStart w:id="43" w:name="_Toc417457990"/>
      <w:bookmarkStart w:id="44" w:name="_Toc418608659"/>
      <w:r w:rsidRPr="004360BF">
        <w:t>Confidentiality</w:t>
      </w:r>
      <w:bookmarkEnd w:id="38"/>
      <w:bookmarkEnd w:id="39"/>
      <w:bookmarkEnd w:id="40"/>
      <w:bookmarkEnd w:id="41"/>
      <w:bookmarkEnd w:id="42"/>
      <w:bookmarkEnd w:id="43"/>
      <w:bookmarkEnd w:id="44"/>
    </w:p>
    <w:p w14:paraId="309E9FE0" w14:textId="7C56B109" w:rsidR="00C24855" w:rsidRPr="004360BF" w:rsidRDefault="00C24855" w:rsidP="00B30BF6">
      <w:pPr>
        <w:rPr>
          <w:lang w:val="en-AU"/>
        </w:rPr>
      </w:pPr>
      <w:r w:rsidRPr="004360BF">
        <w:rPr>
          <w:lang w:val="en-AU"/>
        </w:rPr>
        <w:t xml:space="preserve">The TPA Code does not contain a confidentiality provision in relation to customers’ consumption and billing information, which </w:t>
      </w:r>
      <w:r w:rsidR="00B30BF6" w:rsidRPr="004360BF">
        <w:rPr>
          <w:lang w:val="en-AU"/>
        </w:rPr>
        <w:t>Power</w:t>
      </w:r>
      <w:r w:rsidRPr="004360BF">
        <w:rPr>
          <w:lang w:val="en-AU"/>
        </w:rPr>
        <w:t xml:space="preserve"> Networks considers to be confidential.</w:t>
      </w:r>
    </w:p>
    <w:p w14:paraId="50682FC9" w14:textId="3E6EF71E" w:rsidR="00C24855" w:rsidRPr="004360BF" w:rsidRDefault="00C24855" w:rsidP="00B30BF6">
      <w:pPr>
        <w:pStyle w:val="Dottop"/>
        <w:rPr>
          <w:lang w:val="en-AU"/>
        </w:rPr>
      </w:pPr>
      <w:r w:rsidRPr="004360BF">
        <w:rPr>
          <w:lang w:val="en-AU"/>
        </w:rPr>
        <w:t xml:space="preserve">The Rules </w:t>
      </w:r>
      <w:r w:rsidR="00B30BF6" w:rsidRPr="004360BF">
        <w:rPr>
          <w:lang w:val="en-AU"/>
        </w:rPr>
        <w:t>provide</w:t>
      </w:r>
      <w:r w:rsidRPr="004360BF">
        <w:rPr>
          <w:lang w:val="en-AU"/>
        </w:rPr>
        <w:t xml:space="preserve"> for the confidentiality of pricing information in the following circumstances.</w:t>
      </w:r>
    </w:p>
    <w:p w14:paraId="47FE22F0" w14:textId="77777777" w:rsidR="00C24855" w:rsidRPr="004360BF" w:rsidRDefault="00C24855" w:rsidP="007015D6">
      <w:pPr>
        <w:spacing w:after="120"/>
        <w:ind w:left="1846" w:hanging="994"/>
        <w:rPr>
          <w:rFonts w:cs="Tahoma"/>
          <w:b/>
          <w:bCs/>
          <w:sz w:val="22"/>
          <w:szCs w:val="22"/>
          <w:lang w:val="en-AU"/>
        </w:rPr>
      </w:pPr>
      <w:r w:rsidRPr="004360BF">
        <w:rPr>
          <w:rFonts w:cs="Tahoma"/>
          <w:b/>
          <w:sz w:val="22"/>
          <w:szCs w:val="22"/>
          <w:lang w:val="en-AU"/>
        </w:rPr>
        <w:t>6.19.2</w:t>
      </w:r>
      <w:r w:rsidRPr="004360BF">
        <w:rPr>
          <w:rFonts w:cs="Tahoma"/>
          <w:b/>
          <w:sz w:val="22"/>
          <w:szCs w:val="22"/>
          <w:lang w:val="en-AU"/>
        </w:rPr>
        <w:tab/>
        <w:t>Confidentiality of distribution network pricing information</w:t>
      </w:r>
    </w:p>
    <w:p w14:paraId="7B8F20C2" w14:textId="77777777" w:rsidR="00C24855" w:rsidRPr="004360BF" w:rsidRDefault="00C24855" w:rsidP="007015D6">
      <w:pPr>
        <w:ind w:left="1846" w:hanging="994"/>
        <w:rPr>
          <w:rFonts w:cs="Tahoma"/>
          <w:sz w:val="22"/>
          <w:szCs w:val="22"/>
          <w:lang w:val="en-AU"/>
        </w:rPr>
      </w:pPr>
      <w:r w:rsidRPr="004360BF">
        <w:rPr>
          <w:rFonts w:cs="Tahoma"/>
          <w:sz w:val="22"/>
          <w:szCs w:val="22"/>
          <w:lang w:val="en-AU"/>
        </w:rPr>
        <w:t>(a)</w:t>
      </w:r>
      <w:r w:rsidRPr="004360BF">
        <w:rPr>
          <w:rFonts w:cs="Tahoma"/>
          <w:sz w:val="22"/>
          <w:szCs w:val="22"/>
          <w:lang w:val="en-AU"/>
        </w:rPr>
        <w:tab/>
        <w:t xml:space="preserve">Subject to the Law and the </w:t>
      </w:r>
      <w:r w:rsidRPr="004360BF">
        <w:rPr>
          <w:rFonts w:cs="Tahoma"/>
          <w:i/>
          <w:sz w:val="22"/>
          <w:szCs w:val="22"/>
          <w:lang w:val="en-AU"/>
        </w:rPr>
        <w:t>Rules</w:t>
      </w:r>
      <w:r w:rsidRPr="004360BF">
        <w:rPr>
          <w:rFonts w:cs="Tahoma"/>
          <w:sz w:val="22"/>
          <w:szCs w:val="22"/>
          <w:lang w:val="en-AU"/>
        </w:rPr>
        <w:t xml:space="preserve">, all information about a </w:t>
      </w:r>
      <w:r w:rsidRPr="004360BF">
        <w:rPr>
          <w:rFonts w:cs="Tahoma"/>
          <w:i/>
          <w:sz w:val="22"/>
          <w:szCs w:val="22"/>
          <w:lang w:val="en-AU"/>
        </w:rPr>
        <w:t>Service Applicant</w:t>
      </w:r>
      <w:r w:rsidRPr="004360BF">
        <w:rPr>
          <w:rFonts w:cs="Tahoma"/>
          <w:sz w:val="22"/>
          <w:szCs w:val="22"/>
          <w:lang w:val="en-AU"/>
        </w:rPr>
        <w:t xml:space="preserve"> or </w:t>
      </w:r>
      <w:r w:rsidRPr="004360BF">
        <w:rPr>
          <w:rFonts w:cs="Tahoma"/>
          <w:i/>
          <w:sz w:val="22"/>
          <w:szCs w:val="22"/>
          <w:lang w:val="en-AU"/>
        </w:rPr>
        <w:t>Distribution Network User</w:t>
      </w:r>
      <w:r w:rsidRPr="004360BF">
        <w:rPr>
          <w:rFonts w:cs="Tahoma"/>
          <w:sz w:val="22"/>
          <w:szCs w:val="22"/>
          <w:lang w:val="en-AU"/>
        </w:rPr>
        <w:t xml:space="preserve"> used by </w:t>
      </w:r>
      <w:r w:rsidRPr="004360BF">
        <w:rPr>
          <w:rFonts w:cs="Tahoma"/>
          <w:i/>
          <w:sz w:val="22"/>
          <w:szCs w:val="22"/>
          <w:lang w:val="en-AU"/>
        </w:rPr>
        <w:t>Distribution Network Service Providers</w:t>
      </w:r>
      <w:r w:rsidRPr="004360BF">
        <w:rPr>
          <w:rFonts w:cs="Tahoma"/>
          <w:sz w:val="22"/>
          <w:szCs w:val="22"/>
          <w:lang w:val="en-AU"/>
        </w:rPr>
        <w:t xml:space="preserve"> for the purposes of </w:t>
      </w:r>
      <w:r w:rsidRPr="004360BF">
        <w:rPr>
          <w:rFonts w:cs="Tahoma"/>
          <w:i/>
          <w:sz w:val="22"/>
          <w:szCs w:val="22"/>
          <w:lang w:val="en-AU"/>
        </w:rPr>
        <w:t>distribution service</w:t>
      </w:r>
      <w:r w:rsidRPr="004360BF">
        <w:rPr>
          <w:rFonts w:cs="Tahoma"/>
          <w:sz w:val="22"/>
          <w:szCs w:val="22"/>
          <w:lang w:val="en-AU"/>
        </w:rPr>
        <w:t xml:space="preserve"> pricing is confidential information.</w:t>
      </w:r>
    </w:p>
    <w:p w14:paraId="3CE8AEEF" w14:textId="77777777" w:rsidR="00C24855" w:rsidRPr="004360BF" w:rsidRDefault="00C24855" w:rsidP="00C24855">
      <w:pPr>
        <w:keepNext/>
        <w:spacing w:after="120"/>
        <w:rPr>
          <w:lang w:val="en-AU"/>
        </w:rPr>
      </w:pPr>
      <w:r w:rsidRPr="004360BF">
        <w:rPr>
          <w:rFonts w:cs="Tahoma"/>
          <w:lang w:val="en-AU"/>
        </w:rPr>
        <w:t>The following attachment to the</w:t>
      </w:r>
      <w:r w:rsidRPr="004360BF">
        <w:rPr>
          <w:lang w:val="en-AU"/>
        </w:rPr>
        <w:t xml:space="preserve"> 2015/16 Pricing Proposal contains sensitive confidential information specific to </w:t>
      </w:r>
      <w:r w:rsidRPr="004360BF">
        <w:rPr>
          <w:rFonts w:cs="Tahoma"/>
          <w:lang w:val="en-AU"/>
        </w:rPr>
        <w:t>individual</w:t>
      </w:r>
      <w:r w:rsidRPr="004360BF">
        <w:rPr>
          <w:lang w:val="en-AU"/>
        </w:rPr>
        <w:t xml:space="preserve"> distribution network users:</w:t>
      </w:r>
    </w:p>
    <w:p w14:paraId="458BD56D" w14:textId="77777777" w:rsidR="00C24855" w:rsidRPr="004360BF" w:rsidRDefault="00C24855" w:rsidP="00C24855">
      <w:pPr>
        <w:ind w:left="720"/>
        <w:rPr>
          <w:lang w:val="en-AU"/>
        </w:rPr>
      </w:pPr>
      <w:r w:rsidRPr="004360BF">
        <w:rPr>
          <w:lang w:val="en-AU"/>
        </w:rPr>
        <w:t>Confidential Attachment 6 – Cost of Supply Model (2015</w:t>
      </w:r>
      <w:r w:rsidR="006B3299" w:rsidRPr="004360BF">
        <w:rPr>
          <w:lang w:val="en-AU"/>
        </w:rPr>
        <w:t>/</w:t>
      </w:r>
      <w:r w:rsidRPr="004360BF">
        <w:rPr>
          <w:lang w:val="en-AU"/>
        </w:rPr>
        <w:t>16 Pricing Proposal Model)</w:t>
      </w:r>
    </w:p>
    <w:p w14:paraId="20877ED5" w14:textId="77777777" w:rsidR="00C24855" w:rsidRPr="004360BF" w:rsidRDefault="00C24855" w:rsidP="00C24855">
      <w:pPr>
        <w:rPr>
          <w:lang w:val="en-AU"/>
        </w:rPr>
      </w:pPr>
      <w:r w:rsidRPr="004360BF">
        <w:rPr>
          <w:lang w:val="en-AU"/>
        </w:rPr>
        <w:t>Power Networks requests that the Commission does not disclose the information contained in this attachment to any person, except as permitted by any relevant legislation.</w:t>
      </w:r>
    </w:p>
    <w:p w14:paraId="091968C1" w14:textId="77777777" w:rsidR="00C24855" w:rsidRPr="004360BF" w:rsidRDefault="00C24855" w:rsidP="00B30BF6">
      <w:pPr>
        <w:pStyle w:val="Heading1"/>
      </w:pPr>
      <w:bookmarkStart w:id="45" w:name="_Toc387600447"/>
      <w:bookmarkStart w:id="46" w:name="_Toc417291228"/>
      <w:bookmarkStart w:id="47" w:name="_Toc417291721"/>
      <w:bookmarkStart w:id="48" w:name="_Toc417292489"/>
      <w:bookmarkStart w:id="49" w:name="_Toc291262213"/>
      <w:bookmarkStart w:id="50" w:name="_Toc417457991"/>
      <w:bookmarkStart w:id="51" w:name="_Toc418608660"/>
      <w:r w:rsidRPr="004360BF">
        <w:t>Business Characteristics</w:t>
      </w:r>
      <w:bookmarkEnd w:id="45"/>
      <w:bookmarkEnd w:id="46"/>
      <w:bookmarkEnd w:id="47"/>
      <w:bookmarkEnd w:id="48"/>
      <w:bookmarkEnd w:id="49"/>
      <w:bookmarkEnd w:id="50"/>
      <w:bookmarkEnd w:id="51"/>
    </w:p>
    <w:p w14:paraId="2ED47082" w14:textId="77777777" w:rsidR="00C24855" w:rsidRPr="004360BF" w:rsidRDefault="00C24855" w:rsidP="00C24855">
      <w:pPr>
        <w:rPr>
          <w:lang w:val="en-AU"/>
        </w:rPr>
      </w:pPr>
      <w:r w:rsidRPr="004360BF">
        <w:rPr>
          <w:lang w:val="en-AU"/>
        </w:rPr>
        <w:t>Power Networks is a ring-fenced electricity network business within Power and Water and has responsibility for planning, building and maintaining reliable electricity networks to transport electricity between electricity generators and electricity consumers in the Northern Territory. Its mission is to achieve this in a safe, reliable, efficient and environmentally sustainable manner.</w:t>
      </w:r>
    </w:p>
    <w:p w14:paraId="26ECEE24" w14:textId="77777777" w:rsidR="00C24855" w:rsidRPr="004360BF" w:rsidRDefault="00C24855" w:rsidP="007015D6">
      <w:pPr>
        <w:pStyle w:val="Dottop"/>
        <w:rPr>
          <w:lang w:val="en-AU"/>
        </w:rPr>
      </w:pPr>
      <w:r w:rsidRPr="004360BF">
        <w:rPr>
          <w:lang w:val="en-AU"/>
        </w:rPr>
        <w:lastRenderedPageBreak/>
        <w:t>Power Networks operates under a Network Licence issued by the Commission that authorises it to:</w:t>
      </w:r>
    </w:p>
    <w:p w14:paraId="6A78966B" w14:textId="77777777" w:rsidR="00C24855" w:rsidRPr="004360BF" w:rsidRDefault="00C24855" w:rsidP="007015D6">
      <w:pPr>
        <w:pStyle w:val="Dot"/>
        <w:rPr>
          <w:lang w:val="en-AU"/>
        </w:rPr>
      </w:pPr>
      <w:r w:rsidRPr="004360BF">
        <w:rPr>
          <w:lang w:val="en-AU"/>
        </w:rPr>
        <w:t>Own and operate an electricity network within the geographic area specified in Schedule 2 of that Network Licence; and</w:t>
      </w:r>
    </w:p>
    <w:p w14:paraId="2F2F81AE" w14:textId="77777777" w:rsidR="00C24855" w:rsidRPr="004360BF" w:rsidRDefault="00C24855" w:rsidP="007015D6">
      <w:pPr>
        <w:pStyle w:val="Dotbot"/>
        <w:rPr>
          <w:lang w:val="en-AU"/>
        </w:rPr>
      </w:pPr>
      <w:r w:rsidRPr="004360BF">
        <w:rPr>
          <w:lang w:val="en-AU"/>
        </w:rPr>
        <w:t>Connect the electricity network to another electricity network, in accordance with the terms and conditions of the Network Licence.</w:t>
      </w:r>
    </w:p>
    <w:p w14:paraId="4C8EBEE3" w14:textId="77777777" w:rsidR="00C24855" w:rsidRPr="004360BF" w:rsidRDefault="00C24855" w:rsidP="007015D6">
      <w:pPr>
        <w:pStyle w:val="Dottop"/>
        <w:rPr>
          <w:lang w:val="en-AU"/>
        </w:rPr>
      </w:pPr>
      <w:r w:rsidRPr="004360BF">
        <w:rPr>
          <w:lang w:val="en-AU"/>
        </w:rPr>
        <w:t>Schedule 2 of the Network Licence lists the regulated electricity networks covered by the Licence as:</w:t>
      </w:r>
    </w:p>
    <w:p w14:paraId="1B3DD9AB" w14:textId="77777777" w:rsidR="00C24855" w:rsidRPr="004360BF" w:rsidRDefault="00C24855" w:rsidP="007015D6">
      <w:pPr>
        <w:pStyle w:val="Dot"/>
        <w:rPr>
          <w:lang w:val="en-AU"/>
        </w:rPr>
      </w:pPr>
      <w:r w:rsidRPr="004360BF">
        <w:rPr>
          <w:lang w:val="en-AU"/>
        </w:rPr>
        <w:t>Darwin (city, suburbs and surrounding rural areas);</w:t>
      </w:r>
    </w:p>
    <w:p w14:paraId="2ED42860" w14:textId="77777777" w:rsidR="00C24855" w:rsidRPr="004360BF" w:rsidRDefault="00C24855" w:rsidP="007015D6">
      <w:pPr>
        <w:pStyle w:val="Dot"/>
        <w:rPr>
          <w:lang w:val="en-AU"/>
        </w:rPr>
      </w:pPr>
      <w:r w:rsidRPr="004360BF">
        <w:rPr>
          <w:lang w:val="en-AU"/>
        </w:rPr>
        <w:t>Katherine (township and surrounding rural areas);</w:t>
      </w:r>
    </w:p>
    <w:p w14:paraId="1C1DA7A5" w14:textId="77777777" w:rsidR="00C24855" w:rsidRPr="004360BF" w:rsidRDefault="00C24855" w:rsidP="007015D6">
      <w:pPr>
        <w:pStyle w:val="Dot"/>
        <w:rPr>
          <w:lang w:val="en-AU"/>
        </w:rPr>
      </w:pPr>
      <w:r w:rsidRPr="004360BF">
        <w:rPr>
          <w:lang w:val="en-AU"/>
        </w:rPr>
        <w:t>Darwin-Katherine Transmission Line (132kV) which extends from the network 132kV bus at Channel Island Power Station to a 132/22kV substation adjacent to the Katherine Power Station, with a 132/22kV substation at Manton and a 132/66kV substation at Pine Creek;</w:t>
      </w:r>
    </w:p>
    <w:p w14:paraId="38B52455" w14:textId="77777777" w:rsidR="00C24855" w:rsidRPr="004360BF" w:rsidRDefault="00C24855" w:rsidP="007015D6">
      <w:pPr>
        <w:pStyle w:val="Dot"/>
        <w:rPr>
          <w:lang w:val="en-AU"/>
        </w:rPr>
      </w:pPr>
      <w:r w:rsidRPr="004360BF">
        <w:rPr>
          <w:lang w:val="en-AU"/>
        </w:rPr>
        <w:t>Tennant Creek (township and surrounding rural areas); and</w:t>
      </w:r>
    </w:p>
    <w:p w14:paraId="183F9DFC" w14:textId="77777777" w:rsidR="00C24855" w:rsidRPr="004360BF" w:rsidRDefault="00C24855" w:rsidP="007015D6">
      <w:pPr>
        <w:pStyle w:val="Dotbot"/>
        <w:rPr>
          <w:lang w:val="en-AU"/>
        </w:rPr>
      </w:pPr>
      <w:r w:rsidRPr="004360BF">
        <w:rPr>
          <w:lang w:val="en-AU"/>
        </w:rPr>
        <w:t>Alice Springs (township and surrounding rural areas).</w:t>
      </w:r>
    </w:p>
    <w:p w14:paraId="5B9C7C80" w14:textId="77777777" w:rsidR="00C24855" w:rsidRPr="004360BF" w:rsidRDefault="00C24855" w:rsidP="007015D6">
      <w:pPr>
        <w:rPr>
          <w:lang w:val="en-AU"/>
        </w:rPr>
      </w:pPr>
      <w:r w:rsidRPr="004360BF">
        <w:rPr>
          <w:lang w:val="en-AU"/>
        </w:rPr>
        <w:t xml:space="preserve">These regulated electricity networks, the </w:t>
      </w:r>
      <w:r w:rsidRPr="004360BF">
        <w:rPr>
          <w:rFonts w:cs="Tahoma"/>
          <w:lang w:val="en-AU"/>
        </w:rPr>
        <w:t>Darwin-Katherine</w:t>
      </w:r>
      <w:r w:rsidR="006B3299" w:rsidRPr="004360BF">
        <w:rPr>
          <w:rFonts w:cs="Tahoma"/>
          <w:lang w:val="en-AU"/>
        </w:rPr>
        <w:t xml:space="preserve"> grid</w:t>
      </w:r>
      <w:r w:rsidRPr="004360BF">
        <w:rPr>
          <w:rFonts w:cs="Tahoma"/>
          <w:lang w:val="en-AU"/>
        </w:rPr>
        <w:t>, Alice Springs and Tennant Creek stand-alone systems,</w:t>
      </w:r>
      <w:r w:rsidRPr="004360BF">
        <w:rPr>
          <w:lang w:val="en-AU"/>
        </w:rPr>
        <w:t xml:space="preserve"> are the subject of the 2015/16 Network Pricing Proposal. </w:t>
      </w:r>
    </w:p>
    <w:p w14:paraId="1D611DEF" w14:textId="77777777" w:rsidR="008145B7" w:rsidRPr="004360BF" w:rsidRDefault="008145B7" w:rsidP="00B30BF6">
      <w:pPr>
        <w:pStyle w:val="Heading1"/>
      </w:pPr>
      <w:bookmarkStart w:id="52" w:name="_Ref258598096"/>
      <w:bookmarkStart w:id="53" w:name="_Ref258598239"/>
      <w:bookmarkStart w:id="54" w:name="_Ref260820268"/>
      <w:bookmarkStart w:id="55" w:name="_Ref260820555"/>
      <w:bookmarkStart w:id="56" w:name="_Toc417291229"/>
      <w:bookmarkStart w:id="57" w:name="_Toc417291722"/>
      <w:bookmarkStart w:id="58" w:name="_Toc417292490"/>
      <w:bookmarkStart w:id="59" w:name="_Toc291262214"/>
      <w:bookmarkStart w:id="60" w:name="_Toc417457992"/>
      <w:bookmarkStart w:id="61" w:name="_Toc418608661"/>
      <w:r w:rsidRPr="004360BF">
        <w:t>Regulatory Requirements</w:t>
      </w:r>
      <w:bookmarkEnd w:id="52"/>
      <w:bookmarkEnd w:id="53"/>
      <w:bookmarkEnd w:id="54"/>
      <w:bookmarkEnd w:id="55"/>
      <w:bookmarkEnd w:id="56"/>
      <w:bookmarkEnd w:id="57"/>
      <w:bookmarkEnd w:id="58"/>
      <w:bookmarkEnd w:id="59"/>
      <w:bookmarkEnd w:id="60"/>
      <w:bookmarkEnd w:id="61"/>
    </w:p>
    <w:p w14:paraId="31C60EBA" w14:textId="77777777" w:rsidR="006D3986" w:rsidRPr="004360BF" w:rsidRDefault="006D3986" w:rsidP="00B30BF6">
      <w:pPr>
        <w:pStyle w:val="Heading2"/>
      </w:pPr>
      <w:bookmarkStart w:id="62" w:name="_Toc417291230"/>
      <w:bookmarkStart w:id="63" w:name="_Toc417291723"/>
      <w:bookmarkStart w:id="64" w:name="_Toc417292491"/>
      <w:bookmarkStart w:id="65" w:name="_Toc291262215"/>
      <w:bookmarkStart w:id="66" w:name="_Toc417457993"/>
      <w:bookmarkStart w:id="67" w:name="_Toc418608662"/>
      <w:r w:rsidRPr="004360BF">
        <w:t>Requirements of the TPA Code</w:t>
      </w:r>
      <w:bookmarkEnd w:id="62"/>
      <w:bookmarkEnd w:id="63"/>
      <w:bookmarkEnd w:id="64"/>
      <w:bookmarkEnd w:id="65"/>
      <w:bookmarkEnd w:id="66"/>
      <w:bookmarkEnd w:id="67"/>
    </w:p>
    <w:p w14:paraId="162FB231" w14:textId="77777777" w:rsidR="007A14BF" w:rsidRPr="004360BF" w:rsidRDefault="007A14BF" w:rsidP="007015D6">
      <w:pPr>
        <w:rPr>
          <w:lang w:val="en-AU"/>
        </w:rPr>
      </w:pPr>
      <w:r w:rsidRPr="004360BF">
        <w:rPr>
          <w:lang w:val="en-AU"/>
        </w:rPr>
        <w:t xml:space="preserve">The requirements of the TPA Code in relation to network pricing are set out </w:t>
      </w:r>
      <w:r w:rsidR="00114F9D" w:rsidRPr="004360BF">
        <w:rPr>
          <w:lang w:val="en-AU"/>
        </w:rPr>
        <w:t>in Sections 74 “Objectives of network pricing”; Section 75 “Structure of regulated network prices”; Section 77 “Publication of network tariffs” and Section 78 “Role of regulator”</w:t>
      </w:r>
      <w:r w:rsidRPr="004360BF">
        <w:rPr>
          <w:lang w:val="en-AU"/>
        </w:rPr>
        <w:t>.</w:t>
      </w:r>
    </w:p>
    <w:p w14:paraId="3ED3B341" w14:textId="77777777" w:rsidR="004B5A14" w:rsidRPr="004360BF" w:rsidRDefault="004B5A14" w:rsidP="00B30BF6">
      <w:pPr>
        <w:pStyle w:val="Heading2"/>
      </w:pPr>
      <w:bookmarkStart w:id="68" w:name="_Toc417291231"/>
      <w:bookmarkStart w:id="69" w:name="_Toc417291724"/>
      <w:bookmarkStart w:id="70" w:name="_Toc417292492"/>
      <w:bookmarkStart w:id="71" w:name="_Toc291262216"/>
      <w:bookmarkStart w:id="72" w:name="_Toc417457994"/>
      <w:bookmarkStart w:id="73" w:name="_Toc418608663"/>
      <w:r w:rsidRPr="004360BF">
        <w:t>Requirements of the Commission’s RIN</w:t>
      </w:r>
      <w:bookmarkEnd w:id="68"/>
      <w:bookmarkEnd w:id="69"/>
      <w:bookmarkEnd w:id="70"/>
      <w:bookmarkEnd w:id="71"/>
      <w:bookmarkEnd w:id="72"/>
      <w:bookmarkEnd w:id="73"/>
    </w:p>
    <w:p w14:paraId="5A9099F5" w14:textId="77777777" w:rsidR="004B5A14" w:rsidRPr="004360BF" w:rsidRDefault="004B5A14" w:rsidP="007015D6">
      <w:pPr>
        <w:rPr>
          <w:lang w:val="en-AU"/>
        </w:rPr>
      </w:pPr>
      <w:r w:rsidRPr="004360BF">
        <w:rPr>
          <w:lang w:val="en-AU"/>
        </w:rPr>
        <w:t>In clause 16 of the RIN, the Commission set</w:t>
      </w:r>
      <w:r w:rsidR="00114F9D" w:rsidRPr="004360BF">
        <w:rPr>
          <w:lang w:val="en-AU"/>
        </w:rPr>
        <w:t>s</w:t>
      </w:r>
      <w:r w:rsidRPr="004360BF">
        <w:rPr>
          <w:lang w:val="en-AU"/>
        </w:rPr>
        <w:t xml:space="preserve"> out the requirement for Power Networks to provide a </w:t>
      </w:r>
      <w:r w:rsidR="00602D4E" w:rsidRPr="004360BF">
        <w:rPr>
          <w:lang w:val="en-AU"/>
        </w:rPr>
        <w:t xml:space="preserve">Network </w:t>
      </w:r>
      <w:r w:rsidRPr="004360BF">
        <w:rPr>
          <w:lang w:val="en-AU"/>
        </w:rPr>
        <w:t xml:space="preserve">Pricing Principles </w:t>
      </w:r>
      <w:proofErr w:type="gramStart"/>
      <w:r w:rsidRPr="004360BF">
        <w:rPr>
          <w:lang w:val="en-AU"/>
        </w:rPr>
        <w:t>Statement</w:t>
      </w:r>
      <w:r w:rsidRPr="004360BF">
        <w:rPr>
          <w:rStyle w:val="FootnoteReference"/>
          <w:lang w:val="en-AU"/>
        </w:rPr>
        <w:footnoteReference w:id="11"/>
      </w:r>
      <w:r w:rsidR="00D301FF" w:rsidRPr="004360BF">
        <w:rPr>
          <w:lang w:val="en-AU"/>
        </w:rPr>
        <w:t>, which</w:t>
      </w:r>
      <w:r w:rsidRPr="004360BF">
        <w:rPr>
          <w:lang w:val="en-AU"/>
        </w:rPr>
        <w:t xml:space="preserve"> mirrors </w:t>
      </w:r>
      <w:r w:rsidR="00313926" w:rsidRPr="004360BF">
        <w:rPr>
          <w:lang w:val="en-AU"/>
        </w:rPr>
        <w:t xml:space="preserve">some </w:t>
      </w:r>
      <w:r w:rsidRPr="004360BF">
        <w:rPr>
          <w:lang w:val="en-AU"/>
        </w:rPr>
        <w:t>of the requirements</w:t>
      </w:r>
      <w:proofErr w:type="gramEnd"/>
      <w:r w:rsidRPr="004360BF">
        <w:rPr>
          <w:lang w:val="en-AU"/>
        </w:rPr>
        <w:t xml:space="preserve"> set out in the Rules.</w:t>
      </w:r>
    </w:p>
    <w:p w14:paraId="786F2192" w14:textId="77777777" w:rsidR="00D301FF" w:rsidRPr="004360BF" w:rsidRDefault="00D301FF" w:rsidP="007015D6">
      <w:pPr>
        <w:rPr>
          <w:lang w:val="en-AU"/>
        </w:rPr>
      </w:pPr>
      <w:r w:rsidRPr="004360BF">
        <w:rPr>
          <w:lang w:val="en-AU"/>
        </w:rPr>
        <w:t>In clause 18 of the RIN, the Commission set</w:t>
      </w:r>
      <w:r w:rsidR="00114F9D" w:rsidRPr="004360BF">
        <w:rPr>
          <w:lang w:val="en-AU"/>
        </w:rPr>
        <w:t>s</w:t>
      </w:r>
      <w:r w:rsidRPr="004360BF">
        <w:rPr>
          <w:lang w:val="en-AU"/>
        </w:rPr>
        <w:t xml:space="preserve"> out the requirement for Power Networks to provide an indicative Network Pricing Proposal and Tariff </w:t>
      </w:r>
      <w:proofErr w:type="gramStart"/>
      <w:r w:rsidRPr="004360BF">
        <w:rPr>
          <w:lang w:val="en-AU"/>
        </w:rPr>
        <w:t>Schedules</w:t>
      </w:r>
      <w:r w:rsidRPr="004360BF">
        <w:rPr>
          <w:rStyle w:val="FootnoteReference"/>
          <w:lang w:val="en-AU"/>
        </w:rPr>
        <w:footnoteReference w:id="12"/>
      </w:r>
      <w:r w:rsidRPr="004360BF">
        <w:rPr>
          <w:lang w:val="en-AU"/>
        </w:rPr>
        <w:t>, which mirrors many of the requirements</w:t>
      </w:r>
      <w:proofErr w:type="gramEnd"/>
      <w:r w:rsidRPr="004360BF">
        <w:rPr>
          <w:lang w:val="en-AU"/>
        </w:rPr>
        <w:t xml:space="preserve"> set out in the Rules.</w:t>
      </w:r>
    </w:p>
    <w:p w14:paraId="5A67C883" w14:textId="77777777" w:rsidR="00DB5354" w:rsidRPr="004360BF" w:rsidRDefault="00DB5354" w:rsidP="00B30BF6">
      <w:pPr>
        <w:pStyle w:val="Heading2"/>
      </w:pPr>
      <w:bookmarkStart w:id="74" w:name="_Toc417291232"/>
      <w:bookmarkStart w:id="75" w:name="_Toc417291725"/>
      <w:bookmarkStart w:id="76" w:name="_Toc417292493"/>
      <w:bookmarkStart w:id="77" w:name="_Toc291262217"/>
      <w:bookmarkStart w:id="78" w:name="_Toc417457995"/>
      <w:bookmarkStart w:id="79" w:name="_Toc418608664"/>
      <w:r w:rsidRPr="004360BF">
        <w:lastRenderedPageBreak/>
        <w:t xml:space="preserve">Requirements of the Commission’s 2014 </w:t>
      </w:r>
      <w:r w:rsidR="00D301FF" w:rsidRPr="004360BF">
        <w:t>NPD Final Determination</w:t>
      </w:r>
      <w:bookmarkEnd w:id="74"/>
      <w:bookmarkEnd w:id="75"/>
      <w:bookmarkEnd w:id="76"/>
      <w:bookmarkEnd w:id="77"/>
      <w:bookmarkEnd w:id="78"/>
      <w:bookmarkEnd w:id="79"/>
    </w:p>
    <w:p w14:paraId="5A8427C6" w14:textId="77777777" w:rsidR="00D301FF" w:rsidRPr="004360BF" w:rsidRDefault="00DB5354" w:rsidP="007015D6">
      <w:pPr>
        <w:pStyle w:val="Dottop"/>
        <w:rPr>
          <w:lang w:val="en-AU"/>
        </w:rPr>
      </w:pPr>
      <w:r w:rsidRPr="004360BF">
        <w:rPr>
          <w:lang w:val="en-AU"/>
        </w:rPr>
        <w:t xml:space="preserve">The principal elements of the Commission’s </w:t>
      </w:r>
      <w:r w:rsidR="00D301FF" w:rsidRPr="004360BF">
        <w:rPr>
          <w:lang w:val="en-AU"/>
        </w:rPr>
        <w:t>2014 NPD F</w:t>
      </w:r>
      <w:r w:rsidRPr="004360BF">
        <w:rPr>
          <w:lang w:val="en-AU"/>
        </w:rPr>
        <w:t xml:space="preserve">inal </w:t>
      </w:r>
      <w:r w:rsidR="00D301FF" w:rsidRPr="004360BF">
        <w:rPr>
          <w:lang w:val="en-AU"/>
        </w:rPr>
        <w:t>D</w:t>
      </w:r>
      <w:r w:rsidRPr="004360BF">
        <w:rPr>
          <w:lang w:val="en-AU"/>
        </w:rPr>
        <w:t xml:space="preserve">etermination </w:t>
      </w:r>
      <w:r w:rsidR="00596F00" w:rsidRPr="004360BF">
        <w:rPr>
          <w:lang w:val="en-AU"/>
        </w:rPr>
        <w:t xml:space="preserve">pertaining to pricing </w:t>
      </w:r>
      <w:r w:rsidRPr="004360BF">
        <w:rPr>
          <w:lang w:val="en-AU"/>
        </w:rPr>
        <w:t>are the</w:t>
      </w:r>
      <w:r w:rsidR="00D301FF" w:rsidRPr="004360BF">
        <w:rPr>
          <w:lang w:val="en-AU"/>
        </w:rPr>
        <w:t xml:space="preserve"> following Final Decisions:</w:t>
      </w:r>
    </w:p>
    <w:p w14:paraId="1AF6BD22" w14:textId="77777777" w:rsidR="006F5C07" w:rsidRPr="004360BF" w:rsidRDefault="006F5C07" w:rsidP="007015D6">
      <w:pPr>
        <w:pStyle w:val="Dot"/>
        <w:rPr>
          <w:lang w:val="en-AU"/>
        </w:rPr>
      </w:pPr>
      <w:r w:rsidRPr="004360BF">
        <w:rPr>
          <w:lang w:val="en-AU"/>
        </w:rPr>
        <w:t>Ap</w:t>
      </w:r>
      <w:r w:rsidR="00D301FF" w:rsidRPr="004360BF">
        <w:rPr>
          <w:lang w:val="en-AU"/>
        </w:rPr>
        <w:t xml:space="preserve">proved </w:t>
      </w:r>
      <w:r w:rsidRPr="004360BF">
        <w:rPr>
          <w:lang w:val="en-AU"/>
        </w:rPr>
        <w:t>Network Services C</w:t>
      </w:r>
      <w:r w:rsidR="00D301FF" w:rsidRPr="004360BF">
        <w:rPr>
          <w:lang w:val="en-AU"/>
        </w:rPr>
        <w:t>lassification;</w:t>
      </w:r>
    </w:p>
    <w:p w14:paraId="06C291E7" w14:textId="77777777" w:rsidR="00C24855" w:rsidRPr="004360BF" w:rsidRDefault="00C24855" w:rsidP="007015D6">
      <w:pPr>
        <w:pStyle w:val="Dot"/>
        <w:rPr>
          <w:lang w:val="en-AU"/>
        </w:rPr>
      </w:pPr>
      <w:r w:rsidRPr="004360BF">
        <w:rPr>
          <w:lang w:val="en-AU"/>
        </w:rPr>
        <w:t xml:space="preserve">The form of price control; </w:t>
      </w:r>
    </w:p>
    <w:p w14:paraId="71640882" w14:textId="77777777" w:rsidR="00C24855" w:rsidRPr="004360BF" w:rsidRDefault="00C24855" w:rsidP="007015D6">
      <w:pPr>
        <w:pStyle w:val="Dot"/>
        <w:rPr>
          <w:lang w:val="en-AU"/>
        </w:rPr>
      </w:pPr>
      <w:r w:rsidRPr="004360BF">
        <w:rPr>
          <w:lang w:val="en-AU"/>
        </w:rPr>
        <w:t>The application of side constraints to the annual movement in the weighted average revenue for tariff classes; and</w:t>
      </w:r>
    </w:p>
    <w:p w14:paraId="25A748E8" w14:textId="77777777" w:rsidR="00C24855" w:rsidRPr="004360BF" w:rsidRDefault="00C24855" w:rsidP="007015D6">
      <w:pPr>
        <w:pStyle w:val="Dotbot"/>
        <w:rPr>
          <w:lang w:val="en-AU"/>
        </w:rPr>
      </w:pPr>
      <w:r w:rsidRPr="004360BF">
        <w:rPr>
          <w:lang w:val="en-AU"/>
        </w:rPr>
        <w:t>The treatment of unders and overs.</w:t>
      </w:r>
    </w:p>
    <w:p w14:paraId="1DA4B27E" w14:textId="77777777" w:rsidR="00C24855" w:rsidRPr="004360BF" w:rsidRDefault="00C24855" w:rsidP="007015D6">
      <w:pPr>
        <w:rPr>
          <w:lang w:val="en-AU"/>
        </w:rPr>
      </w:pPr>
      <w:r w:rsidRPr="004360BF">
        <w:rPr>
          <w:lang w:val="en-AU"/>
        </w:rPr>
        <w:t>These are described below.</w:t>
      </w:r>
    </w:p>
    <w:p w14:paraId="526046D1" w14:textId="77777777" w:rsidR="00C24855" w:rsidRPr="004360BF" w:rsidRDefault="00C24855" w:rsidP="00EE7AA1">
      <w:pPr>
        <w:pStyle w:val="Heading3"/>
      </w:pPr>
      <w:bookmarkStart w:id="80" w:name="_Toc417291726"/>
      <w:bookmarkStart w:id="81" w:name="_Toc417292494"/>
      <w:bookmarkStart w:id="82" w:name="_Ref291259531"/>
      <w:bookmarkStart w:id="83" w:name="_Toc291262218"/>
      <w:r w:rsidRPr="004360BF">
        <w:t>Approved Network Services Classification</w:t>
      </w:r>
      <w:bookmarkEnd w:id="80"/>
      <w:bookmarkEnd w:id="81"/>
      <w:bookmarkEnd w:id="82"/>
      <w:bookmarkEnd w:id="83"/>
    </w:p>
    <w:p w14:paraId="52899EDC" w14:textId="624D8694" w:rsidR="00C24855" w:rsidRPr="004360BF" w:rsidRDefault="00C24855" w:rsidP="007015D6">
      <w:pPr>
        <w:rPr>
          <w:lang w:val="en-AU" w:eastAsia="en-AU"/>
        </w:rPr>
      </w:pPr>
      <w:bookmarkStart w:id="84" w:name="_Toc417291727"/>
      <w:bookmarkStart w:id="85" w:name="_Toc417292495"/>
      <w:r w:rsidRPr="004360BF">
        <w:rPr>
          <w:lang w:val="en-AU" w:eastAsia="en-AU"/>
        </w:rPr>
        <w:t xml:space="preserve">The Commission’s 2014 NPD Final Determination specifies the Commission’s classification of Power Networks’ direct control services (both standard control services </w:t>
      </w:r>
      <w:r w:rsidRPr="004360BF">
        <w:rPr>
          <w:lang w:val="en-AU"/>
        </w:rPr>
        <w:t>and alternative control services)</w:t>
      </w:r>
      <w:r w:rsidRPr="00614C75">
        <w:rPr>
          <w:vertAlign w:val="superscript"/>
          <w:lang w:val="en-AU"/>
        </w:rPr>
        <w:footnoteReference w:id="13"/>
      </w:r>
      <w:r w:rsidR="00AA7652" w:rsidRPr="004360BF">
        <w:rPr>
          <w:lang w:val="en-AU"/>
        </w:rPr>
        <w:t>. This</w:t>
      </w:r>
      <w:r w:rsidR="00614C75">
        <w:rPr>
          <w:lang w:val="en-AU"/>
        </w:rPr>
        <w:t xml:space="preserve"> </w:t>
      </w:r>
      <w:r w:rsidR="004F70DA" w:rsidRPr="004360BF">
        <w:rPr>
          <w:lang w:val="en-AU"/>
        </w:rPr>
        <w:t>class</w:t>
      </w:r>
      <w:r w:rsidR="00044606">
        <w:rPr>
          <w:lang w:val="en-AU"/>
        </w:rPr>
        <w:t>ification is set out in Attachment</w:t>
      </w:r>
      <w:r w:rsidR="004F70DA" w:rsidRPr="004360BF">
        <w:rPr>
          <w:lang w:val="en-AU"/>
        </w:rPr>
        <w:t xml:space="preserve"> 1. PWC does not propose to alter the </w:t>
      </w:r>
      <w:r w:rsidR="00AA7652" w:rsidRPr="004360BF">
        <w:rPr>
          <w:lang w:val="en-AU"/>
        </w:rPr>
        <w:t xml:space="preserve">Commission’s </w:t>
      </w:r>
      <w:r w:rsidR="004F70DA" w:rsidRPr="004360BF">
        <w:rPr>
          <w:lang w:val="en-AU"/>
        </w:rPr>
        <w:t xml:space="preserve">2014 approved direct </w:t>
      </w:r>
      <w:r w:rsidR="00044606">
        <w:rPr>
          <w:lang w:val="en-AU"/>
        </w:rPr>
        <w:t>control services classification</w:t>
      </w:r>
      <w:r w:rsidR="004F70DA" w:rsidRPr="004360BF">
        <w:rPr>
          <w:lang w:val="en-AU"/>
        </w:rPr>
        <w:t xml:space="preserve"> in this submission, but does note that the alternative control services are also undertaking a pricing review to achieve greater cost reflectivity.</w:t>
      </w:r>
      <w:bookmarkEnd w:id="84"/>
      <w:bookmarkEnd w:id="85"/>
    </w:p>
    <w:p w14:paraId="04A03D16" w14:textId="77777777" w:rsidR="00C24855" w:rsidRPr="004360BF" w:rsidRDefault="00C24855" w:rsidP="00EE7AA1">
      <w:pPr>
        <w:pStyle w:val="Heading3"/>
      </w:pPr>
      <w:bookmarkStart w:id="86" w:name="_Toc417291728"/>
      <w:bookmarkStart w:id="87" w:name="_Toc417292496"/>
      <w:bookmarkStart w:id="88" w:name="_Toc291262219"/>
      <w:bookmarkStart w:id="89" w:name="_Ref292367154"/>
      <w:r w:rsidRPr="004360BF">
        <w:t>Price control mechanism</w:t>
      </w:r>
      <w:bookmarkEnd w:id="86"/>
      <w:bookmarkEnd w:id="87"/>
      <w:bookmarkEnd w:id="88"/>
      <w:bookmarkEnd w:id="89"/>
    </w:p>
    <w:p w14:paraId="12541C55" w14:textId="77777777" w:rsidR="00C24855" w:rsidRPr="004360BF" w:rsidRDefault="00C24855" w:rsidP="007015D6">
      <w:pPr>
        <w:pStyle w:val="Dottop"/>
        <w:rPr>
          <w:lang w:val="en-AU"/>
        </w:rPr>
      </w:pPr>
      <w:r w:rsidRPr="004360BF">
        <w:rPr>
          <w:lang w:val="en-AU"/>
        </w:rPr>
        <w:t>A revenue cap form of price control will apply during the 2014-19 regulatory control period. The Commission has determined that Power Networks must submit network prices that comply with the following formula</w:t>
      </w:r>
      <w:r w:rsidRPr="004360BF">
        <w:rPr>
          <w:rStyle w:val="FootnoteReference"/>
          <w:rFonts w:eastAsia="MS Gothic"/>
          <w:bCs/>
          <w:szCs w:val="20"/>
          <w:lang w:val="en-AU" w:eastAsia="en-AU"/>
        </w:rPr>
        <w:footnoteReference w:id="14"/>
      </w:r>
      <w:r w:rsidRPr="004360BF">
        <w:rPr>
          <w:lang w:val="en-AU"/>
        </w:rPr>
        <w:t xml:space="preserve">: </w:t>
      </w:r>
    </w:p>
    <w:p w14:paraId="3FCFAA37" w14:textId="77777777" w:rsidR="00C24855" w:rsidRPr="004360BF" w:rsidRDefault="00577D78" w:rsidP="00C24855">
      <w:pPr>
        <w:ind w:left="360"/>
        <w:rPr>
          <w:rFonts w:cs="Tahoma"/>
          <w:lang w:val="en-AU"/>
        </w:rPr>
      </w:pPr>
      <m:oMathPara>
        <m:oMathParaPr>
          <m:jc m:val="left"/>
        </m:oMathParaPr>
        <m:oMath>
          <m:nary>
            <m:naryPr>
              <m:chr m:val="∑"/>
              <m:limLoc m:val="undOvr"/>
              <m:ctrlPr>
                <w:rPr>
                  <w:rFonts w:ascii="Cambria Math" w:hAnsi="Cambria Math" w:cs="Tahoma"/>
                  <w:lang w:val="en-AU"/>
                </w:rPr>
              </m:ctrlPr>
            </m:naryPr>
            <m:sub>
              <m:r>
                <m:rPr>
                  <m:nor/>
                </m:rPr>
                <w:rPr>
                  <w:rFonts w:cs="Tahoma"/>
                  <w:i/>
                  <w:lang w:val="en-AU"/>
                </w:rPr>
                <m:t>i=1</m:t>
              </m:r>
            </m:sub>
            <m:sup>
              <m:r>
                <m:rPr>
                  <m:nor/>
                </m:rPr>
                <w:rPr>
                  <w:rFonts w:cs="Tahoma"/>
                  <w:i/>
                  <w:lang w:val="en-AU"/>
                </w:rPr>
                <m:t>n</m:t>
              </m:r>
            </m:sup>
            <m:e>
              <m:nary>
                <m:naryPr>
                  <m:chr m:val="∑"/>
                  <m:limLoc m:val="undOvr"/>
                  <m:ctrlPr>
                    <w:rPr>
                      <w:rFonts w:ascii="Cambria Math" w:hAnsi="Cambria Math" w:cs="Tahoma"/>
                      <w:lang w:val="en-AU"/>
                    </w:rPr>
                  </m:ctrlPr>
                </m:naryPr>
                <m:sub>
                  <m:r>
                    <m:rPr>
                      <m:nor/>
                    </m:rPr>
                    <w:rPr>
                      <w:rFonts w:cs="Tahoma"/>
                      <w:i/>
                      <w:lang w:val="en-AU"/>
                    </w:rPr>
                    <m:t>j=1</m:t>
                  </m:r>
                </m:sub>
                <m:sup>
                  <m:r>
                    <m:rPr>
                      <m:nor/>
                    </m:rPr>
                    <w:rPr>
                      <w:rFonts w:cs="Tahoma"/>
                      <w:i/>
                      <w:lang w:val="en-AU"/>
                    </w:rPr>
                    <m:t>m</m:t>
                  </m:r>
                </m:sup>
                <m:e>
                  <m:sSubSup>
                    <m:sSubSupPr>
                      <m:ctrlPr>
                        <w:rPr>
                          <w:rFonts w:ascii="Cambria Math" w:hAnsi="Cambria Math" w:cs="Tahoma"/>
                          <w:i/>
                          <w:lang w:val="en-AU"/>
                        </w:rPr>
                      </m:ctrlPr>
                    </m:sSubSupPr>
                    <m:e>
                      <m:r>
                        <m:rPr>
                          <m:nor/>
                        </m:rPr>
                        <w:rPr>
                          <w:rFonts w:cs="Tahoma"/>
                          <w:i/>
                          <w:lang w:val="en-AU"/>
                        </w:rPr>
                        <m:t>p</m:t>
                      </m:r>
                    </m:e>
                    <m:sub>
                      <m:r>
                        <m:rPr>
                          <m:nor/>
                        </m:rPr>
                        <w:rPr>
                          <w:rFonts w:cs="Tahoma"/>
                          <w:i/>
                          <w:lang w:val="en-AU"/>
                        </w:rPr>
                        <m:t>t</m:t>
                      </m:r>
                    </m:sub>
                    <m:sup>
                      <m:r>
                        <m:rPr>
                          <m:nor/>
                        </m:rPr>
                        <w:rPr>
                          <w:rFonts w:cs="Tahoma"/>
                          <w:i/>
                          <w:lang w:val="en-AU"/>
                        </w:rPr>
                        <m:t>i,j</m:t>
                      </m:r>
                    </m:sup>
                  </m:sSubSup>
                  <m:r>
                    <m:rPr>
                      <m:nor/>
                    </m:rPr>
                    <w:rPr>
                      <w:rFonts w:cs="Tahoma"/>
                      <w:i/>
                      <w:lang w:val="en-AU"/>
                    </w:rPr>
                    <m:t xml:space="preserve">× </m:t>
                  </m:r>
                  <m:sSubSup>
                    <m:sSubSupPr>
                      <m:ctrlPr>
                        <w:rPr>
                          <w:rFonts w:ascii="Cambria Math" w:hAnsi="Cambria Math" w:cs="Tahoma"/>
                          <w:i/>
                          <w:lang w:val="en-AU"/>
                        </w:rPr>
                      </m:ctrlPr>
                    </m:sSubSupPr>
                    <m:e>
                      <m:r>
                        <m:rPr>
                          <m:nor/>
                        </m:rPr>
                        <w:rPr>
                          <w:rFonts w:cs="Tahoma"/>
                          <w:i/>
                          <w:lang w:val="en-AU"/>
                        </w:rPr>
                        <m:t>q</m:t>
                      </m:r>
                    </m:e>
                    <m:sub>
                      <m:r>
                        <m:rPr>
                          <m:nor/>
                        </m:rPr>
                        <w:rPr>
                          <w:rFonts w:cs="Tahoma"/>
                          <w:i/>
                          <w:lang w:val="en-AU"/>
                        </w:rPr>
                        <m:t>t</m:t>
                      </m:r>
                    </m:sub>
                    <m:sup>
                      <m:r>
                        <m:rPr>
                          <m:nor/>
                        </m:rPr>
                        <w:rPr>
                          <w:rFonts w:cs="Tahoma"/>
                          <w:i/>
                          <w:lang w:val="en-AU"/>
                        </w:rPr>
                        <m:t>i,j</m:t>
                      </m:r>
                    </m:sup>
                  </m:sSubSup>
                  <m:r>
                    <m:rPr>
                      <m:nor/>
                    </m:rPr>
                    <w:rPr>
                      <w:rFonts w:cs="Tahoma"/>
                      <w:i/>
                      <w:lang w:val="en-AU"/>
                    </w:rPr>
                    <m:t>≤</m:t>
                  </m:r>
                  <m:sSub>
                    <m:sSubPr>
                      <m:ctrlPr>
                        <w:rPr>
                          <w:rFonts w:ascii="Cambria Math" w:hAnsi="Cambria Math" w:cs="Tahoma"/>
                          <w:i/>
                          <w:lang w:val="en-AU"/>
                        </w:rPr>
                      </m:ctrlPr>
                    </m:sSubPr>
                    <m:e>
                      <m:r>
                        <m:rPr>
                          <m:nor/>
                        </m:rPr>
                        <w:rPr>
                          <w:rFonts w:cs="Tahoma"/>
                          <w:i/>
                          <w:lang w:val="en-AU"/>
                        </w:rPr>
                        <m:t>R</m:t>
                      </m:r>
                    </m:e>
                    <m:sub>
                      <m:r>
                        <m:rPr>
                          <m:nor/>
                        </m:rPr>
                        <w:rPr>
                          <w:rFonts w:cs="Tahoma"/>
                          <w:i/>
                          <w:lang w:val="en-AU"/>
                        </w:rPr>
                        <m:t>t-1</m:t>
                      </m:r>
                    </m:sub>
                  </m:sSub>
                  <m:r>
                    <m:rPr>
                      <m:nor/>
                    </m:rPr>
                    <w:rPr>
                      <w:rFonts w:cs="Tahoma"/>
                      <w:i/>
                      <w:lang w:val="en-AU"/>
                    </w:rPr>
                    <m:t>×(1+</m:t>
                  </m:r>
                  <m:sSub>
                    <m:sSubPr>
                      <m:ctrlPr>
                        <w:rPr>
                          <w:rFonts w:ascii="Cambria Math" w:hAnsi="Cambria Math" w:cs="Tahoma"/>
                          <w:i/>
                          <w:lang w:val="en-AU"/>
                        </w:rPr>
                      </m:ctrlPr>
                    </m:sSubPr>
                    <m:e>
                      <m:r>
                        <m:rPr>
                          <m:nor/>
                        </m:rPr>
                        <w:rPr>
                          <w:rFonts w:cs="Tahoma"/>
                          <w:i/>
                          <w:lang w:val="en-AU"/>
                        </w:rPr>
                        <m:t>CPI</m:t>
                      </m:r>
                    </m:e>
                    <m:sub>
                      <m:r>
                        <m:rPr>
                          <m:nor/>
                        </m:rPr>
                        <w:rPr>
                          <w:rFonts w:cs="Tahoma"/>
                          <w:i/>
                          <w:lang w:val="en-AU"/>
                        </w:rPr>
                        <m:t>t</m:t>
                      </m:r>
                    </m:sub>
                  </m:sSub>
                  <m:r>
                    <m:rPr>
                      <m:nor/>
                    </m:rPr>
                    <w:rPr>
                      <w:rFonts w:cs="Tahoma"/>
                      <w:i/>
                      <w:lang w:val="en-AU"/>
                    </w:rPr>
                    <m:t>)×</m:t>
                  </m:r>
                  <m:d>
                    <m:dPr>
                      <m:ctrlPr>
                        <w:rPr>
                          <w:rFonts w:ascii="Cambria Math" w:hAnsi="Cambria Math" w:cs="Tahoma"/>
                          <w:i/>
                          <w:lang w:val="en-AU"/>
                        </w:rPr>
                      </m:ctrlPr>
                    </m:dPr>
                    <m:e>
                      <m:r>
                        <w:rPr>
                          <w:rFonts w:ascii="Cambria Math" w:cs="Tahoma"/>
                          <w:lang w:val="en-AU"/>
                        </w:rPr>
                        <m:t>1</m:t>
                      </m:r>
                      <m:r>
                        <w:rPr>
                          <w:rFonts w:ascii="Cambria Math" w:cs="Tahoma"/>
                          <w:lang w:val="en-AU"/>
                        </w:rPr>
                        <m:t>-</m:t>
                      </m:r>
                      <m:r>
                        <w:rPr>
                          <w:rFonts w:ascii="Cambria Math" w:cs="Tahoma"/>
                          <w:lang w:val="en-AU"/>
                        </w:rPr>
                        <m:t>Xt</m:t>
                      </m:r>
                    </m:e>
                  </m:d>
                  <m:r>
                    <m:rPr>
                      <m:nor/>
                    </m:rPr>
                    <w:rPr>
                      <w:rFonts w:ascii="Cambria Math" w:hAnsi="Cambria Math" w:cs="Tahoma"/>
                      <w:i/>
                      <w:lang w:val="en-AU"/>
                    </w:rPr>
                    <m:t>×</m:t>
                  </m:r>
                  <m:r>
                    <m:rPr>
                      <m:nor/>
                    </m:rPr>
                    <w:rPr>
                      <w:rFonts w:cs="Tahoma"/>
                      <w:i/>
                      <w:lang w:val="en-AU"/>
                    </w:rPr>
                    <m:t>(1±</m:t>
                  </m:r>
                  <m:sSub>
                    <m:sSubPr>
                      <m:ctrlPr>
                        <w:rPr>
                          <w:rFonts w:ascii="Cambria Math" w:hAnsi="Cambria Math" w:cs="Tahoma"/>
                          <w:i/>
                          <w:lang w:val="en-AU"/>
                        </w:rPr>
                      </m:ctrlPr>
                    </m:sSubPr>
                    <m:e>
                      <m:r>
                        <m:rPr>
                          <m:nor/>
                        </m:rPr>
                        <w:rPr>
                          <w:rFonts w:cs="Tahoma"/>
                          <w:i/>
                          <w:lang w:val="en-AU"/>
                        </w:rPr>
                        <m:t>passthrough</m:t>
                      </m:r>
                    </m:e>
                    <m:sub>
                      <m:r>
                        <m:rPr>
                          <m:nor/>
                        </m:rPr>
                        <w:rPr>
                          <w:rFonts w:cs="Tahoma"/>
                          <w:i/>
                          <w:lang w:val="en-AU"/>
                        </w:rPr>
                        <m:t>t</m:t>
                      </m:r>
                    </m:sub>
                  </m:sSub>
                  <m:r>
                    <m:rPr>
                      <m:nor/>
                    </m:rPr>
                    <w:rPr>
                      <w:rFonts w:cs="Tahoma"/>
                      <w:i/>
                      <w:lang w:val="en-AU"/>
                    </w:rPr>
                    <m:t>)±∆</m:t>
                  </m:r>
                  <m:sSub>
                    <m:sSubPr>
                      <m:ctrlPr>
                        <w:rPr>
                          <w:rFonts w:ascii="Cambria Math" w:hAnsi="Cambria Math" w:cs="Tahoma"/>
                          <w:i/>
                          <w:lang w:val="en-AU"/>
                        </w:rPr>
                      </m:ctrlPr>
                    </m:sSubPr>
                    <m:e>
                      <m:r>
                        <m:rPr>
                          <m:nor/>
                        </m:rPr>
                        <w:rPr>
                          <w:rFonts w:cs="Tahoma"/>
                          <w:i/>
                          <w:lang w:val="en-AU"/>
                        </w:rPr>
                        <m:t>R</m:t>
                      </m:r>
                    </m:e>
                    <m:sub>
                      <m:r>
                        <m:rPr>
                          <m:nor/>
                        </m:rPr>
                        <w:rPr>
                          <w:rFonts w:cs="Tahoma"/>
                          <w:i/>
                          <w:lang w:val="en-AU"/>
                        </w:rPr>
                        <m:t>t</m:t>
                      </m:r>
                    </m:sub>
                  </m:sSub>
                  <m:r>
                    <m:rPr>
                      <m:nor/>
                    </m:rPr>
                    <w:rPr>
                      <w:rFonts w:cs="Tahoma"/>
                      <w:lang w:val="en-AU"/>
                    </w:rPr>
                    <m:t xml:space="preserve"> </m:t>
                  </m:r>
                </m:e>
              </m:nary>
            </m:e>
          </m:nary>
        </m:oMath>
      </m:oMathPara>
    </w:p>
    <w:p w14:paraId="1CC1E8CF" w14:textId="77777777" w:rsidR="00C24855" w:rsidRPr="004360BF" w:rsidRDefault="00C24855" w:rsidP="008D3644">
      <w:pPr>
        <w:pStyle w:val="Dottop"/>
        <w:ind w:left="360"/>
        <w:rPr>
          <w:lang w:val="en-AU"/>
        </w:rPr>
      </w:pPr>
      <w:proofErr w:type="gramStart"/>
      <w:r w:rsidRPr="004360BF">
        <w:rPr>
          <w:lang w:val="en-AU"/>
        </w:rPr>
        <w:t>where</w:t>
      </w:r>
      <w:proofErr w:type="gramEnd"/>
      <w:r w:rsidRPr="004360BF">
        <w:rPr>
          <w:lang w:val="en-AU"/>
        </w:rPr>
        <w:t>:</w:t>
      </w:r>
    </w:p>
    <w:p w14:paraId="560D0518" w14:textId="77777777" w:rsidR="00C24855" w:rsidRPr="004360BF" w:rsidRDefault="00C24855" w:rsidP="008D3644">
      <w:pPr>
        <w:spacing w:after="120"/>
        <w:ind w:left="1984" w:hanging="1627"/>
        <w:rPr>
          <w:i/>
          <w:lang w:val="en-AU"/>
        </w:rPr>
      </w:pPr>
      <w:r w:rsidRPr="004360BF">
        <w:rPr>
          <w:i/>
          <w:lang w:val="en-AU"/>
        </w:rPr>
        <w:t>R</w:t>
      </w:r>
      <w:r w:rsidRPr="004360BF">
        <w:rPr>
          <w:i/>
          <w:vertAlign w:val="subscript"/>
          <w:lang w:val="en-AU"/>
        </w:rPr>
        <w:t>t-1</w:t>
      </w:r>
      <w:r w:rsidRPr="004360BF">
        <w:rPr>
          <w:lang w:val="en-AU"/>
        </w:rPr>
        <w:tab/>
        <w:t xml:space="preserve">is the revenue in regulatory year </w:t>
      </w:r>
      <w:r w:rsidRPr="004360BF">
        <w:rPr>
          <w:i/>
          <w:lang w:val="en-AU"/>
        </w:rPr>
        <w:t>t-1</w:t>
      </w:r>
    </w:p>
    <w:p w14:paraId="4C8956E4" w14:textId="20E7DBB1" w:rsidR="00C24855" w:rsidRPr="00B20C6B" w:rsidRDefault="00C24855" w:rsidP="008D3644">
      <w:pPr>
        <w:spacing w:after="120"/>
        <w:ind w:left="1984" w:hanging="1627"/>
        <w:rPr>
          <w:lang w:val="en-AU"/>
        </w:rPr>
      </w:pPr>
      <w:proofErr w:type="spellStart"/>
      <w:r w:rsidRPr="004360BF">
        <w:rPr>
          <w:i/>
          <w:lang w:val="en-AU"/>
        </w:rPr>
        <w:t>CPI</w:t>
      </w:r>
      <w:r w:rsidRPr="004360BF">
        <w:rPr>
          <w:i/>
          <w:vertAlign w:val="subscript"/>
          <w:lang w:val="en-AU"/>
        </w:rPr>
        <w:t>t</w:t>
      </w:r>
      <w:proofErr w:type="spellEnd"/>
      <w:r w:rsidRPr="004360BF">
        <w:rPr>
          <w:i/>
          <w:lang w:val="en-AU"/>
        </w:rPr>
        <w:tab/>
      </w:r>
      <w:r w:rsidRPr="004360BF">
        <w:rPr>
          <w:lang w:val="en-AU"/>
        </w:rPr>
        <w:t>is the annual percentage change in CPI from March in regulatory year</w:t>
      </w:r>
      <w:r w:rsidRPr="004360BF">
        <w:rPr>
          <w:i/>
          <w:lang w:val="en-AU"/>
        </w:rPr>
        <w:t xml:space="preserve"> t-2 </w:t>
      </w:r>
      <w:r w:rsidRPr="004360BF">
        <w:rPr>
          <w:lang w:val="en-AU"/>
        </w:rPr>
        <w:t>to March in regulatory year</w:t>
      </w:r>
      <w:r w:rsidRPr="004360BF">
        <w:rPr>
          <w:i/>
          <w:lang w:val="en-AU"/>
        </w:rPr>
        <w:t xml:space="preserve"> t-1</w:t>
      </w:r>
      <w:r w:rsidR="00CE10EC">
        <w:rPr>
          <w:rStyle w:val="FootnoteReference"/>
          <w:i/>
          <w:lang w:val="en-AU"/>
        </w:rPr>
        <w:footnoteReference w:id="15"/>
      </w:r>
    </w:p>
    <w:p w14:paraId="4BD73541" w14:textId="77777777" w:rsidR="00C24855" w:rsidRPr="004360BF" w:rsidRDefault="00C24855" w:rsidP="008D3644">
      <w:pPr>
        <w:spacing w:after="120"/>
        <w:ind w:left="1984" w:hanging="1627"/>
        <w:rPr>
          <w:lang w:val="en-AU"/>
        </w:rPr>
      </w:pPr>
      <w:proofErr w:type="spellStart"/>
      <w:r w:rsidRPr="004360BF">
        <w:rPr>
          <w:i/>
          <w:lang w:val="en-AU"/>
        </w:rPr>
        <w:t>Xt</w:t>
      </w:r>
      <w:proofErr w:type="spellEnd"/>
      <w:r w:rsidRPr="004360BF">
        <w:rPr>
          <w:i/>
          <w:lang w:val="en-AU"/>
        </w:rPr>
        <w:tab/>
      </w:r>
      <w:r w:rsidRPr="004360BF">
        <w:rPr>
          <w:lang w:val="en-AU"/>
        </w:rPr>
        <w:t>is the allowed real change in revenue from regulatory year</w:t>
      </w:r>
      <w:r w:rsidRPr="004360BF">
        <w:rPr>
          <w:i/>
          <w:lang w:val="en-AU"/>
        </w:rPr>
        <w:t xml:space="preserve"> t-1 </w:t>
      </w:r>
      <w:r w:rsidRPr="004360BF">
        <w:rPr>
          <w:lang w:val="en-AU"/>
        </w:rPr>
        <w:t>to regulatory year</w:t>
      </w:r>
      <w:r w:rsidRPr="004360BF">
        <w:rPr>
          <w:i/>
          <w:lang w:val="en-AU"/>
        </w:rPr>
        <w:t xml:space="preserve"> t </w:t>
      </w:r>
      <w:r w:rsidRPr="004360BF">
        <w:rPr>
          <w:lang w:val="en-AU"/>
        </w:rPr>
        <w:t xml:space="preserve">of the 2014-19 regulatory control </w:t>
      </w:r>
      <w:proofErr w:type="gramStart"/>
      <w:r w:rsidRPr="004360BF">
        <w:rPr>
          <w:lang w:val="en-AU"/>
        </w:rPr>
        <w:t>period</w:t>
      </w:r>
      <w:proofErr w:type="gramEnd"/>
      <w:r w:rsidRPr="004360BF">
        <w:rPr>
          <w:lang w:val="en-AU"/>
        </w:rPr>
        <w:t xml:space="preserve"> as determined by the Commission</w:t>
      </w:r>
    </w:p>
    <w:p w14:paraId="1A22E2F2" w14:textId="77777777" w:rsidR="00C24855" w:rsidRPr="004360BF" w:rsidRDefault="00C24855" w:rsidP="008D3644">
      <w:pPr>
        <w:spacing w:after="120"/>
        <w:ind w:left="1984" w:hanging="1627"/>
        <w:rPr>
          <w:i/>
          <w:lang w:val="en-AU"/>
        </w:rPr>
      </w:pPr>
      <w:proofErr w:type="spellStart"/>
      <w:proofErr w:type="gramStart"/>
      <w:r w:rsidRPr="004360BF">
        <w:rPr>
          <w:i/>
          <w:lang w:val="en-AU"/>
        </w:rPr>
        <w:t>passthrough</w:t>
      </w:r>
      <w:r w:rsidRPr="004360BF">
        <w:rPr>
          <w:i/>
          <w:vertAlign w:val="subscript"/>
          <w:lang w:val="en-AU"/>
        </w:rPr>
        <w:t>t</w:t>
      </w:r>
      <w:proofErr w:type="spellEnd"/>
      <w:proofErr w:type="gramEnd"/>
      <w:r w:rsidRPr="004360BF">
        <w:rPr>
          <w:i/>
          <w:lang w:val="en-AU"/>
        </w:rPr>
        <w:tab/>
      </w:r>
      <w:r w:rsidRPr="004360BF">
        <w:rPr>
          <w:lang w:val="en-AU"/>
        </w:rPr>
        <w:t>is any positive pass through amount or negative pass through amount in regulatory year</w:t>
      </w:r>
      <w:r w:rsidRPr="004360BF">
        <w:rPr>
          <w:i/>
          <w:lang w:val="en-AU"/>
        </w:rPr>
        <w:t xml:space="preserve"> t </w:t>
      </w:r>
      <w:r w:rsidRPr="004360BF">
        <w:rPr>
          <w:lang w:val="en-AU"/>
        </w:rPr>
        <w:t>determined by the Commission, expressed as a percentage of the annual revenue requirement</w:t>
      </w:r>
    </w:p>
    <w:p w14:paraId="476919B5" w14:textId="77777777" w:rsidR="00C24855" w:rsidRPr="004360BF" w:rsidRDefault="00C24855" w:rsidP="008D3644">
      <w:pPr>
        <w:spacing w:after="120"/>
        <w:ind w:left="1984" w:hanging="1627"/>
        <w:rPr>
          <w:i/>
          <w:lang w:val="en-AU"/>
        </w:rPr>
      </w:pPr>
      <w:proofErr w:type="spellStart"/>
      <w:r w:rsidRPr="004360BF">
        <w:rPr>
          <w:rFonts w:cs="Tahoma"/>
          <w:i/>
          <w:lang w:val="en-AU"/>
        </w:rPr>
        <w:lastRenderedPageBreak/>
        <w:t>Δ</w:t>
      </w:r>
      <w:r w:rsidRPr="004360BF">
        <w:rPr>
          <w:i/>
          <w:lang w:val="en-AU"/>
        </w:rPr>
        <w:t>Rt</w:t>
      </w:r>
      <w:proofErr w:type="spellEnd"/>
      <w:r w:rsidRPr="004360BF">
        <w:rPr>
          <w:i/>
          <w:lang w:val="en-AU"/>
        </w:rPr>
        <w:tab/>
      </w:r>
      <w:r w:rsidRPr="004360BF">
        <w:rPr>
          <w:lang w:val="en-AU"/>
        </w:rPr>
        <w:t>is the overs and unders adjustment to the annual revenue requirement in regulatory year</w:t>
      </w:r>
      <w:r w:rsidRPr="004360BF">
        <w:rPr>
          <w:i/>
          <w:lang w:val="en-AU"/>
        </w:rPr>
        <w:t xml:space="preserve"> t</w:t>
      </w:r>
    </w:p>
    <w:p w14:paraId="260C0CA6" w14:textId="77777777" w:rsidR="00C24855" w:rsidRPr="004360BF" w:rsidRDefault="00C24855" w:rsidP="008D3644">
      <w:pPr>
        <w:spacing w:after="120"/>
        <w:ind w:left="1984" w:hanging="1627"/>
        <w:rPr>
          <w:i/>
          <w:lang w:val="en-AU"/>
        </w:rPr>
      </w:pPr>
      <w:proofErr w:type="gramStart"/>
      <w:r w:rsidRPr="004360BF">
        <w:rPr>
          <w:i/>
          <w:lang w:val="en-AU"/>
        </w:rPr>
        <w:t>n</w:t>
      </w:r>
      <w:proofErr w:type="gramEnd"/>
      <w:r w:rsidRPr="004360BF">
        <w:rPr>
          <w:i/>
          <w:lang w:val="en-AU"/>
        </w:rPr>
        <w:tab/>
      </w:r>
      <w:r w:rsidRPr="004360BF">
        <w:rPr>
          <w:lang w:val="en-AU"/>
        </w:rPr>
        <w:t>is the number of network tariffs</w:t>
      </w:r>
      <w:r w:rsidRPr="004360BF">
        <w:rPr>
          <w:i/>
          <w:lang w:val="en-AU"/>
        </w:rPr>
        <w:t xml:space="preserve"> </w:t>
      </w:r>
    </w:p>
    <w:p w14:paraId="374DF241" w14:textId="77777777" w:rsidR="00C24855" w:rsidRPr="004360BF" w:rsidRDefault="00C24855" w:rsidP="008D3644">
      <w:pPr>
        <w:spacing w:after="120"/>
        <w:ind w:left="1984" w:hanging="1627"/>
        <w:rPr>
          <w:i/>
          <w:lang w:val="en-AU"/>
        </w:rPr>
      </w:pPr>
      <w:proofErr w:type="gramStart"/>
      <w:r w:rsidRPr="004360BF">
        <w:rPr>
          <w:i/>
          <w:lang w:val="en-AU"/>
        </w:rPr>
        <w:t>m</w:t>
      </w:r>
      <w:proofErr w:type="gramEnd"/>
      <w:r w:rsidRPr="004360BF">
        <w:rPr>
          <w:i/>
          <w:lang w:val="en-AU"/>
        </w:rPr>
        <w:tab/>
      </w:r>
      <w:r w:rsidRPr="004360BF">
        <w:rPr>
          <w:lang w:val="en-AU"/>
        </w:rPr>
        <w:t>is the number of tariff components</w:t>
      </w:r>
    </w:p>
    <w:p w14:paraId="4453790F" w14:textId="77777777" w:rsidR="00C24855" w:rsidRPr="004360BF" w:rsidRDefault="00C24855" w:rsidP="008D3644">
      <w:pPr>
        <w:spacing w:after="120"/>
        <w:ind w:left="1984" w:hanging="1627"/>
        <w:rPr>
          <w:i/>
          <w:lang w:val="en-AU"/>
        </w:rPr>
      </w:pPr>
      <w:proofErr w:type="spellStart"/>
      <w:proofErr w:type="gramStart"/>
      <w:r w:rsidRPr="004360BF">
        <w:rPr>
          <w:i/>
          <w:lang w:val="en-AU"/>
        </w:rPr>
        <w:t>p</w:t>
      </w:r>
      <w:r w:rsidRPr="004360BF">
        <w:rPr>
          <w:i/>
          <w:vertAlign w:val="superscript"/>
          <w:lang w:val="en-AU"/>
        </w:rPr>
        <w:t>t</w:t>
      </w:r>
      <w:r w:rsidRPr="004360BF">
        <w:rPr>
          <w:i/>
          <w:vertAlign w:val="subscript"/>
          <w:lang w:val="en-AU"/>
        </w:rPr>
        <w:t>i,</w:t>
      </w:r>
      <w:proofErr w:type="gramEnd"/>
      <w:r w:rsidRPr="004360BF">
        <w:rPr>
          <w:i/>
          <w:vertAlign w:val="subscript"/>
          <w:lang w:val="en-AU"/>
        </w:rPr>
        <w:t>j</w:t>
      </w:r>
      <w:proofErr w:type="spellEnd"/>
      <w:r w:rsidRPr="004360BF">
        <w:rPr>
          <w:i/>
          <w:lang w:val="en-AU"/>
        </w:rPr>
        <w:tab/>
      </w:r>
      <w:r w:rsidRPr="004360BF">
        <w:rPr>
          <w:lang w:val="en-AU"/>
        </w:rPr>
        <w:t>is the price of component</w:t>
      </w:r>
      <w:r w:rsidRPr="004360BF">
        <w:rPr>
          <w:i/>
          <w:lang w:val="en-AU"/>
        </w:rPr>
        <w:t xml:space="preserve"> </w:t>
      </w:r>
      <w:proofErr w:type="spellStart"/>
      <w:r w:rsidRPr="004360BF">
        <w:rPr>
          <w:i/>
          <w:lang w:val="en-AU"/>
        </w:rPr>
        <w:t>i</w:t>
      </w:r>
      <w:proofErr w:type="spellEnd"/>
      <w:r w:rsidRPr="004360BF">
        <w:rPr>
          <w:i/>
          <w:lang w:val="en-AU"/>
        </w:rPr>
        <w:t xml:space="preserve"> </w:t>
      </w:r>
      <w:r w:rsidRPr="004360BF">
        <w:rPr>
          <w:lang w:val="en-AU"/>
        </w:rPr>
        <w:t>of tariff</w:t>
      </w:r>
      <w:r w:rsidRPr="004360BF">
        <w:rPr>
          <w:i/>
          <w:lang w:val="en-AU"/>
        </w:rPr>
        <w:t xml:space="preserve"> j </w:t>
      </w:r>
      <w:r w:rsidRPr="004360BF">
        <w:rPr>
          <w:lang w:val="en-AU"/>
        </w:rPr>
        <w:t>in regulatory year</w:t>
      </w:r>
      <w:r w:rsidRPr="004360BF">
        <w:rPr>
          <w:i/>
          <w:lang w:val="en-AU"/>
        </w:rPr>
        <w:t xml:space="preserve"> t</w:t>
      </w:r>
    </w:p>
    <w:p w14:paraId="51581F4C" w14:textId="77777777" w:rsidR="00C24855" w:rsidRPr="004360BF" w:rsidRDefault="00C24855" w:rsidP="008D3644">
      <w:pPr>
        <w:ind w:left="1984" w:hanging="1627"/>
        <w:rPr>
          <w:i/>
          <w:lang w:val="en-AU"/>
        </w:rPr>
      </w:pPr>
      <w:proofErr w:type="spellStart"/>
      <w:proofErr w:type="gramStart"/>
      <w:r w:rsidRPr="004360BF">
        <w:rPr>
          <w:i/>
          <w:lang w:val="en-AU"/>
        </w:rPr>
        <w:t>q</w:t>
      </w:r>
      <w:r w:rsidRPr="004360BF">
        <w:rPr>
          <w:i/>
          <w:vertAlign w:val="superscript"/>
          <w:lang w:val="en-AU"/>
        </w:rPr>
        <w:t>t</w:t>
      </w:r>
      <w:r w:rsidRPr="004360BF">
        <w:rPr>
          <w:i/>
          <w:vertAlign w:val="subscript"/>
          <w:lang w:val="en-AU"/>
        </w:rPr>
        <w:t>i,</w:t>
      </w:r>
      <w:proofErr w:type="gramEnd"/>
      <w:r w:rsidRPr="004360BF">
        <w:rPr>
          <w:i/>
          <w:vertAlign w:val="subscript"/>
          <w:lang w:val="en-AU"/>
        </w:rPr>
        <w:t>j</w:t>
      </w:r>
      <w:proofErr w:type="spellEnd"/>
      <w:r w:rsidRPr="004360BF">
        <w:rPr>
          <w:i/>
          <w:lang w:val="en-AU"/>
        </w:rPr>
        <w:tab/>
      </w:r>
      <w:r w:rsidRPr="004360BF">
        <w:rPr>
          <w:lang w:val="en-AU"/>
        </w:rPr>
        <w:t>is the forecast volume of component</w:t>
      </w:r>
      <w:r w:rsidRPr="004360BF">
        <w:rPr>
          <w:i/>
          <w:lang w:val="en-AU"/>
        </w:rPr>
        <w:t xml:space="preserve"> </w:t>
      </w:r>
      <w:proofErr w:type="spellStart"/>
      <w:r w:rsidRPr="004360BF">
        <w:rPr>
          <w:i/>
          <w:lang w:val="en-AU"/>
        </w:rPr>
        <w:t>i</w:t>
      </w:r>
      <w:proofErr w:type="spellEnd"/>
      <w:r w:rsidRPr="004360BF">
        <w:rPr>
          <w:i/>
          <w:lang w:val="en-AU"/>
        </w:rPr>
        <w:t xml:space="preserve"> </w:t>
      </w:r>
      <w:r w:rsidRPr="004360BF">
        <w:rPr>
          <w:lang w:val="en-AU"/>
        </w:rPr>
        <w:t>of tariff</w:t>
      </w:r>
      <w:r w:rsidRPr="004360BF">
        <w:rPr>
          <w:i/>
          <w:lang w:val="en-AU"/>
        </w:rPr>
        <w:t xml:space="preserve"> j </w:t>
      </w:r>
      <w:r w:rsidRPr="004360BF">
        <w:rPr>
          <w:lang w:val="en-AU"/>
        </w:rPr>
        <w:t>in regulatory year </w:t>
      </w:r>
      <w:r w:rsidRPr="004360BF">
        <w:rPr>
          <w:i/>
          <w:lang w:val="en-AU"/>
        </w:rPr>
        <w:t>t</w:t>
      </w:r>
    </w:p>
    <w:p w14:paraId="3CB58133" w14:textId="77777777" w:rsidR="00C24855" w:rsidRPr="004360BF" w:rsidRDefault="00C24855" w:rsidP="008D3644">
      <w:pPr>
        <w:rPr>
          <w:lang w:val="en-AU"/>
        </w:rPr>
      </w:pPr>
      <w:r w:rsidRPr="004360BF">
        <w:rPr>
          <w:lang w:val="en-AU"/>
        </w:rPr>
        <w:t>In the 2015/16 Network Pricing Proposal, Power Networks demonstrates that its network tariffs have been set in a manner that compiles with the provisions of this revenue cap form of price control.</w:t>
      </w:r>
    </w:p>
    <w:p w14:paraId="1A2A4C29" w14:textId="77777777" w:rsidR="00C24855" w:rsidRPr="004360BF" w:rsidRDefault="00C24855" w:rsidP="00EE7AA1">
      <w:pPr>
        <w:pStyle w:val="Heading3"/>
      </w:pPr>
      <w:bookmarkStart w:id="90" w:name="_Toc417291729"/>
      <w:bookmarkStart w:id="91" w:name="_Toc417292497"/>
      <w:bookmarkStart w:id="92" w:name="_Toc291262220"/>
      <w:r w:rsidRPr="004360BF">
        <w:t>Side constraints</w:t>
      </w:r>
      <w:bookmarkEnd w:id="90"/>
      <w:bookmarkEnd w:id="91"/>
      <w:bookmarkEnd w:id="92"/>
    </w:p>
    <w:p w14:paraId="63B87112" w14:textId="42D376E9" w:rsidR="00C24855" w:rsidRPr="004360BF" w:rsidRDefault="00C24855" w:rsidP="00C24855">
      <w:pPr>
        <w:keepNext/>
        <w:rPr>
          <w:lang w:val="en-AU"/>
        </w:rPr>
      </w:pPr>
      <w:r w:rsidRPr="004360BF">
        <w:rPr>
          <w:lang w:val="en-AU"/>
        </w:rPr>
        <w:t>The Commission has determined that the annual movement in the weighted average revenue for tariff classes must comply with the following formula</w:t>
      </w:r>
      <w:r w:rsidRPr="004360BF">
        <w:rPr>
          <w:rStyle w:val="FootnoteReference"/>
          <w:rFonts w:eastAsia="MS Gothic"/>
          <w:bCs/>
          <w:szCs w:val="20"/>
          <w:lang w:val="en-AU" w:eastAsia="en-AU"/>
        </w:rPr>
        <w:footnoteReference w:id="16"/>
      </w:r>
      <w:r w:rsidRPr="004360BF">
        <w:rPr>
          <w:lang w:val="en-AU"/>
        </w:rPr>
        <w:t>:</w:t>
      </w:r>
    </w:p>
    <w:p w14:paraId="35D6B7E0" w14:textId="15A53595" w:rsidR="00C24855" w:rsidRPr="004360BF" w:rsidRDefault="00577D78" w:rsidP="00C24855">
      <w:pPr>
        <w:ind w:left="720"/>
        <w:rPr>
          <w:lang w:val="en-AU"/>
        </w:rPr>
      </w:pPr>
      <m:oMathPara>
        <m:oMathParaPr>
          <m:jc m:val="left"/>
        </m:oMathParaPr>
        <m:oMath>
          <m:f>
            <m:fPr>
              <m:ctrlPr>
                <w:rPr>
                  <w:rFonts w:ascii="Cambria Math" w:hAnsi="Cambria Math"/>
                  <w:lang w:val="en-AU"/>
                </w:rPr>
              </m:ctrlPr>
            </m:fPr>
            <m:num>
              <m:nary>
                <m:naryPr>
                  <m:chr m:val="∑"/>
                  <m:limLoc m:val="subSup"/>
                  <m:ctrlPr>
                    <w:rPr>
                      <w:rFonts w:ascii="Cambria Math" w:hAnsi="Cambria Math"/>
                      <w:lang w:val="en-AU"/>
                    </w:rPr>
                  </m:ctrlPr>
                </m:naryPr>
                <m:sub>
                  <m:r>
                    <m:rPr>
                      <m:sty m:val="p"/>
                    </m:rPr>
                    <w:rPr>
                      <w:rFonts w:ascii="Cambria Math" w:hAnsi="Cambria Math"/>
                      <w:lang w:val="en-AU"/>
                    </w:rPr>
                    <m:t>j=1</m:t>
                  </m:r>
                </m:sub>
                <m:sup>
                  <m:r>
                    <m:rPr>
                      <m:sty m:val="p"/>
                    </m:rPr>
                    <w:rPr>
                      <w:rFonts w:ascii="Cambria Math" w:hAnsi="Cambria Math"/>
                      <w:lang w:val="en-AU"/>
                    </w:rPr>
                    <m:t>m</m:t>
                  </m:r>
                </m:sup>
                <m:e>
                  <m:sSubSup>
                    <m:sSubSupPr>
                      <m:ctrlPr>
                        <w:rPr>
                          <w:rFonts w:ascii="Cambria Math" w:hAnsi="Cambria Math"/>
                          <w:lang w:val="en-AU"/>
                        </w:rPr>
                      </m:ctrlPr>
                    </m:sSubSupPr>
                    <m:e>
                      <m:r>
                        <m:rPr>
                          <m:sty m:val="p"/>
                        </m:rPr>
                        <w:rPr>
                          <w:rFonts w:ascii="Cambria Math" w:hAnsi="Cambria Math"/>
                          <w:lang w:val="en-AU"/>
                        </w:rPr>
                        <m:t>p</m:t>
                      </m:r>
                    </m:e>
                    <m:sub>
                      <m:r>
                        <m:rPr>
                          <m:sty m:val="p"/>
                        </m:rPr>
                        <w:rPr>
                          <w:rFonts w:ascii="Cambria Math" w:hAnsi="Cambria Math"/>
                          <w:lang w:val="en-AU"/>
                        </w:rPr>
                        <m:t>t</m:t>
                      </m:r>
                    </m:sub>
                    <m:sup>
                      <m:r>
                        <m:rPr>
                          <m:sty m:val="p"/>
                        </m:rPr>
                        <w:rPr>
                          <w:rFonts w:ascii="Cambria Math" w:hAnsi="Cambria Math"/>
                          <w:lang w:val="en-AU"/>
                        </w:rPr>
                        <m:t>j</m:t>
                      </m:r>
                    </m:sup>
                  </m:sSubSup>
                  <m:r>
                    <m:rPr>
                      <m:sty m:val="p"/>
                    </m:rPr>
                    <w:rPr>
                      <w:rFonts w:ascii="Cambria Math" w:hAnsi="Cambria Math"/>
                      <w:lang w:val="en-AU"/>
                    </w:rPr>
                    <m:t>×</m:t>
                  </m:r>
                  <m:sSubSup>
                    <m:sSubSupPr>
                      <m:ctrlPr>
                        <w:rPr>
                          <w:rFonts w:ascii="Cambria Math" w:hAnsi="Cambria Math"/>
                          <w:lang w:val="en-AU"/>
                        </w:rPr>
                      </m:ctrlPr>
                    </m:sSubSupPr>
                    <m:e>
                      <m:r>
                        <m:rPr>
                          <m:sty m:val="p"/>
                        </m:rPr>
                        <w:rPr>
                          <w:rFonts w:ascii="Cambria Math" w:hAnsi="Cambria Math"/>
                          <w:lang w:val="en-AU"/>
                        </w:rPr>
                        <m:t>q</m:t>
                      </m:r>
                    </m:e>
                    <m:sub>
                      <m:r>
                        <m:rPr>
                          <m:sty m:val="p"/>
                        </m:rPr>
                        <w:rPr>
                          <w:rFonts w:ascii="Cambria Math" w:hAnsi="Cambria Math"/>
                          <w:lang w:val="en-AU"/>
                        </w:rPr>
                        <m:t>t-2</m:t>
                      </m:r>
                    </m:sub>
                    <m:sup>
                      <m:r>
                        <m:rPr>
                          <m:sty m:val="p"/>
                        </m:rPr>
                        <w:rPr>
                          <w:rFonts w:ascii="Cambria Math" w:hAnsi="Cambria Math"/>
                          <w:lang w:val="en-AU"/>
                        </w:rPr>
                        <m:t>j</m:t>
                      </m:r>
                    </m:sup>
                  </m:sSubSup>
                </m:e>
              </m:nary>
            </m:num>
            <m:den>
              <m:nary>
                <m:naryPr>
                  <m:chr m:val="∑"/>
                  <m:limLoc m:val="subSup"/>
                  <m:ctrlPr>
                    <w:rPr>
                      <w:rFonts w:ascii="Cambria Math" w:hAnsi="Cambria Math"/>
                      <w:lang w:val="en-AU"/>
                    </w:rPr>
                  </m:ctrlPr>
                </m:naryPr>
                <m:sub>
                  <m:r>
                    <m:rPr>
                      <m:sty m:val="p"/>
                    </m:rPr>
                    <w:rPr>
                      <w:rFonts w:ascii="Cambria Math" w:hAnsi="Cambria Math"/>
                      <w:lang w:val="en-AU"/>
                    </w:rPr>
                    <m:t>j=1</m:t>
                  </m:r>
                </m:sub>
                <m:sup>
                  <m:r>
                    <m:rPr>
                      <m:sty m:val="p"/>
                    </m:rPr>
                    <w:rPr>
                      <w:rFonts w:ascii="Cambria Math" w:hAnsi="Cambria Math"/>
                      <w:lang w:val="en-AU"/>
                    </w:rPr>
                    <m:t>m</m:t>
                  </m:r>
                </m:sup>
                <m:e>
                  <m:sSubSup>
                    <m:sSubSupPr>
                      <m:ctrlPr>
                        <w:rPr>
                          <w:rFonts w:ascii="Cambria Math" w:hAnsi="Cambria Math"/>
                          <w:lang w:val="en-AU"/>
                        </w:rPr>
                      </m:ctrlPr>
                    </m:sSubSupPr>
                    <m:e>
                      <m:r>
                        <m:rPr>
                          <m:sty m:val="p"/>
                        </m:rPr>
                        <w:rPr>
                          <w:rFonts w:ascii="Cambria Math" w:hAnsi="Cambria Math"/>
                          <w:lang w:val="en-AU"/>
                        </w:rPr>
                        <m:t>p</m:t>
                      </m:r>
                    </m:e>
                    <m:sub>
                      <m:r>
                        <m:rPr>
                          <m:sty m:val="p"/>
                        </m:rPr>
                        <w:rPr>
                          <w:rFonts w:ascii="Cambria Math" w:hAnsi="Cambria Math"/>
                          <w:lang w:val="en-AU"/>
                        </w:rPr>
                        <m:t>t-1</m:t>
                      </m:r>
                    </m:sub>
                    <m:sup>
                      <m:r>
                        <m:rPr>
                          <m:sty m:val="p"/>
                        </m:rPr>
                        <w:rPr>
                          <w:rFonts w:ascii="Cambria Math" w:hAnsi="Cambria Math"/>
                          <w:lang w:val="en-AU"/>
                        </w:rPr>
                        <m:t>j</m:t>
                      </m:r>
                    </m:sup>
                  </m:sSubSup>
                  <m:r>
                    <m:rPr>
                      <m:sty m:val="p"/>
                    </m:rPr>
                    <w:rPr>
                      <w:rFonts w:ascii="Cambria Math" w:hAnsi="Cambria Math"/>
                      <w:lang w:val="en-AU"/>
                    </w:rPr>
                    <m:t>×</m:t>
                  </m:r>
                  <m:sSubSup>
                    <m:sSubSupPr>
                      <m:ctrlPr>
                        <w:rPr>
                          <w:rFonts w:ascii="Cambria Math" w:hAnsi="Cambria Math"/>
                          <w:lang w:val="en-AU"/>
                        </w:rPr>
                      </m:ctrlPr>
                    </m:sSubSupPr>
                    <m:e>
                      <m:r>
                        <m:rPr>
                          <m:sty m:val="p"/>
                        </m:rPr>
                        <w:rPr>
                          <w:rFonts w:ascii="Cambria Math" w:hAnsi="Cambria Math"/>
                          <w:lang w:val="en-AU"/>
                        </w:rPr>
                        <m:t>q</m:t>
                      </m:r>
                    </m:e>
                    <m:sub>
                      <m:r>
                        <m:rPr>
                          <m:sty m:val="p"/>
                        </m:rPr>
                        <w:rPr>
                          <w:rFonts w:ascii="Cambria Math" w:hAnsi="Cambria Math"/>
                          <w:lang w:val="en-AU"/>
                        </w:rPr>
                        <m:t>t-2</m:t>
                      </m:r>
                    </m:sub>
                    <m:sup>
                      <m:r>
                        <m:rPr>
                          <m:sty m:val="p"/>
                        </m:rPr>
                        <w:rPr>
                          <w:rFonts w:ascii="Cambria Math" w:hAnsi="Cambria Math"/>
                          <w:lang w:val="en-AU"/>
                        </w:rPr>
                        <m:t>j</m:t>
                      </m:r>
                    </m:sup>
                  </m:sSubSup>
                </m:e>
              </m:nary>
            </m:den>
          </m:f>
          <m:r>
            <m:rPr>
              <m:sty m:val="p"/>
            </m:rPr>
            <w:rPr>
              <w:rFonts w:ascii="Cambria Math" w:hAnsi="Cambria Math"/>
              <w:lang w:val="en-AU"/>
            </w:rPr>
            <m:t>≤(1+</m:t>
          </m:r>
          <m:sSub>
            <m:sSubPr>
              <m:ctrlPr>
                <w:rPr>
                  <w:rFonts w:ascii="Cambria Math" w:hAnsi="Cambria Math"/>
                  <w:lang w:val="en-AU"/>
                </w:rPr>
              </m:ctrlPr>
            </m:sSubPr>
            <m:e>
              <m:r>
                <m:rPr>
                  <m:sty m:val="p"/>
                </m:rPr>
                <w:rPr>
                  <w:rFonts w:ascii="Cambria Math" w:hAnsi="Cambria Math"/>
                  <w:lang w:val="en-AU"/>
                </w:rPr>
                <m:t>CPI</m:t>
              </m:r>
            </m:e>
            <m:sub>
              <m:r>
                <m:rPr>
                  <m:sty m:val="p"/>
                </m:rPr>
                <w:rPr>
                  <w:rFonts w:ascii="Cambria Math" w:hAnsi="Cambria Math"/>
                  <w:lang w:val="en-AU"/>
                </w:rPr>
                <m:t>t</m:t>
              </m:r>
            </m:sub>
          </m:sSub>
          <m:r>
            <m:rPr>
              <m:sty m:val="p"/>
            </m:rPr>
            <w:rPr>
              <w:rFonts w:ascii="Cambria Math" w:hAnsi="Cambria Math"/>
              <w:lang w:val="en-AU"/>
            </w:rPr>
            <m:t>)×(1-</m:t>
          </m:r>
          <m:sSub>
            <m:sSubPr>
              <m:ctrlPr>
                <w:rPr>
                  <w:rFonts w:ascii="Cambria Math" w:hAnsi="Cambria Math"/>
                  <w:lang w:val="en-AU"/>
                </w:rPr>
              </m:ctrlPr>
            </m:sSubPr>
            <m:e>
              <m:r>
                <m:rPr>
                  <m:sty m:val="p"/>
                </m:rPr>
                <w:rPr>
                  <w:rFonts w:ascii="Cambria Math" w:hAnsi="Cambria Math"/>
                  <w:lang w:val="en-AU"/>
                </w:rPr>
                <m:t>X</m:t>
              </m:r>
            </m:e>
            <m:sub>
              <m:r>
                <m:rPr>
                  <m:sty m:val="p"/>
                </m:rPr>
                <w:rPr>
                  <w:rFonts w:ascii="Cambria Math" w:hAnsi="Cambria Math"/>
                  <w:lang w:val="en-AU"/>
                </w:rPr>
                <m:t>t</m:t>
              </m:r>
            </m:sub>
          </m:sSub>
          <m:r>
            <m:rPr>
              <m:sty m:val="p"/>
            </m:rPr>
            <w:rPr>
              <w:rFonts w:ascii="Cambria Math" w:hAnsi="Cambria Math"/>
              <w:lang w:val="en-AU"/>
            </w:rPr>
            <m:t>)×(1+</m:t>
          </m:r>
          <m:sSub>
            <m:sSubPr>
              <m:ctrlPr>
                <w:rPr>
                  <w:rFonts w:ascii="Cambria Math" w:hAnsi="Cambria Math"/>
                  <w:lang w:val="en-AU"/>
                </w:rPr>
              </m:ctrlPr>
            </m:sSubPr>
            <m:e>
              <m:r>
                <m:rPr>
                  <m:sty m:val="p"/>
                </m:rPr>
                <w:rPr>
                  <w:rFonts w:ascii="Cambria Math" w:hAnsi="Cambria Math"/>
                  <w:lang w:val="en-AU"/>
                </w:rPr>
                <m:t>Y</m:t>
              </m:r>
            </m:e>
            <m:sub>
              <m:r>
                <m:rPr>
                  <m:sty m:val="p"/>
                </m:rPr>
                <w:rPr>
                  <w:rFonts w:ascii="Cambria Math" w:hAnsi="Cambria Math"/>
                  <w:lang w:val="en-AU"/>
                </w:rPr>
                <m:t>t</m:t>
              </m:r>
            </m:sub>
          </m:sSub>
          <m:r>
            <m:rPr>
              <m:sty m:val="p"/>
            </m:rPr>
            <w:rPr>
              <w:rFonts w:ascii="Cambria Math" w:hAnsi="Cambria Math"/>
              <w:lang w:val="en-AU"/>
            </w:rPr>
            <m:t>)×(1±</m:t>
          </m:r>
          <m:sSub>
            <m:sSubPr>
              <m:ctrlPr>
                <w:rPr>
                  <w:rFonts w:ascii="Cambria Math" w:hAnsi="Cambria Math"/>
                  <w:lang w:val="en-AU"/>
                </w:rPr>
              </m:ctrlPr>
            </m:sSubPr>
            <m:e>
              <m:r>
                <m:rPr>
                  <m:sty m:val="p"/>
                </m:rPr>
                <w:rPr>
                  <w:rFonts w:ascii="Cambria Math" w:hAnsi="Cambria Math"/>
                  <w:lang w:val="en-AU"/>
                </w:rPr>
                <m:t>Passthrough</m:t>
              </m:r>
            </m:e>
            <m:sub>
              <m:r>
                <m:rPr>
                  <m:sty m:val="p"/>
                </m:rPr>
                <w:rPr>
                  <w:rFonts w:ascii="Cambria Math" w:hAnsi="Cambria Math"/>
                  <w:lang w:val="en-AU"/>
                </w:rPr>
                <m:t>t</m:t>
              </m:r>
            </m:sub>
          </m:sSub>
          <m:r>
            <m:rPr>
              <m:sty m:val="p"/>
            </m:rPr>
            <w:rPr>
              <w:rFonts w:ascii="Cambria Math" w:hAnsi="Cambria Math"/>
              <w:lang w:val="en-AU"/>
            </w:rPr>
            <m:t>)±</m:t>
          </m:r>
          <m:d>
            <m:dPr>
              <m:ctrlPr>
                <w:rPr>
                  <w:rFonts w:ascii="Cambria Math" w:hAnsi="Cambria Math"/>
                  <w:i/>
                  <w:lang w:val="en-AU"/>
                </w:rPr>
              </m:ctrlPr>
            </m:dPr>
            <m:e>
              <m:f>
                <m:fPr>
                  <m:ctrlPr>
                    <w:rPr>
                      <w:rFonts w:ascii="Cambria Math" w:hAnsi="Cambria Math"/>
                      <w:i/>
                      <w:lang w:val="en-AU"/>
                    </w:rPr>
                  </m:ctrlPr>
                </m:fPr>
                <m:num>
                  <m:r>
                    <m:rPr>
                      <m:sty m:val="p"/>
                    </m:rPr>
                    <w:rPr>
                      <w:rFonts w:ascii="Cambria Math" w:hAnsi="Cambria Math"/>
                      <w:lang w:val="en-AU"/>
                    </w:rPr>
                    <m:t>∆</m:t>
                  </m:r>
                  <m:sSub>
                    <m:sSubPr>
                      <m:ctrlPr>
                        <w:rPr>
                          <w:rFonts w:ascii="Cambria Math" w:hAnsi="Cambria Math"/>
                          <w:lang w:val="en-AU"/>
                        </w:rPr>
                      </m:ctrlPr>
                    </m:sSubPr>
                    <m:e>
                      <m:r>
                        <m:rPr>
                          <m:sty m:val="p"/>
                        </m:rPr>
                        <w:rPr>
                          <w:rFonts w:ascii="Cambria Math" w:hAnsi="Cambria Math"/>
                          <w:lang w:val="en-AU"/>
                        </w:rPr>
                        <m:t>R</m:t>
                      </m:r>
                    </m:e>
                    <m:sub>
                      <m:r>
                        <w:rPr>
                          <w:rFonts w:ascii="Cambria Math" w:hAnsi="Cambria Math"/>
                          <w:lang w:val="en-AU"/>
                        </w:rPr>
                        <m:t>t</m:t>
                      </m:r>
                    </m:sub>
                  </m:sSub>
                  <m:ctrlPr>
                    <w:rPr>
                      <w:rFonts w:ascii="Cambria Math" w:hAnsi="Cambria Math"/>
                      <w:lang w:val="en-AU"/>
                    </w:rPr>
                  </m:ctrlPr>
                </m:num>
                <m:den>
                  <m:sSub>
                    <m:sSubPr>
                      <m:ctrlPr>
                        <w:rPr>
                          <w:rFonts w:ascii="Cambria Math" w:hAnsi="Cambria Math"/>
                          <w:i/>
                          <w:lang w:val="en-AU"/>
                        </w:rPr>
                      </m:ctrlPr>
                    </m:sSubPr>
                    <m:e>
                      <m:r>
                        <w:rPr>
                          <w:rFonts w:ascii="Cambria Math" w:hAnsi="Cambria Math"/>
                          <w:lang w:val="en-AU"/>
                        </w:rPr>
                        <m:t>R</m:t>
                      </m:r>
                    </m:e>
                    <m:sub>
                      <m:r>
                        <w:rPr>
                          <w:rFonts w:ascii="Cambria Math" w:hAnsi="Cambria Math"/>
                          <w:lang w:val="en-AU"/>
                        </w:rPr>
                        <m:t>t-2</m:t>
                      </m:r>
                    </m:sub>
                  </m:sSub>
                </m:den>
              </m:f>
            </m:e>
          </m:d>
        </m:oMath>
      </m:oMathPara>
    </w:p>
    <w:p w14:paraId="0958DB47" w14:textId="7E054EAC" w:rsidR="00C24855" w:rsidRPr="004360BF" w:rsidRDefault="008D3644" w:rsidP="008D3644">
      <w:pPr>
        <w:pStyle w:val="Dottop"/>
        <w:ind w:left="426"/>
        <w:rPr>
          <w:lang w:val="en-AU"/>
        </w:rPr>
      </w:pPr>
      <w:proofErr w:type="gramStart"/>
      <w:r w:rsidRPr="004360BF">
        <w:rPr>
          <w:lang w:val="en-AU"/>
        </w:rPr>
        <w:t>where</w:t>
      </w:r>
      <w:proofErr w:type="gramEnd"/>
      <w:r w:rsidRPr="004360BF">
        <w:rPr>
          <w:lang w:val="en-AU"/>
        </w:rPr>
        <w:t>:</w:t>
      </w:r>
    </w:p>
    <w:p w14:paraId="30E0F089" w14:textId="79655531" w:rsidR="00C24855" w:rsidRPr="004360BF" w:rsidRDefault="00C24855" w:rsidP="008D3644">
      <w:pPr>
        <w:ind w:left="1985" w:hanging="1559"/>
        <w:rPr>
          <w:lang w:val="en-AU"/>
        </w:rPr>
      </w:pPr>
      <w:proofErr w:type="spellStart"/>
      <w:r w:rsidRPr="004360BF">
        <w:rPr>
          <w:i/>
          <w:lang w:val="en-AU"/>
        </w:rPr>
        <w:t>CPI</w:t>
      </w:r>
      <w:r w:rsidRPr="004360BF">
        <w:rPr>
          <w:i/>
          <w:vertAlign w:val="subscript"/>
          <w:lang w:val="en-AU"/>
        </w:rPr>
        <w:t>t</w:t>
      </w:r>
      <w:proofErr w:type="spellEnd"/>
      <w:r w:rsidRPr="004360BF">
        <w:rPr>
          <w:i/>
          <w:lang w:val="en-AU"/>
        </w:rPr>
        <w:tab/>
      </w:r>
      <w:r w:rsidRPr="004360BF">
        <w:rPr>
          <w:lang w:val="en-AU"/>
        </w:rPr>
        <w:t>is the annual percentage change in CPI from March in regulatory year</w:t>
      </w:r>
      <w:r w:rsidRPr="004360BF">
        <w:rPr>
          <w:i/>
          <w:lang w:val="en-AU"/>
        </w:rPr>
        <w:t xml:space="preserve"> </w:t>
      </w:r>
      <w:r w:rsidR="008D3644" w:rsidRPr="004360BF">
        <w:rPr>
          <w:i/>
          <w:lang w:val="en-AU"/>
        </w:rPr>
        <w:t>t</w:t>
      </w:r>
      <w:r w:rsidRPr="004360BF">
        <w:rPr>
          <w:i/>
          <w:lang w:val="en-AU"/>
        </w:rPr>
        <w:t xml:space="preserve">-2 </w:t>
      </w:r>
      <w:r w:rsidRPr="004360BF">
        <w:rPr>
          <w:lang w:val="en-AU"/>
        </w:rPr>
        <w:t>to March in regulatory year</w:t>
      </w:r>
      <w:r w:rsidRPr="004360BF">
        <w:rPr>
          <w:i/>
          <w:lang w:val="en-AU"/>
        </w:rPr>
        <w:t xml:space="preserve"> t-1</w:t>
      </w:r>
    </w:p>
    <w:p w14:paraId="40788505" w14:textId="3F82273F" w:rsidR="00C24855" w:rsidRPr="004360BF" w:rsidRDefault="00C24855" w:rsidP="008D3644">
      <w:pPr>
        <w:spacing w:after="120"/>
        <w:ind w:left="1985" w:hanging="1625"/>
        <w:rPr>
          <w:lang w:val="en-AU"/>
        </w:rPr>
      </w:pPr>
      <w:proofErr w:type="spellStart"/>
      <w:r w:rsidRPr="004360BF">
        <w:rPr>
          <w:i/>
          <w:lang w:val="en-AU"/>
        </w:rPr>
        <w:t>Xt</w:t>
      </w:r>
      <w:proofErr w:type="spellEnd"/>
      <w:r w:rsidRPr="004360BF">
        <w:rPr>
          <w:i/>
          <w:lang w:val="en-AU"/>
        </w:rPr>
        <w:tab/>
      </w:r>
      <w:r w:rsidRPr="004360BF">
        <w:rPr>
          <w:lang w:val="en-AU"/>
        </w:rPr>
        <w:t>is the allowed real change in revenue from regulatory year</w:t>
      </w:r>
      <w:r w:rsidRPr="004360BF">
        <w:rPr>
          <w:i/>
          <w:lang w:val="en-AU"/>
        </w:rPr>
        <w:t xml:space="preserve"> t-1 </w:t>
      </w:r>
      <w:r w:rsidRPr="004360BF">
        <w:rPr>
          <w:lang w:val="en-AU"/>
        </w:rPr>
        <w:t>to year</w:t>
      </w:r>
      <w:r w:rsidRPr="004360BF">
        <w:rPr>
          <w:i/>
          <w:lang w:val="en-AU"/>
        </w:rPr>
        <w:t xml:space="preserve"> t </w:t>
      </w:r>
      <w:r w:rsidRPr="004360BF">
        <w:rPr>
          <w:lang w:val="en-AU"/>
        </w:rPr>
        <w:t xml:space="preserve">of the 2014-19 regulatory control </w:t>
      </w:r>
      <w:proofErr w:type="gramStart"/>
      <w:r w:rsidRPr="004360BF">
        <w:rPr>
          <w:lang w:val="en-AU"/>
        </w:rPr>
        <w:t>period</w:t>
      </w:r>
      <w:proofErr w:type="gramEnd"/>
      <w:r w:rsidRPr="004360BF">
        <w:rPr>
          <w:lang w:val="en-AU"/>
        </w:rPr>
        <w:t xml:space="preserve"> as determined by the Commission</w:t>
      </w:r>
    </w:p>
    <w:p w14:paraId="6A93F511" w14:textId="4CBDC350" w:rsidR="00C24855" w:rsidRPr="004360BF" w:rsidRDefault="00C24855" w:rsidP="008D3644">
      <w:pPr>
        <w:spacing w:after="120"/>
        <w:ind w:left="1985" w:hanging="1625"/>
        <w:rPr>
          <w:lang w:val="en-AU"/>
        </w:rPr>
      </w:pPr>
      <w:proofErr w:type="spellStart"/>
      <w:proofErr w:type="gramStart"/>
      <w:r w:rsidRPr="004360BF">
        <w:rPr>
          <w:i/>
          <w:lang w:val="en-AU"/>
        </w:rPr>
        <w:t>Y</w:t>
      </w:r>
      <w:r w:rsidRPr="004360BF">
        <w:rPr>
          <w:i/>
          <w:vertAlign w:val="subscript"/>
          <w:lang w:val="en-AU"/>
        </w:rPr>
        <w:t>t</w:t>
      </w:r>
      <w:proofErr w:type="spellEnd"/>
      <w:proofErr w:type="gramEnd"/>
      <w:r w:rsidRPr="004360BF">
        <w:rPr>
          <w:i/>
          <w:lang w:val="en-AU"/>
        </w:rPr>
        <w:tab/>
      </w:r>
      <w:r w:rsidRPr="004360BF">
        <w:rPr>
          <w:lang w:val="en-AU"/>
        </w:rPr>
        <w:t xml:space="preserve">is the side constraint on revenue recovered from a tariff class </w:t>
      </w:r>
      <w:r w:rsidR="008D3644" w:rsidRPr="004360BF">
        <w:rPr>
          <w:lang w:val="en-AU"/>
        </w:rPr>
        <w:t>or</w:t>
      </w:r>
      <w:r w:rsidRPr="004360BF">
        <w:rPr>
          <w:lang w:val="en-AU"/>
        </w:rPr>
        <w:t xml:space="preserve"> </w:t>
      </w:r>
      <w:r w:rsidR="008D3644" w:rsidRPr="004360BF">
        <w:rPr>
          <w:lang w:val="en-AU"/>
        </w:rPr>
        <w:t xml:space="preserve">retail customer class </w:t>
      </w:r>
      <w:r w:rsidRPr="004360BF">
        <w:rPr>
          <w:lang w:val="en-AU"/>
        </w:rPr>
        <w:t>from regulatory year</w:t>
      </w:r>
      <w:r w:rsidRPr="004360BF">
        <w:rPr>
          <w:i/>
          <w:lang w:val="en-AU"/>
        </w:rPr>
        <w:t xml:space="preserve"> t-1 </w:t>
      </w:r>
      <w:r w:rsidRPr="004360BF">
        <w:rPr>
          <w:lang w:val="en-AU"/>
        </w:rPr>
        <w:t>to regulatory year</w:t>
      </w:r>
      <w:r w:rsidRPr="004360BF">
        <w:rPr>
          <w:i/>
          <w:lang w:val="en-AU"/>
        </w:rPr>
        <w:t xml:space="preserve"> t </w:t>
      </w:r>
      <w:r w:rsidRPr="004360BF">
        <w:rPr>
          <w:lang w:val="en-AU"/>
        </w:rPr>
        <w:t>of the 2014</w:t>
      </w:r>
      <w:r w:rsidRPr="004360BF">
        <w:rPr>
          <w:lang w:val="en-AU"/>
        </w:rPr>
        <w:noBreakHyphen/>
        <w:t>19 regulatory control period as determined by the Commission</w:t>
      </w:r>
    </w:p>
    <w:p w14:paraId="492D8EBA" w14:textId="77777777" w:rsidR="00C24855" w:rsidRPr="004360BF" w:rsidRDefault="00C24855" w:rsidP="008D3644">
      <w:pPr>
        <w:spacing w:after="120"/>
        <w:ind w:left="1985" w:hanging="1625"/>
        <w:rPr>
          <w:i/>
          <w:lang w:val="en-AU"/>
        </w:rPr>
      </w:pPr>
      <w:proofErr w:type="spellStart"/>
      <w:proofErr w:type="gramStart"/>
      <w:r w:rsidRPr="004360BF">
        <w:rPr>
          <w:i/>
          <w:lang w:val="en-AU"/>
        </w:rPr>
        <w:t>passthrough</w:t>
      </w:r>
      <w:r w:rsidRPr="004360BF">
        <w:rPr>
          <w:i/>
          <w:vertAlign w:val="subscript"/>
          <w:lang w:val="en-AU"/>
        </w:rPr>
        <w:t>t</w:t>
      </w:r>
      <w:proofErr w:type="spellEnd"/>
      <w:proofErr w:type="gramEnd"/>
      <w:r w:rsidRPr="004360BF">
        <w:rPr>
          <w:i/>
          <w:lang w:val="en-AU"/>
        </w:rPr>
        <w:tab/>
      </w:r>
      <w:r w:rsidRPr="004360BF">
        <w:rPr>
          <w:lang w:val="en-AU"/>
        </w:rPr>
        <w:t>is any positive pass through amount or negative pass through amount in regulatory year</w:t>
      </w:r>
      <w:r w:rsidRPr="004360BF">
        <w:rPr>
          <w:i/>
          <w:lang w:val="en-AU"/>
        </w:rPr>
        <w:t xml:space="preserve"> t </w:t>
      </w:r>
      <w:r w:rsidRPr="004360BF">
        <w:rPr>
          <w:lang w:val="en-AU"/>
        </w:rPr>
        <w:t>determined by the Commission, expressed as a percentage of the annual revenue requirement</w:t>
      </w:r>
    </w:p>
    <w:p w14:paraId="7AA2F0CC" w14:textId="7EB3F438" w:rsidR="008D3644" w:rsidRPr="004360BF" w:rsidRDefault="008D3644" w:rsidP="008D3644">
      <w:pPr>
        <w:spacing w:after="120"/>
        <w:ind w:left="1985" w:hanging="1625"/>
        <w:rPr>
          <w:i/>
          <w:lang w:val="en-AU"/>
        </w:rPr>
      </w:pPr>
      <w:proofErr w:type="spellStart"/>
      <w:r w:rsidRPr="004360BF">
        <w:rPr>
          <w:rFonts w:cs="Tahoma"/>
          <w:i/>
          <w:lang w:val="en-AU"/>
        </w:rPr>
        <w:t>Δ</w:t>
      </w:r>
      <w:r w:rsidRPr="004360BF">
        <w:rPr>
          <w:i/>
          <w:lang w:val="en-AU"/>
        </w:rPr>
        <w:t>Rt</w:t>
      </w:r>
      <w:proofErr w:type="spellEnd"/>
      <w:r w:rsidRPr="004360BF">
        <w:rPr>
          <w:i/>
          <w:lang w:val="en-AU"/>
        </w:rPr>
        <w:tab/>
      </w:r>
      <w:r w:rsidRPr="004360BF">
        <w:rPr>
          <w:lang w:val="en-AU"/>
        </w:rPr>
        <w:t>is the overs and unders adjustment to revenue in regulatory year</w:t>
      </w:r>
      <w:r w:rsidRPr="004360BF">
        <w:rPr>
          <w:i/>
          <w:lang w:val="en-AU"/>
        </w:rPr>
        <w:t> t</w:t>
      </w:r>
    </w:p>
    <w:p w14:paraId="26FAB47F" w14:textId="3C8FAB08" w:rsidR="008D3644" w:rsidRPr="004360BF" w:rsidRDefault="008D3644" w:rsidP="008D3644">
      <w:pPr>
        <w:spacing w:after="120"/>
        <w:ind w:left="1985" w:hanging="1625"/>
        <w:rPr>
          <w:i/>
          <w:lang w:val="en-AU"/>
        </w:rPr>
      </w:pPr>
      <w:r w:rsidRPr="004360BF">
        <w:rPr>
          <w:i/>
          <w:lang w:val="en-AU"/>
        </w:rPr>
        <w:t>R</w:t>
      </w:r>
      <w:r w:rsidRPr="004360BF">
        <w:rPr>
          <w:i/>
          <w:vertAlign w:val="subscript"/>
          <w:lang w:val="en-AU"/>
        </w:rPr>
        <w:t xml:space="preserve">t-2 </w:t>
      </w:r>
      <w:r w:rsidRPr="004360BF">
        <w:rPr>
          <w:i/>
          <w:lang w:val="en-AU"/>
        </w:rPr>
        <w:tab/>
      </w:r>
      <w:r w:rsidRPr="004360BF">
        <w:rPr>
          <w:lang w:val="en-AU"/>
        </w:rPr>
        <w:t>is the actual revenue in regulatory year</w:t>
      </w:r>
      <w:r w:rsidRPr="004360BF">
        <w:rPr>
          <w:i/>
          <w:lang w:val="en-AU"/>
        </w:rPr>
        <w:t xml:space="preserve"> t-2</w:t>
      </w:r>
    </w:p>
    <w:p w14:paraId="73C95194" w14:textId="77777777" w:rsidR="00C24855" w:rsidRPr="004360BF" w:rsidRDefault="00C24855" w:rsidP="008D3644">
      <w:pPr>
        <w:spacing w:after="120"/>
        <w:ind w:left="1985" w:hanging="1625"/>
        <w:rPr>
          <w:i/>
          <w:lang w:val="en-AU"/>
        </w:rPr>
      </w:pPr>
      <w:proofErr w:type="gramStart"/>
      <w:r w:rsidRPr="004360BF">
        <w:rPr>
          <w:i/>
          <w:lang w:val="en-AU"/>
        </w:rPr>
        <w:t>m</w:t>
      </w:r>
      <w:proofErr w:type="gramEnd"/>
      <w:r w:rsidRPr="004360BF">
        <w:rPr>
          <w:i/>
          <w:lang w:val="en-AU"/>
        </w:rPr>
        <w:tab/>
      </w:r>
      <w:r w:rsidRPr="004360BF">
        <w:rPr>
          <w:lang w:val="en-AU"/>
        </w:rPr>
        <w:t>is the number of tariff components</w:t>
      </w:r>
    </w:p>
    <w:p w14:paraId="0D4B9D12" w14:textId="670B11AC" w:rsidR="00C24855" w:rsidRPr="004360BF" w:rsidRDefault="00C24855" w:rsidP="008D3644">
      <w:pPr>
        <w:spacing w:after="120"/>
        <w:ind w:left="1985" w:hanging="1625"/>
        <w:rPr>
          <w:i/>
          <w:lang w:val="en-AU"/>
        </w:rPr>
      </w:pPr>
      <w:proofErr w:type="gramStart"/>
      <w:r w:rsidRPr="004360BF">
        <w:rPr>
          <w:i/>
          <w:lang w:val="en-AU"/>
        </w:rPr>
        <w:lastRenderedPageBreak/>
        <w:t>p</w:t>
      </w:r>
      <w:r w:rsidRPr="004360BF">
        <w:rPr>
          <w:i/>
          <w:vertAlign w:val="superscript"/>
          <w:lang w:val="en-AU"/>
        </w:rPr>
        <w:t>i</w:t>
      </w:r>
      <w:r w:rsidRPr="004360BF">
        <w:rPr>
          <w:i/>
          <w:vertAlign w:val="subscript"/>
          <w:lang w:val="en-AU"/>
        </w:rPr>
        <w:t>t</w:t>
      </w:r>
      <w:proofErr w:type="gramEnd"/>
      <w:r w:rsidRPr="004360BF">
        <w:rPr>
          <w:i/>
          <w:lang w:val="en-AU"/>
        </w:rPr>
        <w:tab/>
      </w:r>
      <w:r w:rsidRPr="004360BF">
        <w:rPr>
          <w:lang w:val="en-AU"/>
        </w:rPr>
        <w:t>is the proposed price for component</w:t>
      </w:r>
      <w:r w:rsidRPr="004360BF">
        <w:rPr>
          <w:i/>
          <w:lang w:val="en-AU"/>
        </w:rPr>
        <w:t xml:space="preserve"> j </w:t>
      </w:r>
      <w:r w:rsidRPr="004360BF">
        <w:rPr>
          <w:lang w:val="en-AU"/>
        </w:rPr>
        <w:t xml:space="preserve">of the tariff class in </w:t>
      </w:r>
      <w:r w:rsidR="008D3644" w:rsidRPr="004360BF">
        <w:rPr>
          <w:lang w:val="en-AU"/>
        </w:rPr>
        <w:t xml:space="preserve">regulatory </w:t>
      </w:r>
      <w:r w:rsidRPr="004360BF">
        <w:rPr>
          <w:lang w:val="en-AU"/>
        </w:rPr>
        <w:t>year</w:t>
      </w:r>
      <w:r w:rsidRPr="004360BF">
        <w:rPr>
          <w:i/>
          <w:lang w:val="en-AU"/>
        </w:rPr>
        <w:t xml:space="preserve"> t</w:t>
      </w:r>
    </w:p>
    <w:p w14:paraId="28D56A39" w14:textId="2EB1E2D4" w:rsidR="00C24855" w:rsidRPr="004360BF" w:rsidRDefault="00C24855" w:rsidP="008D3644">
      <w:pPr>
        <w:spacing w:after="120"/>
        <w:ind w:left="1985" w:hanging="1625"/>
        <w:rPr>
          <w:i/>
          <w:lang w:val="en-AU"/>
        </w:rPr>
      </w:pPr>
      <w:proofErr w:type="gramStart"/>
      <w:r w:rsidRPr="004360BF">
        <w:rPr>
          <w:i/>
          <w:lang w:val="en-AU"/>
        </w:rPr>
        <w:t>p</w:t>
      </w:r>
      <w:r w:rsidRPr="004360BF">
        <w:rPr>
          <w:i/>
          <w:vertAlign w:val="superscript"/>
          <w:lang w:val="en-AU"/>
        </w:rPr>
        <w:t>i</w:t>
      </w:r>
      <w:r w:rsidRPr="004360BF">
        <w:rPr>
          <w:i/>
          <w:vertAlign w:val="subscript"/>
          <w:lang w:val="en-AU"/>
        </w:rPr>
        <w:t>t-1</w:t>
      </w:r>
      <w:proofErr w:type="gramEnd"/>
      <w:r w:rsidRPr="004360BF">
        <w:rPr>
          <w:i/>
          <w:lang w:val="en-AU"/>
        </w:rPr>
        <w:tab/>
      </w:r>
      <w:r w:rsidRPr="004360BF">
        <w:rPr>
          <w:lang w:val="en-AU"/>
        </w:rPr>
        <w:t>is the price charged for component</w:t>
      </w:r>
      <w:r w:rsidRPr="004360BF">
        <w:rPr>
          <w:i/>
          <w:lang w:val="en-AU"/>
        </w:rPr>
        <w:t xml:space="preserve"> j </w:t>
      </w:r>
      <w:r w:rsidRPr="004360BF">
        <w:rPr>
          <w:lang w:val="en-AU"/>
        </w:rPr>
        <w:t xml:space="preserve">of the tariff class in </w:t>
      </w:r>
      <w:r w:rsidR="008D3644" w:rsidRPr="004360BF">
        <w:rPr>
          <w:lang w:val="en-AU"/>
        </w:rPr>
        <w:t xml:space="preserve">regulatory </w:t>
      </w:r>
      <w:r w:rsidRPr="004360BF">
        <w:rPr>
          <w:lang w:val="en-AU"/>
        </w:rPr>
        <w:t>year</w:t>
      </w:r>
      <w:r w:rsidRPr="004360BF">
        <w:rPr>
          <w:i/>
          <w:lang w:val="en-AU"/>
        </w:rPr>
        <w:t xml:space="preserve"> t-1</w:t>
      </w:r>
    </w:p>
    <w:p w14:paraId="1E58C667" w14:textId="7957B5B4" w:rsidR="007D62C2" w:rsidRPr="004360BF" w:rsidRDefault="00C24855" w:rsidP="008D3644">
      <w:pPr>
        <w:ind w:left="1984" w:hanging="1627"/>
        <w:rPr>
          <w:i/>
          <w:lang w:val="en-AU"/>
        </w:rPr>
      </w:pPr>
      <w:proofErr w:type="gramStart"/>
      <w:r w:rsidRPr="004360BF">
        <w:rPr>
          <w:i/>
          <w:lang w:val="en-AU"/>
        </w:rPr>
        <w:t>q</w:t>
      </w:r>
      <w:r w:rsidRPr="004360BF">
        <w:rPr>
          <w:i/>
          <w:vertAlign w:val="superscript"/>
          <w:lang w:val="en-AU"/>
        </w:rPr>
        <w:t>i</w:t>
      </w:r>
      <w:r w:rsidRPr="004360BF">
        <w:rPr>
          <w:i/>
          <w:vertAlign w:val="subscript"/>
          <w:lang w:val="en-AU"/>
        </w:rPr>
        <w:t>t-2</w:t>
      </w:r>
      <w:proofErr w:type="gramEnd"/>
      <w:r w:rsidRPr="004360BF">
        <w:rPr>
          <w:i/>
          <w:lang w:val="en-AU"/>
        </w:rPr>
        <w:tab/>
      </w:r>
      <w:r w:rsidRPr="004360BF">
        <w:rPr>
          <w:lang w:val="en-AU"/>
        </w:rPr>
        <w:t>is the actual volume of component</w:t>
      </w:r>
      <w:r w:rsidRPr="004360BF">
        <w:rPr>
          <w:i/>
          <w:lang w:val="en-AU"/>
        </w:rPr>
        <w:t xml:space="preserve"> j </w:t>
      </w:r>
      <w:r w:rsidRPr="004360BF">
        <w:rPr>
          <w:lang w:val="en-AU"/>
        </w:rPr>
        <w:t xml:space="preserve">of the tariff class in </w:t>
      </w:r>
      <w:r w:rsidR="008D3644" w:rsidRPr="004360BF">
        <w:rPr>
          <w:lang w:val="en-AU"/>
        </w:rPr>
        <w:t xml:space="preserve">regulatory </w:t>
      </w:r>
      <w:r w:rsidRPr="004360BF">
        <w:rPr>
          <w:lang w:val="en-AU"/>
        </w:rPr>
        <w:t>year</w:t>
      </w:r>
      <w:r w:rsidRPr="004360BF">
        <w:rPr>
          <w:i/>
          <w:lang w:val="en-AU"/>
        </w:rPr>
        <w:t xml:space="preserve"> t-2</w:t>
      </w:r>
    </w:p>
    <w:p w14:paraId="4EC03203" w14:textId="7A21A62B" w:rsidR="007D62C2" w:rsidRPr="004360BF" w:rsidRDefault="004007A4" w:rsidP="008D3644">
      <w:pPr>
        <w:rPr>
          <w:lang w:val="en-AU" w:eastAsia="en-AU"/>
        </w:rPr>
      </w:pPr>
      <w:r w:rsidRPr="004360BF">
        <w:rPr>
          <w:lang w:val="en-AU"/>
        </w:rPr>
        <w:t xml:space="preserve">The above formula varies from that originally published by the Commission in the </w:t>
      </w:r>
      <w:r w:rsidRPr="004360BF">
        <w:rPr>
          <w:lang w:val="en-AU" w:eastAsia="en-AU"/>
        </w:rPr>
        <w:t xml:space="preserve">2014 NPD Final Determination. In the course of preparing this submission </w:t>
      </w:r>
      <w:r w:rsidR="00C85873" w:rsidRPr="004360BF">
        <w:rPr>
          <w:lang w:val="en-AU" w:eastAsia="en-AU"/>
        </w:rPr>
        <w:t>PWC</w:t>
      </w:r>
      <w:r w:rsidR="007D62C2" w:rsidRPr="004360BF">
        <w:rPr>
          <w:lang w:val="en-AU" w:eastAsia="en-AU"/>
        </w:rPr>
        <w:t xml:space="preserve"> identified an unintended mis</w:t>
      </w:r>
      <w:r w:rsidRPr="004360BF">
        <w:rPr>
          <w:lang w:val="en-AU" w:eastAsia="en-AU"/>
        </w:rPr>
        <w:t xml:space="preserve">alignment between the price control mechanism and the side </w:t>
      </w:r>
      <w:r w:rsidR="007D62C2" w:rsidRPr="004360BF">
        <w:rPr>
          <w:lang w:val="en-AU" w:eastAsia="en-AU"/>
        </w:rPr>
        <w:t>constraint</w:t>
      </w:r>
      <w:r w:rsidRPr="004360BF">
        <w:rPr>
          <w:lang w:val="en-AU" w:eastAsia="en-AU"/>
        </w:rPr>
        <w:t xml:space="preserve"> formula</w:t>
      </w:r>
      <w:r w:rsidR="007D62C2" w:rsidRPr="004360BF">
        <w:rPr>
          <w:lang w:val="en-AU" w:eastAsia="en-AU"/>
        </w:rPr>
        <w:t xml:space="preserve">. The </w:t>
      </w:r>
      <w:r w:rsidRPr="004360BF">
        <w:rPr>
          <w:lang w:val="en-AU" w:eastAsia="en-AU"/>
        </w:rPr>
        <w:t>cause</w:t>
      </w:r>
      <w:r w:rsidR="007D62C2" w:rsidRPr="004360BF">
        <w:rPr>
          <w:lang w:val="en-AU" w:eastAsia="en-AU"/>
        </w:rPr>
        <w:t xml:space="preserve"> of the misalignment was </w:t>
      </w:r>
      <w:r w:rsidRPr="004360BF">
        <w:rPr>
          <w:lang w:val="en-AU" w:eastAsia="en-AU"/>
        </w:rPr>
        <w:t>the omission</w:t>
      </w:r>
      <w:r w:rsidR="00AA1644" w:rsidRPr="004360BF">
        <w:rPr>
          <w:lang w:val="en-AU" w:eastAsia="en-AU"/>
        </w:rPr>
        <w:t xml:space="preserve"> of</w:t>
      </w:r>
      <w:r w:rsidRPr="004360BF">
        <w:rPr>
          <w:lang w:val="en-AU" w:eastAsia="en-AU"/>
        </w:rPr>
        <w:t xml:space="preserve"> </w:t>
      </w:r>
      <w:r w:rsidR="007D62C2" w:rsidRPr="004360BF">
        <w:rPr>
          <w:lang w:val="en-AU" w:eastAsia="en-AU"/>
        </w:rPr>
        <w:t>an</w:t>
      </w:r>
      <w:r w:rsidRPr="004360BF">
        <w:rPr>
          <w:lang w:val="en-AU" w:eastAsia="en-AU"/>
        </w:rPr>
        <w:t xml:space="preserve"> </w:t>
      </w:r>
      <w:r w:rsidR="007D62C2" w:rsidRPr="004360BF">
        <w:rPr>
          <w:lang w:val="en-AU" w:eastAsia="en-AU"/>
        </w:rPr>
        <w:t>under</w:t>
      </w:r>
      <w:r w:rsidR="00C85873" w:rsidRPr="004360BF">
        <w:rPr>
          <w:lang w:val="en-AU" w:eastAsia="en-AU"/>
        </w:rPr>
        <w:t>s</w:t>
      </w:r>
      <w:r w:rsidR="007D62C2" w:rsidRPr="004360BF">
        <w:rPr>
          <w:lang w:val="en-AU" w:eastAsia="en-AU"/>
        </w:rPr>
        <w:t xml:space="preserve"> and overs adjustment factor</w:t>
      </w:r>
      <w:r w:rsidR="00C85873" w:rsidRPr="004360BF">
        <w:rPr>
          <w:lang w:val="en-AU" w:eastAsia="en-AU"/>
        </w:rPr>
        <w:t xml:space="preserve"> in the side constraint formula</w:t>
      </w:r>
      <w:r w:rsidR="007D62C2" w:rsidRPr="004360BF">
        <w:rPr>
          <w:lang w:val="en-AU" w:eastAsia="en-AU"/>
        </w:rPr>
        <w:t>.</w:t>
      </w:r>
    </w:p>
    <w:p w14:paraId="3E4B79B4" w14:textId="4E4FE089" w:rsidR="00C24855" w:rsidRPr="004360BF" w:rsidRDefault="00C85873">
      <w:pPr>
        <w:spacing w:before="120"/>
        <w:rPr>
          <w:lang w:val="en-AU"/>
        </w:rPr>
      </w:pPr>
      <w:r w:rsidRPr="004360BF">
        <w:rPr>
          <w:rFonts w:eastAsia="MS Gothic"/>
          <w:bCs/>
          <w:szCs w:val="20"/>
          <w:lang w:val="en-AU" w:eastAsia="en-AU"/>
        </w:rPr>
        <w:t>PWC</w:t>
      </w:r>
      <w:r w:rsidR="007D62C2" w:rsidRPr="004360BF">
        <w:rPr>
          <w:rFonts w:eastAsia="MS Gothic"/>
          <w:bCs/>
          <w:szCs w:val="20"/>
          <w:lang w:val="en-AU" w:eastAsia="en-AU"/>
        </w:rPr>
        <w:t xml:space="preserve"> brought the issue to the attention of the </w:t>
      </w:r>
      <w:r w:rsidR="007D62C2" w:rsidRPr="004360BF">
        <w:rPr>
          <w:lang w:val="en-AU"/>
        </w:rPr>
        <w:t xml:space="preserve">Commission, which </w:t>
      </w:r>
      <w:r w:rsidR="00983241" w:rsidRPr="004360BF">
        <w:rPr>
          <w:lang w:val="en-AU"/>
        </w:rPr>
        <w:t>corrected the</w:t>
      </w:r>
      <w:r w:rsidR="007D62C2" w:rsidRPr="004360BF">
        <w:rPr>
          <w:lang w:val="en-AU"/>
        </w:rPr>
        <w:t xml:space="preserve"> error. </w:t>
      </w:r>
      <w:r w:rsidR="00983241" w:rsidRPr="004360BF">
        <w:rPr>
          <w:lang w:val="en-AU"/>
        </w:rPr>
        <w:t>This</w:t>
      </w:r>
      <w:r w:rsidR="00C24855" w:rsidRPr="004360BF">
        <w:rPr>
          <w:lang w:val="en-AU"/>
        </w:rPr>
        <w:t xml:space="preserve"> 2015/16 Network Pricing Proposal </w:t>
      </w:r>
      <w:r w:rsidRPr="004360BF">
        <w:rPr>
          <w:lang w:val="en-AU"/>
        </w:rPr>
        <w:t xml:space="preserve">demonstrates </w:t>
      </w:r>
      <w:r w:rsidR="00C24855" w:rsidRPr="004360BF">
        <w:rPr>
          <w:lang w:val="en-AU"/>
        </w:rPr>
        <w:t xml:space="preserve">that the proposed </w:t>
      </w:r>
      <w:r w:rsidR="00947E15" w:rsidRPr="004360BF">
        <w:rPr>
          <w:lang w:val="en-AU"/>
        </w:rPr>
        <w:t xml:space="preserve">2015/16 </w:t>
      </w:r>
      <w:r w:rsidR="00C24855" w:rsidRPr="004360BF">
        <w:rPr>
          <w:lang w:val="en-AU"/>
        </w:rPr>
        <w:t xml:space="preserve">network tariffs are compliant with the </w:t>
      </w:r>
      <w:r w:rsidR="00983241" w:rsidRPr="004360BF">
        <w:rPr>
          <w:lang w:val="en-AU"/>
        </w:rPr>
        <w:t xml:space="preserve">revised </w:t>
      </w:r>
      <w:r w:rsidR="00C24855" w:rsidRPr="004360BF">
        <w:rPr>
          <w:lang w:val="en-AU"/>
        </w:rPr>
        <w:t>tariff class side constraint</w:t>
      </w:r>
      <w:r w:rsidRPr="004360BF">
        <w:rPr>
          <w:lang w:val="en-AU"/>
        </w:rPr>
        <w:t xml:space="preserve"> formula</w:t>
      </w:r>
      <w:r w:rsidR="00C24855" w:rsidRPr="004360BF">
        <w:rPr>
          <w:lang w:val="en-AU"/>
        </w:rPr>
        <w:t>.</w:t>
      </w:r>
    </w:p>
    <w:p w14:paraId="7088B558" w14:textId="77777777" w:rsidR="00C24855" w:rsidRPr="004360BF" w:rsidRDefault="00C24855" w:rsidP="00EE7AA1">
      <w:pPr>
        <w:pStyle w:val="Heading3"/>
      </w:pPr>
      <w:bookmarkStart w:id="93" w:name="_Toc417291730"/>
      <w:bookmarkStart w:id="94" w:name="_Toc417292498"/>
      <w:bookmarkStart w:id="95" w:name="_Toc291262221"/>
      <w:r w:rsidRPr="004360BF">
        <w:t>Overs and unders calculation</w:t>
      </w:r>
      <w:bookmarkEnd w:id="93"/>
      <w:bookmarkEnd w:id="94"/>
      <w:bookmarkEnd w:id="95"/>
    </w:p>
    <w:p w14:paraId="47A1F1B2" w14:textId="7EB31B7F" w:rsidR="00C24855" w:rsidRPr="004360BF" w:rsidRDefault="00C24855" w:rsidP="00C24855">
      <w:pPr>
        <w:rPr>
          <w:lang w:val="en-AU"/>
        </w:rPr>
      </w:pPr>
      <w:r w:rsidRPr="004360BF">
        <w:rPr>
          <w:lang w:val="en-AU"/>
        </w:rPr>
        <w:t xml:space="preserve">Power Networks will submit prices in each regulatory year that comply with the form of price control set out in section </w:t>
      </w:r>
      <w:r w:rsidR="009D0181" w:rsidRPr="004360BF">
        <w:rPr>
          <w:lang w:val="en-AU"/>
        </w:rPr>
        <w:fldChar w:fldCharType="begin"/>
      </w:r>
      <w:r w:rsidR="009D0181" w:rsidRPr="004360BF">
        <w:rPr>
          <w:lang w:val="en-AU"/>
        </w:rPr>
        <w:instrText xml:space="preserve"> REF _Ref292367154 \r \h </w:instrText>
      </w:r>
      <w:r w:rsidR="009D0181" w:rsidRPr="004360BF">
        <w:rPr>
          <w:lang w:val="en-AU"/>
        </w:rPr>
      </w:r>
      <w:r w:rsidR="009D0181" w:rsidRPr="004360BF">
        <w:rPr>
          <w:lang w:val="en-AU"/>
        </w:rPr>
        <w:fldChar w:fldCharType="separate"/>
      </w:r>
      <w:r w:rsidR="008D3215">
        <w:rPr>
          <w:lang w:val="en-AU"/>
        </w:rPr>
        <w:t>3.3.2</w:t>
      </w:r>
      <w:r w:rsidR="009D0181" w:rsidRPr="004360BF">
        <w:rPr>
          <w:lang w:val="en-AU"/>
        </w:rPr>
        <w:fldChar w:fldCharType="end"/>
      </w:r>
      <w:r w:rsidRPr="004360BF">
        <w:rPr>
          <w:lang w:val="en-AU"/>
        </w:rPr>
        <w:t xml:space="preserve">. It will be necessary to adjust the term </w:t>
      </w:r>
      <w:proofErr w:type="spellStart"/>
      <w:r w:rsidRPr="004360BF">
        <w:rPr>
          <w:rFonts w:cs="Tahoma"/>
          <w:i/>
          <w:lang w:val="en-AU"/>
        </w:rPr>
        <w:t>Δ</w:t>
      </w:r>
      <w:r w:rsidRPr="004360BF">
        <w:rPr>
          <w:i/>
          <w:lang w:val="en-AU"/>
        </w:rPr>
        <w:t>Rt</w:t>
      </w:r>
      <w:proofErr w:type="spellEnd"/>
      <w:r w:rsidRPr="004360BF">
        <w:rPr>
          <w:lang w:val="en-AU"/>
        </w:rPr>
        <w:t xml:space="preserve"> to permit the revenue recovery through prices to track the allowable revenue. The mechanism to achieve this is the Overs and Unders account. </w:t>
      </w:r>
    </w:p>
    <w:p w14:paraId="2AC215E7" w14:textId="62D7BC25" w:rsidR="00C24855" w:rsidRPr="004360BF" w:rsidRDefault="00C24855" w:rsidP="00C24855">
      <w:pPr>
        <w:keepNext/>
        <w:rPr>
          <w:lang w:val="en-AU"/>
        </w:rPr>
      </w:pPr>
      <w:r w:rsidRPr="004360BF">
        <w:rPr>
          <w:lang w:val="en-AU"/>
        </w:rPr>
        <w:t xml:space="preserve">In the 2014 NPD Final Determination, the Commission confirmed the appropriate formulation of this adjustment, as set out in </w:t>
      </w:r>
      <w:r w:rsidR="00CC1083" w:rsidRPr="004360BF">
        <w:rPr>
          <w:lang w:val="en-AU"/>
        </w:rPr>
        <w:fldChar w:fldCharType="begin"/>
      </w:r>
      <w:r w:rsidR="00CC1083" w:rsidRPr="004360BF">
        <w:rPr>
          <w:lang w:val="en-AU"/>
        </w:rPr>
        <w:instrText xml:space="preserve"> REF _Ref291259561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2</w:t>
      </w:r>
      <w:r w:rsidR="00CC1083" w:rsidRPr="004360BF">
        <w:rPr>
          <w:lang w:val="en-AU"/>
        </w:rPr>
        <w:fldChar w:fldCharType="end"/>
      </w:r>
      <w:r w:rsidRPr="004360BF">
        <w:rPr>
          <w:rStyle w:val="FootnoteReference"/>
          <w:rFonts w:eastAsia="MS Gothic"/>
          <w:bCs/>
          <w:szCs w:val="20"/>
          <w:lang w:val="en-AU" w:eastAsia="en-AU"/>
        </w:rPr>
        <w:footnoteReference w:id="17"/>
      </w:r>
      <w:r w:rsidRPr="004360BF">
        <w:rPr>
          <w:lang w:val="en-AU"/>
        </w:rPr>
        <w:t>.</w:t>
      </w:r>
    </w:p>
    <w:p w14:paraId="72CF0965" w14:textId="77777777" w:rsidR="00C24855" w:rsidRPr="004360BF" w:rsidRDefault="00C24855" w:rsidP="00C24855">
      <w:pPr>
        <w:pStyle w:val="Caption"/>
        <w:rPr>
          <w:lang w:val="en-AU"/>
        </w:rPr>
      </w:pPr>
      <w:bookmarkStart w:id="96" w:name="_Ref291259561"/>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2</w:t>
      </w:r>
      <w:r w:rsidR="00517DD9" w:rsidRPr="004360BF">
        <w:rPr>
          <w:lang w:val="en-AU"/>
        </w:rPr>
        <w:fldChar w:fldCharType="end"/>
      </w:r>
      <w:bookmarkEnd w:id="96"/>
      <w:r w:rsidRPr="004360BF">
        <w:rPr>
          <w:lang w:val="en-AU"/>
        </w:rPr>
        <w:t xml:space="preserve"> - Unders and Overs calculation</w:t>
      </w: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2264"/>
        <w:gridCol w:w="2272"/>
        <w:gridCol w:w="1988"/>
      </w:tblGrid>
      <w:tr w:rsidR="00C24855" w:rsidRPr="004360BF" w14:paraId="5C8914FD" w14:textId="77777777" w:rsidTr="004D777E">
        <w:tc>
          <w:tcPr>
            <w:tcW w:w="2698" w:type="dxa"/>
            <w:shd w:val="clear" w:color="auto" w:fill="C6D9F1"/>
          </w:tcPr>
          <w:p w14:paraId="0BA856AA" w14:textId="77777777" w:rsidR="00C24855" w:rsidRPr="004360BF" w:rsidRDefault="00C24855" w:rsidP="004D777E">
            <w:pPr>
              <w:keepNext/>
              <w:spacing w:before="40" w:after="40"/>
              <w:rPr>
                <w:b/>
                <w:bCs/>
                <w:sz w:val="22"/>
                <w:lang w:val="en-AU"/>
              </w:rPr>
            </w:pPr>
            <w:r w:rsidRPr="004360BF">
              <w:rPr>
                <w:b/>
                <w:bCs/>
                <w:sz w:val="22"/>
                <w:lang w:val="en-AU"/>
              </w:rPr>
              <w:t>Element</w:t>
            </w:r>
          </w:p>
        </w:tc>
        <w:tc>
          <w:tcPr>
            <w:tcW w:w="2264" w:type="dxa"/>
            <w:shd w:val="clear" w:color="auto" w:fill="C6D9F1"/>
          </w:tcPr>
          <w:p w14:paraId="54116BAF" w14:textId="77777777" w:rsidR="00C24855" w:rsidRPr="004360BF" w:rsidRDefault="00C24855" w:rsidP="004D777E">
            <w:pPr>
              <w:spacing w:before="40" w:after="40"/>
              <w:jc w:val="center"/>
              <w:rPr>
                <w:b/>
                <w:bCs/>
                <w:sz w:val="22"/>
                <w:lang w:val="en-AU"/>
              </w:rPr>
            </w:pPr>
            <w:r w:rsidRPr="004360BF">
              <w:rPr>
                <w:b/>
                <w:bCs/>
                <w:sz w:val="22"/>
                <w:lang w:val="en-AU"/>
              </w:rPr>
              <w:t>Year t-2</w:t>
            </w:r>
            <w:r w:rsidRPr="004360BF">
              <w:rPr>
                <w:b/>
                <w:bCs/>
                <w:sz w:val="22"/>
                <w:lang w:val="en-AU"/>
              </w:rPr>
              <w:br/>
              <w:t>Actual</w:t>
            </w:r>
          </w:p>
        </w:tc>
        <w:tc>
          <w:tcPr>
            <w:tcW w:w="2272" w:type="dxa"/>
            <w:shd w:val="clear" w:color="auto" w:fill="C6D9F1"/>
          </w:tcPr>
          <w:p w14:paraId="3B5CEDB2" w14:textId="77777777" w:rsidR="00C24855" w:rsidRPr="004360BF" w:rsidRDefault="00C24855" w:rsidP="004D777E">
            <w:pPr>
              <w:spacing w:before="40" w:after="40"/>
              <w:jc w:val="center"/>
              <w:rPr>
                <w:b/>
                <w:bCs/>
                <w:sz w:val="22"/>
                <w:lang w:val="en-AU"/>
              </w:rPr>
            </w:pPr>
            <w:r w:rsidRPr="004360BF">
              <w:rPr>
                <w:b/>
                <w:bCs/>
                <w:sz w:val="22"/>
                <w:lang w:val="en-AU"/>
              </w:rPr>
              <w:t>Year t-1</w:t>
            </w:r>
            <w:r w:rsidRPr="004360BF">
              <w:rPr>
                <w:b/>
                <w:bCs/>
                <w:sz w:val="22"/>
                <w:lang w:val="en-AU"/>
              </w:rPr>
              <w:br/>
              <w:t>Expected</w:t>
            </w:r>
          </w:p>
        </w:tc>
        <w:tc>
          <w:tcPr>
            <w:tcW w:w="1988" w:type="dxa"/>
            <w:shd w:val="clear" w:color="auto" w:fill="C6D9F1"/>
          </w:tcPr>
          <w:p w14:paraId="77178653" w14:textId="77777777" w:rsidR="00C24855" w:rsidRPr="004360BF" w:rsidRDefault="00C24855" w:rsidP="004D777E">
            <w:pPr>
              <w:spacing w:before="40" w:after="40"/>
              <w:jc w:val="center"/>
              <w:rPr>
                <w:b/>
                <w:bCs/>
                <w:sz w:val="22"/>
                <w:lang w:val="en-AU"/>
              </w:rPr>
            </w:pPr>
            <w:r w:rsidRPr="004360BF">
              <w:rPr>
                <w:b/>
                <w:bCs/>
                <w:sz w:val="22"/>
                <w:lang w:val="en-AU"/>
              </w:rPr>
              <w:t xml:space="preserve">Year </w:t>
            </w:r>
            <w:proofErr w:type="spellStart"/>
            <w:r w:rsidRPr="004360BF">
              <w:rPr>
                <w:b/>
                <w:bCs/>
                <w:sz w:val="22"/>
                <w:lang w:val="en-AU"/>
              </w:rPr>
              <w:t>t</w:t>
            </w:r>
            <w:proofErr w:type="spellEnd"/>
            <w:r w:rsidRPr="004360BF">
              <w:rPr>
                <w:b/>
                <w:bCs/>
                <w:sz w:val="22"/>
                <w:lang w:val="en-AU"/>
              </w:rPr>
              <w:br/>
              <w:t>Forecast</w:t>
            </w:r>
          </w:p>
        </w:tc>
      </w:tr>
      <w:tr w:rsidR="00C24855" w:rsidRPr="004360BF" w14:paraId="2AC4E6AF" w14:textId="77777777" w:rsidTr="004D777E">
        <w:tc>
          <w:tcPr>
            <w:tcW w:w="2698" w:type="dxa"/>
            <w:shd w:val="clear" w:color="auto" w:fill="auto"/>
          </w:tcPr>
          <w:p w14:paraId="11F70B0D" w14:textId="77777777" w:rsidR="00C24855" w:rsidRPr="004360BF" w:rsidRDefault="00C24855" w:rsidP="004D777E">
            <w:pPr>
              <w:keepNext/>
              <w:spacing w:before="40" w:after="40"/>
              <w:rPr>
                <w:bCs/>
                <w:sz w:val="22"/>
                <w:szCs w:val="22"/>
                <w:lang w:val="en-AU"/>
              </w:rPr>
            </w:pPr>
            <w:r w:rsidRPr="004360BF">
              <w:rPr>
                <w:bCs/>
                <w:sz w:val="22"/>
                <w:szCs w:val="22"/>
                <w:lang w:val="en-AU"/>
              </w:rPr>
              <w:t>Opening Balance</w:t>
            </w:r>
          </w:p>
        </w:tc>
        <w:tc>
          <w:tcPr>
            <w:tcW w:w="2264" w:type="dxa"/>
            <w:shd w:val="clear" w:color="auto" w:fill="auto"/>
          </w:tcPr>
          <w:p w14:paraId="4D6F9CBB" w14:textId="77777777" w:rsidR="00C24855" w:rsidRPr="004360BF" w:rsidRDefault="00C24855" w:rsidP="004D777E">
            <w:pPr>
              <w:spacing w:before="40" w:after="40"/>
              <w:rPr>
                <w:bCs/>
                <w:i/>
                <w:sz w:val="22"/>
                <w:szCs w:val="22"/>
                <w:lang w:val="en-AU"/>
              </w:rPr>
            </w:pPr>
            <w:r w:rsidRPr="004360BF">
              <w:rPr>
                <w:bCs/>
                <w:i/>
                <w:sz w:val="22"/>
                <w:szCs w:val="22"/>
                <w:lang w:val="en-AU"/>
              </w:rPr>
              <w:t>Opening</w:t>
            </w:r>
            <w:r w:rsidRPr="004360BF">
              <w:rPr>
                <w:bCs/>
                <w:i/>
                <w:sz w:val="22"/>
                <w:szCs w:val="22"/>
                <w:vertAlign w:val="subscript"/>
                <w:lang w:val="en-AU"/>
              </w:rPr>
              <w:t>t-2</w:t>
            </w:r>
          </w:p>
        </w:tc>
        <w:tc>
          <w:tcPr>
            <w:tcW w:w="2272" w:type="dxa"/>
            <w:shd w:val="clear" w:color="auto" w:fill="auto"/>
          </w:tcPr>
          <w:p w14:paraId="4DDC95D0" w14:textId="77777777" w:rsidR="00C24855" w:rsidRPr="004360BF" w:rsidRDefault="00C24855" w:rsidP="004D777E">
            <w:pPr>
              <w:spacing w:before="40" w:after="40"/>
              <w:rPr>
                <w:bCs/>
                <w:i/>
                <w:sz w:val="22"/>
                <w:szCs w:val="22"/>
                <w:lang w:val="en-AU"/>
              </w:rPr>
            </w:pPr>
            <w:r w:rsidRPr="004360BF">
              <w:rPr>
                <w:bCs/>
                <w:i/>
                <w:sz w:val="22"/>
                <w:szCs w:val="22"/>
                <w:lang w:val="en-AU"/>
              </w:rPr>
              <w:t>Opening</w:t>
            </w:r>
            <w:r w:rsidRPr="004360BF">
              <w:rPr>
                <w:bCs/>
                <w:i/>
                <w:sz w:val="22"/>
                <w:szCs w:val="22"/>
                <w:vertAlign w:val="subscript"/>
                <w:lang w:val="en-AU"/>
              </w:rPr>
              <w:t>t-1</w:t>
            </w:r>
            <w:r w:rsidRPr="004360BF">
              <w:rPr>
                <w:bCs/>
                <w:i/>
                <w:sz w:val="22"/>
                <w:szCs w:val="22"/>
                <w:vertAlign w:val="subscript"/>
                <w:lang w:val="en-AU"/>
              </w:rPr>
              <w:br/>
            </w:r>
            <w:r w:rsidRPr="004360BF">
              <w:rPr>
                <w:bCs/>
                <w:i/>
                <w:sz w:val="22"/>
                <w:szCs w:val="22"/>
                <w:lang w:val="en-AU"/>
              </w:rPr>
              <w:t>= Closing</w:t>
            </w:r>
            <w:r w:rsidRPr="004360BF">
              <w:rPr>
                <w:bCs/>
                <w:i/>
                <w:sz w:val="22"/>
                <w:szCs w:val="22"/>
                <w:vertAlign w:val="subscript"/>
                <w:lang w:val="en-AU"/>
              </w:rPr>
              <w:t>t-2</w:t>
            </w:r>
          </w:p>
        </w:tc>
        <w:tc>
          <w:tcPr>
            <w:tcW w:w="1988" w:type="dxa"/>
            <w:shd w:val="clear" w:color="auto" w:fill="auto"/>
          </w:tcPr>
          <w:p w14:paraId="226C2B46" w14:textId="77777777" w:rsidR="00C24855" w:rsidRPr="004360BF" w:rsidRDefault="00C24855" w:rsidP="004D777E">
            <w:pPr>
              <w:spacing w:before="40" w:after="40"/>
              <w:rPr>
                <w:bCs/>
                <w:i/>
                <w:sz w:val="22"/>
                <w:szCs w:val="22"/>
                <w:lang w:val="en-AU"/>
              </w:rPr>
            </w:pPr>
            <w:proofErr w:type="spellStart"/>
            <w:r w:rsidRPr="004360BF">
              <w:rPr>
                <w:bCs/>
                <w:i/>
                <w:sz w:val="22"/>
                <w:szCs w:val="22"/>
                <w:lang w:val="en-AU"/>
              </w:rPr>
              <w:t>Opening</w:t>
            </w:r>
            <w:r w:rsidRPr="004360BF">
              <w:rPr>
                <w:bCs/>
                <w:i/>
                <w:sz w:val="22"/>
                <w:szCs w:val="22"/>
                <w:vertAlign w:val="subscript"/>
                <w:lang w:val="en-AU"/>
              </w:rPr>
              <w:t>t</w:t>
            </w:r>
            <w:proofErr w:type="spellEnd"/>
            <w:r w:rsidRPr="004360BF">
              <w:rPr>
                <w:bCs/>
                <w:i/>
                <w:sz w:val="22"/>
                <w:szCs w:val="22"/>
                <w:lang w:val="en-AU"/>
              </w:rPr>
              <w:br/>
              <w:t>= Closing</w:t>
            </w:r>
            <w:r w:rsidRPr="004360BF">
              <w:rPr>
                <w:bCs/>
                <w:i/>
                <w:sz w:val="22"/>
                <w:szCs w:val="22"/>
                <w:vertAlign w:val="subscript"/>
                <w:lang w:val="en-AU"/>
              </w:rPr>
              <w:t>t-1</w:t>
            </w:r>
          </w:p>
        </w:tc>
      </w:tr>
      <w:tr w:rsidR="00C24855" w:rsidRPr="004360BF" w14:paraId="2F5E4258" w14:textId="77777777" w:rsidTr="004D777E">
        <w:tc>
          <w:tcPr>
            <w:tcW w:w="2698" w:type="dxa"/>
            <w:shd w:val="clear" w:color="auto" w:fill="auto"/>
          </w:tcPr>
          <w:p w14:paraId="5ED2A1A3" w14:textId="77777777" w:rsidR="00C24855" w:rsidRPr="004360BF" w:rsidRDefault="00C24855" w:rsidP="004D777E">
            <w:pPr>
              <w:keepNext/>
              <w:spacing w:before="40" w:after="40"/>
              <w:rPr>
                <w:bCs/>
                <w:sz w:val="22"/>
                <w:szCs w:val="22"/>
                <w:lang w:val="en-AU"/>
              </w:rPr>
            </w:pPr>
            <w:r w:rsidRPr="004360BF">
              <w:rPr>
                <w:bCs/>
                <w:sz w:val="22"/>
                <w:szCs w:val="22"/>
                <w:lang w:val="en-AU"/>
              </w:rPr>
              <w:t>Interest on opening balance</w:t>
            </w:r>
          </w:p>
        </w:tc>
        <w:tc>
          <w:tcPr>
            <w:tcW w:w="2264" w:type="dxa"/>
            <w:shd w:val="clear" w:color="auto" w:fill="auto"/>
          </w:tcPr>
          <w:p w14:paraId="518FD0CA" w14:textId="77777777" w:rsidR="00C24855" w:rsidRPr="004360BF" w:rsidRDefault="00C24855" w:rsidP="004D777E">
            <w:pPr>
              <w:spacing w:before="40" w:after="40"/>
              <w:rPr>
                <w:bCs/>
                <w:i/>
                <w:sz w:val="22"/>
                <w:szCs w:val="22"/>
                <w:lang w:val="en-AU"/>
              </w:rPr>
            </w:pPr>
            <w:r w:rsidRPr="004360BF">
              <w:rPr>
                <w:bCs/>
                <w:i/>
                <w:sz w:val="22"/>
                <w:szCs w:val="22"/>
                <w:lang w:val="en-AU"/>
              </w:rPr>
              <w:t>Opening</w:t>
            </w:r>
            <w:r w:rsidRPr="004360BF">
              <w:rPr>
                <w:bCs/>
                <w:i/>
                <w:sz w:val="22"/>
                <w:szCs w:val="22"/>
                <w:vertAlign w:val="subscript"/>
                <w:lang w:val="en-AU"/>
              </w:rPr>
              <w:t>t-2</w:t>
            </w:r>
            <w:r w:rsidRPr="004360BF">
              <w:rPr>
                <w:bCs/>
                <w:i/>
                <w:sz w:val="22"/>
                <w:szCs w:val="22"/>
                <w:lang w:val="en-AU"/>
              </w:rPr>
              <w:t>×W</w:t>
            </w:r>
          </w:p>
        </w:tc>
        <w:tc>
          <w:tcPr>
            <w:tcW w:w="2272" w:type="dxa"/>
            <w:shd w:val="clear" w:color="auto" w:fill="auto"/>
          </w:tcPr>
          <w:p w14:paraId="1549C8C6" w14:textId="77777777" w:rsidR="00C24855" w:rsidRPr="004360BF" w:rsidRDefault="00C24855" w:rsidP="004D777E">
            <w:pPr>
              <w:spacing w:before="40" w:after="40"/>
              <w:rPr>
                <w:bCs/>
                <w:i/>
                <w:sz w:val="22"/>
                <w:szCs w:val="22"/>
                <w:lang w:val="en-AU"/>
              </w:rPr>
            </w:pPr>
            <w:r w:rsidRPr="004360BF">
              <w:rPr>
                <w:bCs/>
                <w:i/>
                <w:sz w:val="22"/>
                <w:szCs w:val="22"/>
                <w:lang w:val="en-AU"/>
              </w:rPr>
              <w:t>Opening</w:t>
            </w:r>
            <w:r w:rsidRPr="004360BF">
              <w:rPr>
                <w:bCs/>
                <w:i/>
                <w:sz w:val="22"/>
                <w:szCs w:val="22"/>
                <w:vertAlign w:val="subscript"/>
                <w:lang w:val="en-AU"/>
              </w:rPr>
              <w:t>t-1</w:t>
            </w:r>
            <w:r w:rsidRPr="004360BF">
              <w:rPr>
                <w:bCs/>
                <w:i/>
                <w:sz w:val="22"/>
                <w:szCs w:val="22"/>
                <w:lang w:val="en-AU"/>
              </w:rPr>
              <w:t>×W</w:t>
            </w:r>
          </w:p>
        </w:tc>
        <w:tc>
          <w:tcPr>
            <w:tcW w:w="1988" w:type="dxa"/>
            <w:shd w:val="clear" w:color="auto" w:fill="auto"/>
          </w:tcPr>
          <w:p w14:paraId="4AA82347" w14:textId="77777777" w:rsidR="00C24855" w:rsidRPr="004360BF" w:rsidRDefault="00C24855" w:rsidP="004D777E">
            <w:pPr>
              <w:spacing w:before="40" w:after="40"/>
              <w:rPr>
                <w:bCs/>
                <w:i/>
                <w:sz w:val="22"/>
                <w:szCs w:val="22"/>
                <w:lang w:val="en-AU"/>
              </w:rPr>
            </w:pPr>
            <w:r w:rsidRPr="004360BF">
              <w:rPr>
                <w:bCs/>
                <w:i/>
                <w:sz w:val="22"/>
                <w:szCs w:val="22"/>
                <w:lang w:val="en-AU"/>
              </w:rPr>
              <w:t>N/A</w:t>
            </w:r>
          </w:p>
        </w:tc>
      </w:tr>
      <w:tr w:rsidR="00C24855" w:rsidRPr="004360BF" w14:paraId="0F6F7ADD" w14:textId="77777777" w:rsidTr="004D777E">
        <w:tc>
          <w:tcPr>
            <w:tcW w:w="2698" w:type="dxa"/>
            <w:shd w:val="clear" w:color="auto" w:fill="auto"/>
          </w:tcPr>
          <w:p w14:paraId="4E2404DB" w14:textId="77777777" w:rsidR="00C24855" w:rsidRPr="004360BF" w:rsidRDefault="00C24855" w:rsidP="004D777E">
            <w:pPr>
              <w:keepNext/>
              <w:spacing w:before="40" w:after="40"/>
              <w:rPr>
                <w:bCs/>
                <w:sz w:val="22"/>
                <w:szCs w:val="22"/>
                <w:lang w:val="en-AU"/>
              </w:rPr>
            </w:pPr>
            <w:r w:rsidRPr="004360BF">
              <w:rPr>
                <w:bCs/>
                <w:sz w:val="22"/>
                <w:szCs w:val="22"/>
                <w:lang w:val="en-AU"/>
              </w:rPr>
              <w:t>Under/over recovery for the year</w:t>
            </w:r>
          </w:p>
        </w:tc>
        <w:tc>
          <w:tcPr>
            <w:tcW w:w="2264" w:type="dxa"/>
            <w:shd w:val="clear" w:color="auto" w:fill="auto"/>
          </w:tcPr>
          <w:p w14:paraId="56DB2C0F" w14:textId="77777777" w:rsidR="00C24855" w:rsidRPr="004360BF" w:rsidRDefault="00C24855" w:rsidP="004D777E">
            <w:pPr>
              <w:spacing w:before="40" w:after="40"/>
              <w:rPr>
                <w:bCs/>
                <w:i/>
                <w:sz w:val="22"/>
                <w:szCs w:val="22"/>
                <w:lang w:val="en-AU"/>
              </w:rPr>
            </w:pPr>
            <w:r w:rsidRPr="004360BF">
              <w:rPr>
                <w:bCs/>
                <w:i/>
                <w:sz w:val="22"/>
                <w:szCs w:val="22"/>
                <w:lang w:val="en-AU"/>
              </w:rPr>
              <w:t>ΔR</w:t>
            </w:r>
            <w:r w:rsidRPr="004360BF">
              <w:rPr>
                <w:bCs/>
                <w:i/>
                <w:sz w:val="22"/>
                <w:szCs w:val="22"/>
                <w:vertAlign w:val="subscript"/>
                <w:lang w:val="en-AU"/>
              </w:rPr>
              <w:t>t-2</w:t>
            </w:r>
          </w:p>
        </w:tc>
        <w:tc>
          <w:tcPr>
            <w:tcW w:w="2272" w:type="dxa"/>
            <w:shd w:val="clear" w:color="auto" w:fill="auto"/>
          </w:tcPr>
          <w:p w14:paraId="313627DF" w14:textId="77777777" w:rsidR="00C24855" w:rsidRPr="004360BF" w:rsidRDefault="00C24855" w:rsidP="004D777E">
            <w:pPr>
              <w:spacing w:before="40" w:after="40"/>
              <w:rPr>
                <w:bCs/>
                <w:i/>
                <w:sz w:val="22"/>
                <w:szCs w:val="22"/>
                <w:lang w:val="en-AU"/>
              </w:rPr>
            </w:pPr>
            <w:r w:rsidRPr="004360BF">
              <w:rPr>
                <w:bCs/>
                <w:i/>
                <w:sz w:val="22"/>
                <w:szCs w:val="22"/>
                <w:lang w:val="en-AU"/>
              </w:rPr>
              <w:t>ΔR</w:t>
            </w:r>
            <w:r w:rsidRPr="004360BF">
              <w:rPr>
                <w:bCs/>
                <w:i/>
                <w:sz w:val="22"/>
                <w:szCs w:val="22"/>
                <w:vertAlign w:val="subscript"/>
                <w:lang w:val="en-AU"/>
              </w:rPr>
              <w:t>t-1</w:t>
            </w:r>
          </w:p>
        </w:tc>
        <w:tc>
          <w:tcPr>
            <w:tcW w:w="1988" w:type="dxa"/>
            <w:shd w:val="clear" w:color="auto" w:fill="auto"/>
          </w:tcPr>
          <w:p w14:paraId="05A4697C" w14:textId="77777777" w:rsidR="00C24855" w:rsidRPr="004360BF" w:rsidRDefault="00C24855" w:rsidP="004D777E">
            <w:pPr>
              <w:spacing w:before="40" w:after="40"/>
              <w:rPr>
                <w:bCs/>
                <w:i/>
                <w:sz w:val="22"/>
                <w:szCs w:val="22"/>
                <w:lang w:val="en-AU"/>
              </w:rPr>
            </w:pPr>
            <w:proofErr w:type="spellStart"/>
            <w:r w:rsidRPr="004360BF">
              <w:rPr>
                <w:bCs/>
                <w:i/>
                <w:sz w:val="22"/>
                <w:szCs w:val="22"/>
                <w:lang w:val="en-AU"/>
              </w:rPr>
              <w:t>ΔR</w:t>
            </w:r>
            <w:r w:rsidRPr="004360BF">
              <w:rPr>
                <w:bCs/>
                <w:i/>
                <w:sz w:val="22"/>
                <w:szCs w:val="22"/>
                <w:vertAlign w:val="subscript"/>
                <w:lang w:val="en-AU"/>
              </w:rPr>
              <w:t>t</w:t>
            </w:r>
            <w:proofErr w:type="spellEnd"/>
          </w:p>
        </w:tc>
      </w:tr>
      <w:tr w:rsidR="00C24855" w:rsidRPr="004360BF" w14:paraId="4A214768" w14:textId="77777777" w:rsidTr="004D777E">
        <w:tc>
          <w:tcPr>
            <w:tcW w:w="2698" w:type="dxa"/>
            <w:shd w:val="clear" w:color="auto" w:fill="auto"/>
          </w:tcPr>
          <w:p w14:paraId="42C92855" w14:textId="77777777" w:rsidR="00C24855" w:rsidRPr="004360BF" w:rsidRDefault="00C24855" w:rsidP="004D777E">
            <w:pPr>
              <w:keepNext/>
              <w:spacing w:before="40" w:after="40"/>
              <w:rPr>
                <w:bCs/>
                <w:sz w:val="22"/>
                <w:szCs w:val="22"/>
                <w:lang w:val="en-AU"/>
              </w:rPr>
            </w:pPr>
            <w:r w:rsidRPr="004360BF">
              <w:rPr>
                <w:bCs/>
                <w:sz w:val="22"/>
                <w:szCs w:val="22"/>
                <w:lang w:val="en-AU"/>
              </w:rPr>
              <w:t>Interest on under/over recovery</w:t>
            </w:r>
          </w:p>
        </w:tc>
        <w:tc>
          <w:tcPr>
            <w:tcW w:w="2264" w:type="dxa"/>
            <w:shd w:val="clear" w:color="auto" w:fill="auto"/>
          </w:tcPr>
          <w:p w14:paraId="3A1D19A0" w14:textId="77777777" w:rsidR="00C24855" w:rsidRPr="004360BF" w:rsidRDefault="00C24855" w:rsidP="004D777E">
            <w:pPr>
              <w:spacing w:before="40" w:after="40"/>
              <w:rPr>
                <w:bCs/>
                <w:i/>
                <w:sz w:val="22"/>
                <w:szCs w:val="22"/>
                <w:lang w:val="en-AU"/>
              </w:rPr>
            </w:pPr>
            <w:r w:rsidRPr="004360BF">
              <w:rPr>
                <w:bCs/>
                <w:i/>
                <w:sz w:val="22"/>
                <w:szCs w:val="22"/>
                <w:lang w:val="en-AU"/>
              </w:rPr>
              <w:t>ΔR</w:t>
            </w:r>
            <w:r w:rsidRPr="004360BF">
              <w:rPr>
                <w:bCs/>
                <w:i/>
                <w:sz w:val="22"/>
                <w:szCs w:val="22"/>
                <w:vertAlign w:val="subscript"/>
                <w:lang w:val="en-AU"/>
              </w:rPr>
              <w:t>t-2</w:t>
            </w:r>
            <w:r w:rsidRPr="004360BF">
              <w:rPr>
                <w:bCs/>
                <w:i/>
                <w:sz w:val="22"/>
                <w:szCs w:val="22"/>
                <w:lang w:val="en-AU"/>
              </w:rPr>
              <w:t>×V</w:t>
            </w:r>
          </w:p>
        </w:tc>
        <w:tc>
          <w:tcPr>
            <w:tcW w:w="2272" w:type="dxa"/>
            <w:shd w:val="clear" w:color="auto" w:fill="auto"/>
          </w:tcPr>
          <w:p w14:paraId="096CD350" w14:textId="77777777" w:rsidR="00C24855" w:rsidRPr="004360BF" w:rsidRDefault="00C24855" w:rsidP="004D777E">
            <w:pPr>
              <w:spacing w:before="40" w:after="40"/>
              <w:rPr>
                <w:bCs/>
                <w:i/>
                <w:sz w:val="22"/>
                <w:szCs w:val="22"/>
                <w:lang w:val="en-AU"/>
              </w:rPr>
            </w:pPr>
            <w:r w:rsidRPr="004360BF">
              <w:rPr>
                <w:bCs/>
                <w:i/>
                <w:sz w:val="22"/>
                <w:szCs w:val="22"/>
                <w:lang w:val="en-AU"/>
              </w:rPr>
              <w:t>ΔR</w:t>
            </w:r>
            <w:r w:rsidRPr="004360BF">
              <w:rPr>
                <w:bCs/>
                <w:i/>
                <w:sz w:val="22"/>
                <w:szCs w:val="22"/>
                <w:vertAlign w:val="subscript"/>
                <w:lang w:val="en-AU"/>
              </w:rPr>
              <w:t>t-1</w:t>
            </w:r>
            <w:r w:rsidRPr="004360BF">
              <w:rPr>
                <w:bCs/>
                <w:i/>
                <w:sz w:val="22"/>
                <w:szCs w:val="22"/>
                <w:lang w:val="en-AU"/>
              </w:rPr>
              <w:t>×V</w:t>
            </w:r>
          </w:p>
        </w:tc>
        <w:tc>
          <w:tcPr>
            <w:tcW w:w="1988" w:type="dxa"/>
            <w:shd w:val="clear" w:color="auto" w:fill="auto"/>
          </w:tcPr>
          <w:p w14:paraId="2EF362C7" w14:textId="77777777" w:rsidR="00C24855" w:rsidRPr="004360BF" w:rsidRDefault="00C24855" w:rsidP="004D777E">
            <w:pPr>
              <w:spacing w:before="40" w:after="40"/>
              <w:rPr>
                <w:bCs/>
                <w:i/>
                <w:sz w:val="22"/>
                <w:szCs w:val="22"/>
                <w:lang w:val="en-AU"/>
              </w:rPr>
            </w:pPr>
            <w:r w:rsidRPr="004360BF">
              <w:rPr>
                <w:bCs/>
                <w:i/>
                <w:sz w:val="22"/>
                <w:szCs w:val="22"/>
                <w:lang w:val="en-AU"/>
              </w:rPr>
              <w:t>N/A</w:t>
            </w:r>
          </w:p>
        </w:tc>
      </w:tr>
      <w:tr w:rsidR="00C24855" w:rsidRPr="004360BF" w14:paraId="6620FF8A" w14:textId="77777777" w:rsidTr="004D777E">
        <w:tc>
          <w:tcPr>
            <w:tcW w:w="2698" w:type="dxa"/>
            <w:shd w:val="clear" w:color="auto" w:fill="auto"/>
          </w:tcPr>
          <w:p w14:paraId="79BD35D2" w14:textId="77777777" w:rsidR="00C24855" w:rsidRPr="004360BF" w:rsidRDefault="00C24855" w:rsidP="004D777E">
            <w:pPr>
              <w:keepNext/>
              <w:spacing w:before="40" w:after="40"/>
              <w:rPr>
                <w:bCs/>
                <w:sz w:val="22"/>
                <w:szCs w:val="22"/>
                <w:lang w:val="en-AU"/>
              </w:rPr>
            </w:pPr>
            <w:r w:rsidRPr="004360BF">
              <w:rPr>
                <w:bCs/>
                <w:sz w:val="22"/>
                <w:szCs w:val="22"/>
                <w:lang w:val="en-AU"/>
              </w:rPr>
              <w:t>Closing balance</w:t>
            </w:r>
          </w:p>
        </w:tc>
        <w:tc>
          <w:tcPr>
            <w:tcW w:w="2264" w:type="dxa"/>
            <w:shd w:val="clear" w:color="auto" w:fill="auto"/>
          </w:tcPr>
          <w:p w14:paraId="6AC6BFB5" w14:textId="77777777" w:rsidR="00C24855" w:rsidRPr="004360BF" w:rsidRDefault="00C24855" w:rsidP="004D777E">
            <w:pPr>
              <w:spacing w:before="40" w:after="40"/>
              <w:rPr>
                <w:bCs/>
                <w:i/>
                <w:sz w:val="22"/>
                <w:szCs w:val="22"/>
                <w:lang w:val="en-AU"/>
              </w:rPr>
            </w:pPr>
            <w:r w:rsidRPr="004360BF">
              <w:rPr>
                <w:bCs/>
                <w:i/>
                <w:sz w:val="22"/>
                <w:szCs w:val="22"/>
                <w:lang w:val="en-AU"/>
              </w:rPr>
              <w:t>Closing</w:t>
            </w:r>
            <w:r w:rsidRPr="004360BF">
              <w:rPr>
                <w:bCs/>
                <w:i/>
                <w:sz w:val="22"/>
                <w:szCs w:val="22"/>
                <w:vertAlign w:val="subscript"/>
                <w:lang w:val="en-AU"/>
              </w:rPr>
              <w:t>t-2</w:t>
            </w:r>
            <w:r w:rsidRPr="004360BF">
              <w:rPr>
                <w:bCs/>
                <w:i/>
                <w:sz w:val="22"/>
                <w:szCs w:val="22"/>
                <w:lang w:val="en-AU"/>
              </w:rPr>
              <w:br/>
              <w:t>=Opening</w:t>
            </w:r>
            <w:r w:rsidRPr="004360BF">
              <w:rPr>
                <w:bCs/>
                <w:i/>
                <w:sz w:val="22"/>
                <w:szCs w:val="22"/>
                <w:vertAlign w:val="subscript"/>
                <w:lang w:val="en-AU"/>
              </w:rPr>
              <w:t xml:space="preserve">t-2 </w:t>
            </w:r>
            <w:r w:rsidRPr="004360BF">
              <w:rPr>
                <w:bCs/>
                <w:i/>
                <w:sz w:val="22"/>
                <w:szCs w:val="22"/>
                <w:lang w:val="en-AU"/>
              </w:rPr>
              <w:t>×(1+W)</w:t>
            </w:r>
            <w:r w:rsidRPr="004360BF">
              <w:rPr>
                <w:bCs/>
                <w:i/>
                <w:sz w:val="22"/>
                <w:szCs w:val="22"/>
                <w:lang w:val="en-AU"/>
              </w:rPr>
              <w:br/>
              <w:t>+ ΔR</w:t>
            </w:r>
            <w:r w:rsidRPr="004360BF">
              <w:rPr>
                <w:bCs/>
                <w:i/>
                <w:sz w:val="22"/>
                <w:szCs w:val="22"/>
                <w:vertAlign w:val="subscript"/>
                <w:lang w:val="en-AU"/>
              </w:rPr>
              <w:t>t-2</w:t>
            </w:r>
            <w:r w:rsidRPr="004360BF">
              <w:rPr>
                <w:bCs/>
                <w:i/>
                <w:sz w:val="22"/>
                <w:szCs w:val="22"/>
                <w:lang w:val="en-AU"/>
              </w:rPr>
              <w:t>×(1+V)</w:t>
            </w:r>
          </w:p>
        </w:tc>
        <w:tc>
          <w:tcPr>
            <w:tcW w:w="2272" w:type="dxa"/>
            <w:shd w:val="clear" w:color="auto" w:fill="auto"/>
          </w:tcPr>
          <w:p w14:paraId="65B57DDC" w14:textId="77777777" w:rsidR="00C24855" w:rsidRPr="004360BF" w:rsidRDefault="00C24855" w:rsidP="004D777E">
            <w:pPr>
              <w:spacing w:before="40" w:after="40"/>
              <w:rPr>
                <w:bCs/>
                <w:i/>
                <w:sz w:val="22"/>
                <w:szCs w:val="22"/>
                <w:lang w:val="en-AU"/>
              </w:rPr>
            </w:pPr>
            <w:r w:rsidRPr="004360BF">
              <w:rPr>
                <w:bCs/>
                <w:i/>
                <w:sz w:val="22"/>
                <w:szCs w:val="22"/>
                <w:lang w:val="en-AU"/>
              </w:rPr>
              <w:t>Closing</w:t>
            </w:r>
            <w:r w:rsidRPr="004360BF">
              <w:rPr>
                <w:bCs/>
                <w:i/>
                <w:sz w:val="22"/>
                <w:szCs w:val="22"/>
                <w:vertAlign w:val="subscript"/>
                <w:lang w:val="en-AU"/>
              </w:rPr>
              <w:t>t-1</w:t>
            </w:r>
            <w:r w:rsidRPr="004360BF">
              <w:rPr>
                <w:bCs/>
                <w:i/>
                <w:sz w:val="22"/>
                <w:szCs w:val="22"/>
                <w:lang w:val="en-AU"/>
              </w:rPr>
              <w:br/>
              <w:t>=Opening</w:t>
            </w:r>
            <w:r w:rsidRPr="004360BF">
              <w:rPr>
                <w:bCs/>
                <w:i/>
                <w:sz w:val="22"/>
                <w:szCs w:val="22"/>
                <w:vertAlign w:val="subscript"/>
                <w:lang w:val="en-AU"/>
              </w:rPr>
              <w:t>t-1</w:t>
            </w:r>
            <w:r w:rsidRPr="004360BF">
              <w:rPr>
                <w:bCs/>
                <w:i/>
                <w:sz w:val="22"/>
                <w:szCs w:val="22"/>
                <w:lang w:val="en-AU"/>
              </w:rPr>
              <w:t>×(1+W)</w:t>
            </w:r>
            <w:r w:rsidRPr="004360BF">
              <w:rPr>
                <w:bCs/>
                <w:i/>
                <w:sz w:val="22"/>
                <w:szCs w:val="22"/>
                <w:lang w:val="en-AU"/>
              </w:rPr>
              <w:br/>
              <w:t>+ ΔR</w:t>
            </w:r>
            <w:r w:rsidRPr="004360BF">
              <w:rPr>
                <w:bCs/>
                <w:i/>
                <w:sz w:val="22"/>
                <w:szCs w:val="22"/>
                <w:vertAlign w:val="subscript"/>
                <w:lang w:val="en-AU"/>
              </w:rPr>
              <w:t>t-1</w:t>
            </w:r>
            <w:r w:rsidRPr="004360BF">
              <w:rPr>
                <w:bCs/>
                <w:i/>
                <w:sz w:val="22"/>
                <w:szCs w:val="22"/>
                <w:lang w:val="en-AU"/>
              </w:rPr>
              <w:t>×(1+V)</w:t>
            </w:r>
          </w:p>
        </w:tc>
        <w:tc>
          <w:tcPr>
            <w:tcW w:w="1988" w:type="dxa"/>
            <w:shd w:val="clear" w:color="auto" w:fill="auto"/>
          </w:tcPr>
          <w:p w14:paraId="7EAA4B8B" w14:textId="77777777" w:rsidR="00C24855" w:rsidRPr="004360BF" w:rsidRDefault="00C24855" w:rsidP="004D777E">
            <w:pPr>
              <w:spacing w:before="40" w:after="40"/>
              <w:rPr>
                <w:bCs/>
                <w:i/>
                <w:sz w:val="22"/>
                <w:szCs w:val="22"/>
                <w:lang w:val="en-AU"/>
              </w:rPr>
            </w:pPr>
            <w:proofErr w:type="spellStart"/>
            <w:r w:rsidRPr="004360BF">
              <w:rPr>
                <w:bCs/>
                <w:i/>
                <w:sz w:val="22"/>
                <w:szCs w:val="22"/>
                <w:lang w:val="en-AU"/>
              </w:rPr>
              <w:t>Closing</w:t>
            </w:r>
            <w:r w:rsidRPr="004360BF">
              <w:rPr>
                <w:bCs/>
                <w:i/>
                <w:sz w:val="22"/>
                <w:szCs w:val="22"/>
                <w:vertAlign w:val="subscript"/>
                <w:lang w:val="en-AU"/>
              </w:rPr>
              <w:t>t</w:t>
            </w:r>
            <w:proofErr w:type="spellEnd"/>
            <w:r w:rsidRPr="004360BF">
              <w:rPr>
                <w:bCs/>
                <w:i/>
                <w:sz w:val="22"/>
                <w:szCs w:val="22"/>
                <w:lang w:val="en-AU"/>
              </w:rPr>
              <w:br/>
              <w:t>=Opening</w:t>
            </w:r>
            <w:r w:rsidRPr="004360BF">
              <w:rPr>
                <w:bCs/>
                <w:i/>
                <w:sz w:val="22"/>
                <w:szCs w:val="22"/>
                <w:vertAlign w:val="subscript"/>
                <w:lang w:val="en-AU"/>
              </w:rPr>
              <w:t>t-1</w:t>
            </w:r>
            <w:r w:rsidRPr="004360BF">
              <w:rPr>
                <w:bCs/>
                <w:i/>
                <w:sz w:val="22"/>
                <w:szCs w:val="22"/>
                <w:lang w:val="en-AU"/>
              </w:rPr>
              <w:br/>
              <w:t>+ ΔR</w:t>
            </w:r>
            <w:r w:rsidRPr="004360BF">
              <w:rPr>
                <w:bCs/>
                <w:i/>
                <w:sz w:val="22"/>
                <w:szCs w:val="22"/>
                <w:vertAlign w:val="subscript"/>
                <w:lang w:val="en-AU"/>
              </w:rPr>
              <w:t>t-1</w:t>
            </w:r>
          </w:p>
        </w:tc>
      </w:tr>
    </w:tbl>
    <w:p w14:paraId="1AF84EA4" w14:textId="77777777" w:rsidR="00C24855" w:rsidRPr="004360BF" w:rsidRDefault="00C24855" w:rsidP="00C24855">
      <w:pPr>
        <w:spacing w:after="0"/>
        <w:rPr>
          <w:lang w:val="en-AU"/>
        </w:rPr>
      </w:pPr>
    </w:p>
    <w:p w14:paraId="42EDA692" w14:textId="4F365F6D" w:rsidR="00C24855" w:rsidRPr="004360BF" w:rsidRDefault="00640345" w:rsidP="00C24855">
      <w:pPr>
        <w:pStyle w:val="Dottop"/>
        <w:ind w:left="360"/>
        <w:rPr>
          <w:lang w:val="en-AU"/>
        </w:rPr>
      </w:pPr>
      <w:proofErr w:type="gramStart"/>
      <w:r w:rsidRPr="004360BF">
        <w:rPr>
          <w:lang w:val="en-AU"/>
        </w:rPr>
        <w:lastRenderedPageBreak/>
        <w:t>w</w:t>
      </w:r>
      <w:r w:rsidR="00C24855" w:rsidRPr="004360BF">
        <w:rPr>
          <w:lang w:val="en-AU"/>
        </w:rPr>
        <w:t>here</w:t>
      </w:r>
      <w:proofErr w:type="gramEnd"/>
      <w:r w:rsidR="00C24855" w:rsidRPr="004360BF">
        <w:rPr>
          <w:lang w:val="en-AU"/>
        </w:rPr>
        <w:t>:</w:t>
      </w:r>
    </w:p>
    <w:p w14:paraId="321C0356" w14:textId="77777777" w:rsidR="00C24855" w:rsidRPr="004360BF" w:rsidRDefault="00C24855" w:rsidP="00640345">
      <w:pPr>
        <w:spacing w:after="120"/>
        <w:ind w:left="1984" w:hanging="1627"/>
        <w:rPr>
          <w:lang w:val="en-AU"/>
        </w:rPr>
      </w:pPr>
      <w:proofErr w:type="spellStart"/>
      <w:r w:rsidRPr="004360BF">
        <w:rPr>
          <w:i/>
          <w:lang w:val="en-AU"/>
        </w:rPr>
        <w:t>Opening</w:t>
      </w:r>
      <w:r w:rsidRPr="004360BF">
        <w:rPr>
          <w:i/>
          <w:vertAlign w:val="subscript"/>
          <w:lang w:val="en-AU"/>
        </w:rPr>
        <w:t>t</w:t>
      </w:r>
      <w:proofErr w:type="spellEnd"/>
      <w:r w:rsidRPr="004360BF">
        <w:rPr>
          <w:lang w:val="en-AU"/>
        </w:rPr>
        <w:t xml:space="preserve"> </w:t>
      </w:r>
      <w:r w:rsidRPr="004360BF">
        <w:rPr>
          <w:lang w:val="en-AU"/>
        </w:rPr>
        <w:tab/>
        <w:t>is the balance of the unders and overs as at opening balance in year</w:t>
      </w:r>
      <w:r w:rsidRPr="004360BF">
        <w:rPr>
          <w:i/>
          <w:lang w:val="en-AU"/>
        </w:rPr>
        <w:t xml:space="preserve"> t</w:t>
      </w:r>
    </w:p>
    <w:p w14:paraId="77B8BAFA" w14:textId="77777777" w:rsidR="00C24855" w:rsidRPr="004360BF" w:rsidRDefault="00C24855" w:rsidP="00640345">
      <w:pPr>
        <w:spacing w:after="120"/>
        <w:ind w:left="1984" w:hanging="1627"/>
        <w:rPr>
          <w:lang w:val="en-AU"/>
        </w:rPr>
      </w:pPr>
      <w:proofErr w:type="spellStart"/>
      <w:r w:rsidRPr="004360BF">
        <w:rPr>
          <w:i/>
          <w:lang w:val="en-AU"/>
        </w:rPr>
        <w:t>ΔR</w:t>
      </w:r>
      <w:r w:rsidRPr="004360BF">
        <w:rPr>
          <w:i/>
          <w:vertAlign w:val="subscript"/>
          <w:lang w:val="en-AU"/>
        </w:rPr>
        <w:t>t</w:t>
      </w:r>
      <w:proofErr w:type="spellEnd"/>
      <w:r w:rsidRPr="004360BF">
        <w:rPr>
          <w:lang w:val="en-AU"/>
        </w:rPr>
        <w:tab/>
        <w:t>is the difference between the annual revenue requirement and revenue recovered in regulatory year</w:t>
      </w:r>
      <w:r w:rsidRPr="004360BF">
        <w:rPr>
          <w:i/>
          <w:lang w:val="en-AU"/>
        </w:rPr>
        <w:t xml:space="preserve"> t</w:t>
      </w:r>
    </w:p>
    <w:p w14:paraId="04EA06A1" w14:textId="77777777" w:rsidR="00C24855" w:rsidRPr="004360BF" w:rsidRDefault="00C24855" w:rsidP="00640345">
      <w:pPr>
        <w:spacing w:after="120"/>
        <w:ind w:left="1984" w:hanging="1627"/>
        <w:rPr>
          <w:lang w:val="en-AU"/>
        </w:rPr>
      </w:pPr>
      <w:r w:rsidRPr="004360BF">
        <w:rPr>
          <w:i/>
          <w:lang w:val="en-AU"/>
        </w:rPr>
        <w:t>W</w:t>
      </w:r>
      <w:r w:rsidRPr="004360BF">
        <w:rPr>
          <w:lang w:val="en-AU"/>
        </w:rPr>
        <w:tab/>
        <w:t>is the nominal Weighted Average Cost of Capital (WACC) determined by the Commission for the regulatory control period</w:t>
      </w:r>
    </w:p>
    <w:p w14:paraId="210D0111" w14:textId="77777777" w:rsidR="00C24855" w:rsidRPr="004360BF" w:rsidRDefault="00C24855" w:rsidP="00640345">
      <w:pPr>
        <w:spacing w:after="120"/>
        <w:ind w:left="1984" w:hanging="1627"/>
        <w:rPr>
          <w:lang w:val="en-AU"/>
        </w:rPr>
      </w:pPr>
      <w:r w:rsidRPr="004360BF">
        <w:rPr>
          <w:i/>
          <w:lang w:val="en-AU"/>
        </w:rPr>
        <w:t>V</w:t>
      </w:r>
      <w:r w:rsidRPr="004360BF">
        <w:rPr>
          <w:lang w:val="en-AU"/>
        </w:rPr>
        <w:tab/>
        <w:t xml:space="preserve">is the WACC applicable to a half regulatory year </w:t>
      </w:r>
      <m:oMath>
        <m:r>
          <m:rPr>
            <m:nor/>
          </m:rPr>
          <w:rPr>
            <w:rFonts w:cs="Tahoma"/>
            <w:lang w:val="en-AU"/>
          </w:rPr>
          <m:t>(</m:t>
        </m:r>
        <w:proofErr w:type="spellStart"/>
        <m:r>
          <m:rPr>
            <m:nor/>
          </m:rPr>
          <w:rPr>
            <w:rFonts w:cs="Tahoma"/>
            <w:lang w:val="en-AU"/>
          </w:rPr>
          <m:t>ie</m:t>
        </m:r>
        <w:proofErr w:type="spellEnd"/>
        <m:r>
          <m:rPr>
            <m:nor/>
          </m:rPr>
          <w:rPr>
            <w:rFonts w:cs="Tahoma"/>
            <w:lang w:val="en-AU"/>
          </w:rPr>
          <m:t xml:space="preserve">. </m:t>
        </m:r>
        <m:r>
          <m:rPr>
            <m:nor/>
          </m:rPr>
          <w:rPr>
            <w:rFonts w:cs="Tahoma"/>
            <w:i/>
            <w:lang w:val="en-AU"/>
          </w:rPr>
          <m:t>V=</m:t>
        </m:r>
        <m:rad>
          <m:radPr>
            <m:degHide m:val="1"/>
            <m:ctrlPr>
              <w:rPr>
                <w:rFonts w:ascii="Cambria Math" w:hAnsi="Cambria Math" w:cs="Tahoma"/>
                <w:i/>
                <w:lang w:val="en-AU"/>
              </w:rPr>
            </m:ctrlPr>
          </m:radPr>
          <m:deg/>
          <m:e>
            <m:r>
              <m:rPr>
                <m:nor/>
              </m:rPr>
              <w:rPr>
                <w:rFonts w:cs="Tahoma"/>
                <w:i/>
                <w:lang w:val="en-AU"/>
              </w:rPr>
              <m:t>W+1</m:t>
            </m:r>
          </m:e>
        </m:rad>
        <m:r>
          <m:rPr>
            <m:nor/>
          </m:rPr>
          <w:rPr>
            <w:rFonts w:cs="Tahoma"/>
            <w:i/>
            <w:lang w:val="en-AU"/>
          </w:rPr>
          <m:t>-1</m:t>
        </m:r>
        <m:r>
          <m:rPr>
            <m:nor/>
          </m:rPr>
          <w:rPr>
            <w:rFonts w:cs="Tahoma"/>
            <w:lang w:val="en-AU"/>
          </w:rPr>
          <m:t>)</m:t>
        </m:r>
      </m:oMath>
    </w:p>
    <w:p w14:paraId="0AEEB3F5" w14:textId="77777777" w:rsidR="00C24855" w:rsidRPr="004360BF" w:rsidRDefault="00C24855" w:rsidP="00640345">
      <w:pPr>
        <w:ind w:left="1984" w:hanging="1627"/>
        <w:rPr>
          <w:lang w:val="en-AU"/>
        </w:rPr>
      </w:pPr>
      <w:proofErr w:type="spellStart"/>
      <w:r w:rsidRPr="004360BF">
        <w:rPr>
          <w:i/>
          <w:lang w:val="en-AU"/>
        </w:rPr>
        <w:t>Closing</w:t>
      </w:r>
      <w:r w:rsidRPr="004360BF">
        <w:rPr>
          <w:i/>
          <w:vertAlign w:val="subscript"/>
          <w:lang w:val="en-AU"/>
        </w:rPr>
        <w:t>t</w:t>
      </w:r>
      <w:proofErr w:type="spellEnd"/>
      <w:r w:rsidRPr="004360BF">
        <w:rPr>
          <w:i/>
          <w:lang w:val="en-AU"/>
        </w:rPr>
        <w:t xml:space="preserve"> </w:t>
      </w:r>
      <w:r w:rsidRPr="004360BF">
        <w:rPr>
          <w:lang w:val="en-AU"/>
        </w:rPr>
        <w:tab/>
        <w:t xml:space="preserve">is the </w:t>
      </w:r>
      <w:proofErr w:type="spellStart"/>
      <w:r w:rsidRPr="004360BF">
        <w:rPr>
          <w:lang w:val="en-AU"/>
        </w:rPr>
        <w:t>unders</w:t>
      </w:r>
      <w:proofErr w:type="spellEnd"/>
      <w:r w:rsidRPr="004360BF">
        <w:rPr>
          <w:lang w:val="en-AU"/>
        </w:rPr>
        <w:t xml:space="preserve"> and overs closing balance in regulatory year </w:t>
      </w:r>
      <w:r w:rsidRPr="004360BF">
        <w:rPr>
          <w:i/>
          <w:lang w:val="en-AU"/>
        </w:rPr>
        <w:t>t</w:t>
      </w:r>
    </w:p>
    <w:p w14:paraId="63718C2E" w14:textId="1C67A99A" w:rsidR="003D1697" w:rsidRPr="004360BF" w:rsidRDefault="00C24855" w:rsidP="003D5596">
      <w:pPr>
        <w:rPr>
          <w:lang w:val="en-AU"/>
        </w:rPr>
      </w:pPr>
      <w:r w:rsidRPr="004360BF">
        <w:rPr>
          <w:lang w:val="en-AU"/>
        </w:rPr>
        <w:t>The 2014 NPD Final Determination stipulated that unders and overs will apply to each year of the regulatory period. The availability of actual consumption data results in a lag of two years between the occurrence of the under or over recover</w:t>
      </w:r>
      <w:r w:rsidR="00AA7652" w:rsidRPr="004360BF">
        <w:rPr>
          <w:lang w:val="en-AU"/>
        </w:rPr>
        <w:t>y</w:t>
      </w:r>
      <w:r w:rsidRPr="004360BF">
        <w:rPr>
          <w:lang w:val="en-AU"/>
        </w:rPr>
        <w:t xml:space="preserve"> and it being reflected in tariffs</w:t>
      </w:r>
      <w:r w:rsidR="007D62C2" w:rsidRPr="004360BF">
        <w:rPr>
          <w:lang w:val="en-AU"/>
        </w:rPr>
        <w:t xml:space="preserve">. </w:t>
      </w:r>
    </w:p>
    <w:p w14:paraId="5038BC16" w14:textId="3E1D8EFF" w:rsidR="003D5596" w:rsidRPr="004360BF" w:rsidRDefault="00B01442" w:rsidP="003D5596">
      <w:pPr>
        <w:rPr>
          <w:b/>
          <w:i/>
          <w:lang w:val="en-AU"/>
        </w:rPr>
      </w:pPr>
      <w:r w:rsidRPr="004360BF">
        <w:rPr>
          <w:b/>
          <w:i/>
          <w:lang w:val="en-AU"/>
        </w:rPr>
        <w:t>Revenue recovery</w:t>
      </w:r>
      <w:r w:rsidR="003D5596" w:rsidRPr="004360BF">
        <w:rPr>
          <w:b/>
          <w:i/>
          <w:lang w:val="en-AU"/>
        </w:rPr>
        <w:t xml:space="preserve"> in 2015/16</w:t>
      </w:r>
    </w:p>
    <w:p w14:paraId="027A7C20" w14:textId="2BC56ECF" w:rsidR="00C24855" w:rsidRPr="004360BF" w:rsidRDefault="003D1697" w:rsidP="003D5596">
      <w:pPr>
        <w:rPr>
          <w:lang w:val="en-AU"/>
        </w:rPr>
      </w:pPr>
      <w:r w:rsidRPr="004360BF">
        <w:rPr>
          <w:lang w:val="en-AU"/>
        </w:rPr>
        <w:t xml:space="preserve">The expected tariff volumes for 2014/15 are less than those that were used </w:t>
      </w:r>
      <w:r w:rsidR="003D5596" w:rsidRPr="004360BF">
        <w:rPr>
          <w:lang w:val="en-AU"/>
        </w:rPr>
        <w:t>at the time of</w:t>
      </w:r>
      <w:r w:rsidRPr="004360BF">
        <w:rPr>
          <w:lang w:val="en-AU"/>
        </w:rPr>
        <w:t xml:space="preserve"> development </w:t>
      </w:r>
      <w:r w:rsidR="003D5596" w:rsidRPr="004360BF">
        <w:rPr>
          <w:lang w:val="en-AU"/>
        </w:rPr>
        <w:t xml:space="preserve">of </w:t>
      </w:r>
      <w:r w:rsidRPr="004360BF">
        <w:rPr>
          <w:lang w:val="en-AU"/>
        </w:rPr>
        <w:t>the tariffs</w:t>
      </w:r>
      <w:r w:rsidR="003D5596" w:rsidRPr="004360BF">
        <w:rPr>
          <w:lang w:val="en-AU"/>
        </w:rPr>
        <w:t xml:space="preserve"> for that year</w:t>
      </w:r>
      <w:r w:rsidRPr="004360BF">
        <w:rPr>
          <w:lang w:val="en-AU"/>
        </w:rPr>
        <w:t xml:space="preserve">.  </w:t>
      </w:r>
      <w:r w:rsidR="007D62C2" w:rsidRPr="004360BF">
        <w:rPr>
          <w:lang w:val="en-AU"/>
        </w:rPr>
        <w:t>As</w:t>
      </w:r>
      <w:r w:rsidRPr="004360BF">
        <w:rPr>
          <w:lang w:val="en-AU"/>
        </w:rPr>
        <w:t xml:space="preserve"> a consequence</w:t>
      </w:r>
      <w:r w:rsidR="003D5596" w:rsidRPr="004360BF">
        <w:rPr>
          <w:lang w:val="en-AU"/>
        </w:rPr>
        <w:t>,</w:t>
      </w:r>
      <w:r w:rsidRPr="004360BF">
        <w:rPr>
          <w:lang w:val="en-AU"/>
        </w:rPr>
        <w:t xml:space="preserve"> there </w:t>
      </w:r>
      <w:r w:rsidR="003D5596" w:rsidRPr="004360BF">
        <w:rPr>
          <w:lang w:val="en-AU"/>
        </w:rPr>
        <w:t>will be</w:t>
      </w:r>
      <w:r w:rsidRPr="004360BF">
        <w:rPr>
          <w:lang w:val="en-AU"/>
        </w:rPr>
        <w:t xml:space="preserve"> an expected under-recovery </w:t>
      </w:r>
      <w:r w:rsidR="003D5596" w:rsidRPr="004360BF">
        <w:rPr>
          <w:lang w:val="en-AU"/>
        </w:rPr>
        <w:t>of about $7.2 million in</w:t>
      </w:r>
      <w:r w:rsidRPr="004360BF">
        <w:rPr>
          <w:lang w:val="en-AU"/>
        </w:rPr>
        <w:t xml:space="preserve"> 2014/15.  </w:t>
      </w:r>
      <w:r w:rsidR="003D5596" w:rsidRPr="004360BF">
        <w:rPr>
          <w:lang w:val="en-AU"/>
        </w:rPr>
        <w:t>T</w:t>
      </w:r>
      <w:r w:rsidRPr="004360BF">
        <w:rPr>
          <w:lang w:val="en-AU"/>
        </w:rPr>
        <w:t xml:space="preserve">his under recovery </w:t>
      </w:r>
      <w:r w:rsidR="003D5596" w:rsidRPr="004360BF">
        <w:rPr>
          <w:lang w:val="en-AU"/>
        </w:rPr>
        <w:t xml:space="preserve">(for year </w:t>
      </w:r>
      <w:r w:rsidR="003D5596" w:rsidRPr="004360BF">
        <w:rPr>
          <w:i/>
          <w:lang w:val="en-AU"/>
        </w:rPr>
        <w:t>t-1</w:t>
      </w:r>
      <w:r w:rsidR="003D5596" w:rsidRPr="004360BF">
        <w:rPr>
          <w:lang w:val="en-AU"/>
        </w:rPr>
        <w:t xml:space="preserve">) </w:t>
      </w:r>
      <w:r w:rsidRPr="004360BF">
        <w:rPr>
          <w:lang w:val="en-AU"/>
        </w:rPr>
        <w:t xml:space="preserve">is not able to be factored into the 2015/16 </w:t>
      </w:r>
      <w:r w:rsidR="003D5596" w:rsidRPr="004360BF">
        <w:rPr>
          <w:lang w:val="en-AU"/>
        </w:rPr>
        <w:t xml:space="preserve">revenue and </w:t>
      </w:r>
      <w:r w:rsidRPr="004360BF">
        <w:rPr>
          <w:lang w:val="en-AU"/>
        </w:rPr>
        <w:t>tariffs</w:t>
      </w:r>
      <w:r w:rsidR="003D5596" w:rsidRPr="004360BF">
        <w:rPr>
          <w:lang w:val="en-AU"/>
        </w:rPr>
        <w:t xml:space="preserve">. </w:t>
      </w:r>
      <w:r w:rsidR="007D62C2" w:rsidRPr="004360BF">
        <w:rPr>
          <w:lang w:val="en-AU"/>
        </w:rPr>
        <w:t xml:space="preserve"> </w:t>
      </w:r>
      <w:r w:rsidR="003D5596" w:rsidRPr="004360BF">
        <w:rPr>
          <w:lang w:val="en-AU"/>
        </w:rPr>
        <w:t xml:space="preserve">Power Networks has thus been constrained by individual tariff class movements from </w:t>
      </w:r>
      <w:r w:rsidR="007D62C2" w:rsidRPr="004360BF">
        <w:rPr>
          <w:lang w:val="en-AU"/>
        </w:rPr>
        <w:t>recover</w:t>
      </w:r>
      <w:r w:rsidR="003D5596" w:rsidRPr="004360BF">
        <w:rPr>
          <w:lang w:val="en-AU"/>
        </w:rPr>
        <w:t>ing</w:t>
      </w:r>
      <w:r w:rsidR="00894390" w:rsidRPr="004360BF">
        <w:rPr>
          <w:lang w:val="en-AU"/>
        </w:rPr>
        <w:t xml:space="preserve"> the</w:t>
      </w:r>
      <w:r w:rsidR="007D62C2" w:rsidRPr="004360BF">
        <w:rPr>
          <w:lang w:val="en-AU"/>
        </w:rPr>
        <w:t xml:space="preserve"> </w:t>
      </w:r>
      <w:r w:rsidR="003D5596" w:rsidRPr="004360BF">
        <w:rPr>
          <w:lang w:val="en-AU"/>
        </w:rPr>
        <w:t>whole of its allowable revenue</w:t>
      </w:r>
      <w:r w:rsidR="00B60047" w:rsidRPr="004360BF">
        <w:rPr>
          <w:lang w:val="en-AU"/>
        </w:rPr>
        <w:t xml:space="preserve"> in</w:t>
      </w:r>
      <w:r w:rsidR="007D62C2" w:rsidRPr="004360BF">
        <w:rPr>
          <w:lang w:val="en-AU"/>
        </w:rPr>
        <w:t xml:space="preserve"> </w:t>
      </w:r>
      <w:r w:rsidR="00B60047" w:rsidRPr="004360BF">
        <w:rPr>
          <w:lang w:val="en-AU"/>
        </w:rPr>
        <w:t>the</w:t>
      </w:r>
      <w:r w:rsidR="007D62C2" w:rsidRPr="004360BF">
        <w:rPr>
          <w:lang w:val="en-AU"/>
        </w:rPr>
        <w:t xml:space="preserve"> proposed 2015/16 tariffs</w:t>
      </w:r>
      <w:r w:rsidR="00C24855" w:rsidRPr="004360BF">
        <w:rPr>
          <w:lang w:val="en-AU"/>
        </w:rPr>
        <w:t xml:space="preserve">. </w:t>
      </w:r>
    </w:p>
    <w:p w14:paraId="57D17106" w14:textId="77777777" w:rsidR="00C24855" w:rsidRPr="004360BF" w:rsidRDefault="00C24855" w:rsidP="00B30BF6">
      <w:pPr>
        <w:pStyle w:val="Heading2"/>
      </w:pPr>
      <w:bookmarkStart w:id="97" w:name="_Toc387600452"/>
      <w:bookmarkStart w:id="98" w:name="_Toc417291233"/>
      <w:bookmarkStart w:id="99" w:name="_Toc417291731"/>
      <w:bookmarkStart w:id="100" w:name="_Toc417292499"/>
      <w:bookmarkStart w:id="101" w:name="_Toc291262222"/>
      <w:bookmarkStart w:id="102" w:name="_Toc417457996"/>
      <w:bookmarkStart w:id="103" w:name="_Toc418608665"/>
      <w:r w:rsidRPr="004360BF">
        <w:t>Requirements of the Rules</w:t>
      </w:r>
      <w:bookmarkEnd w:id="97"/>
      <w:bookmarkEnd w:id="98"/>
      <w:bookmarkEnd w:id="99"/>
      <w:bookmarkEnd w:id="100"/>
      <w:bookmarkEnd w:id="101"/>
      <w:bookmarkEnd w:id="102"/>
      <w:bookmarkEnd w:id="103"/>
    </w:p>
    <w:p w14:paraId="18E9D171" w14:textId="2FEE94AB" w:rsidR="00C24855" w:rsidRPr="004360BF" w:rsidRDefault="00C24855" w:rsidP="00C24855">
      <w:pPr>
        <w:rPr>
          <w:lang w:val="en-AU"/>
        </w:rPr>
      </w:pPr>
      <w:r w:rsidRPr="004360BF">
        <w:rPr>
          <w:lang w:val="en-AU"/>
        </w:rPr>
        <w:t xml:space="preserve">For the 2014 </w:t>
      </w:r>
      <w:r w:rsidR="00AA1644" w:rsidRPr="004360BF">
        <w:rPr>
          <w:lang w:val="en-AU"/>
        </w:rPr>
        <w:t>NPD</w:t>
      </w:r>
      <w:r w:rsidRPr="004360BF">
        <w:rPr>
          <w:lang w:val="en-AU"/>
        </w:rPr>
        <w:t>, the Commission adopted the pricing requirements of Chapter 6 (Part I) of the Rules to the extent that they are consistent with the TPA Code. This is evidenced in the requirements specified in clauses 16 and 18 of the Commission’s RIN, which address many of the matters required by a Pricing Proposal in Chapter 6 (Part I) of the Rules.</w:t>
      </w:r>
    </w:p>
    <w:p w14:paraId="09588FF4" w14:textId="402B3B3B" w:rsidR="00C24855" w:rsidRPr="004360BF" w:rsidRDefault="00C24855" w:rsidP="00640345">
      <w:pPr>
        <w:pStyle w:val="Dottop"/>
        <w:rPr>
          <w:lang w:val="en-AU"/>
        </w:rPr>
      </w:pPr>
      <w:r w:rsidRPr="004360BF">
        <w:rPr>
          <w:lang w:val="en-AU"/>
        </w:rPr>
        <w:t>In addition to complying with the TPA Code, the Commission’s RIN and 2014 NPD Final Determination, Power and Water has also demonstrated compliance, in the 2015/16 Pricing Proposal, with the following pricing principle in clause 6.18.5(a) of the Rules:</w:t>
      </w:r>
    </w:p>
    <w:p w14:paraId="7BB89E58" w14:textId="77777777" w:rsidR="00C24855" w:rsidRPr="004360BF" w:rsidRDefault="00C24855" w:rsidP="00946FE7">
      <w:pPr>
        <w:spacing w:after="120"/>
        <w:ind w:left="1572" w:hanging="852"/>
        <w:rPr>
          <w:rFonts w:cs="Tahoma"/>
          <w:b/>
          <w:bCs/>
          <w:sz w:val="22"/>
          <w:szCs w:val="22"/>
          <w:lang w:val="en-AU"/>
        </w:rPr>
      </w:pPr>
      <w:r w:rsidRPr="004360BF">
        <w:rPr>
          <w:rFonts w:cs="Tahoma"/>
          <w:b/>
          <w:sz w:val="22"/>
          <w:szCs w:val="22"/>
          <w:lang w:val="en-AU"/>
        </w:rPr>
        <w:t>6.18.5</w:t>
      </w:r>
      <w:r w:rsidRPr="004360BF">
        <w:rPr>
          <w:rFonts w:cs="Tahoma"/>
          <w:b/>
          <w:sz w:val="22"/>
          <w:szCs w:val="22"/>
          <w:lang w:val="en-AU"/>
        </w:rPr>
        <w:tab/>
        <w:t>Pricing principles</w:t>
      </w:r>
    </w:p>
    <w:p w14:paraId="749FA0A8" w14:textId="77777777" w:rsidR="00C24855" w:rsidRPr="004360BF" w:rsidRDefault="00C24855" w:rsidP="00946FE7">
      <w:pPr>
        <w:spacing w:after="120"/>
        <w:ind w:left="1572" w:hanging="852"/>
        <w:rPr>
          <w:rFonts w:cs="Tahoma"/>
          <w:lang w:val="en-AU"/>
        </w:rPr>
      </w:pPr>
      <w:r w:rsidRPr="004360BF">
        <w:rPr>
          <w:rFonts w:cs="Tahoma"/>
          <w:sz w:val="22"/>
          <w:szCs w:val="22"/>
          <w:lang w:val="en-AU"/>
        </w:rPr>
        <w:t>(a)</w:t>
      </w:r>
      <w:r w:rsidRPr="004360BF">
        <w:rPr>
          <w:rFonts w:cs="Tahoma"/>
          <w:sz w:val="22"/>
          <w:szCs w:val="22"/>
          <w:lang w:val="en-AU"/>
        </w:rPr>
        <w:tab/>
      </w:r>
      <w:r w:rsidRPr="004360BF">
        <w:rPr>
          <w:rFonts w:cs="Tahoma"/>
          <w:lang w:val="en-AU"/>
        </w:rPr>
        <w:t>For each tariff class, the revenue expected to be recovered should lie on or between:</w:t>
      </w:r>
    </w:p>
    <w:p w14:paraId="2AE355A1" w14:textId="77777777" w:rsidR="00C24855" w:rsidRPr="004360BF" w:rsidRDefault="00C24855" w:rsidP="00946FE7">
      <w:pPr>
        <w:spacing w:after="120"/>
        <w:ind w:left="2140" w:hanging="568"/>
        <w:rPr>
          <w:rFonts w:cs="Tahoma"/>
          <w:lang w:val="en-AU"/>
        </w:rPr>
      </w:pPr>
      <w:r w:rsidRPr="004360BF">
        <w:rPr>
          <w:rFonts w:cs="Tahoma"/>
          <w:lang w:val="en-AU"/>
        </w:rPr>
        <w:t>(1)</w:t>
      </w:r>
      <w:r w:rsidRPr="004360BF">
        <w:rPr>
          <w:rFonts w:cs="Tahoma"/>
          <w:lang w:val="en-AU"/>
        </w:rPr>
        <w:tab/>
      </w:r>
      <w:proofErr w:type="gramStart"/>
      <w:r w:rsidRPr="004360BF">
        <w:rPr>
          <w:rFonts w:cs="Tahoma"/>
          <w:lang w:val="en-AU"/>
        </w:rPr>
        <w:t>an</w:t>
      </w:r>
      <w:proofErr w:type="gramEnd"/>
      <w:r w:rsidRPr="004360BF">
        <w:rPr>
          <w:rFonts w:cs="Tahoma"/>
          <w:lang w:val="en-AU"/>
        </w:rPr>
        <w:t xml:space="preserve"> upper bound representing the stand alone cost of serving the </w:t>
      </w:r>
      <w:r w:rsidRPr="004360BF">
        <w:rPr>
          <w:rFonts w:cs="Tahoma"/>
          <w:i/>
          <w:lang w:val="en-AU"/>
        </w:rPr>
        <w:t>retail customers</w:t>
      </w:r>
      <w:r w:rsidRPr="004360BF">
        <w:rPr>
          <w:rFonts w:cs="Tahoma"/>
          <w:lang w:val="en-AU"/>
        </w:rPr>
        <w:t xml:space="preserve"> who belong to that class; and</w:t>
      </w:r>
    </w:p>
    <w:p w14:paraId="6E58BA0F" w14:textId="77777777" w:rsidR="00C24855" w:rsidRPr="004360BF" w:rsidRDefault="00C24855" w:rsidP="00946FE7">
      <w:pPr>
        <w:ind w:left="2140" w:hanging="568"/>
        <w:rPr>
          <w:rFonts w:cs="Tahoma"/>
          <w:sz w:val="22"/>
          <w:szCs w:val="22"/>
          <w:lang w:val="en-AU"/>
        </w:rPr>
      </w:pPr>
      <w:r w:rsidRPr="004360BF">
        <w:rPr>
          <w:rFonts w:cs="Tahoma"/>
          <w:lang w:val="en-AU"/>
        </w:rPr>
        <w:t>(2)</w:t>
      </w:r>
      <w:r w:rsidRPr="004360BF">
        <w:rPr>
          <w:rFonts w:cs="Tahoma"/>
          <w:lang w:val="en-AU"/>
        </w:rPr>
        <w:tab/>
      </w:r>
      <w:proofErr w:type="gramStart"/>
      <w:r w:rsidRPr="004360BF">
        <w:rPr>
          <w:rFonts w:cs="Tahoma"/>
          <w:lang w:val="en-AU"/>
        </w:rPr>
        <w:t>a</w:t>
      </w:r>
      <w:proofErr w:type="gramEnd"/>
      <w:r w:rsidRPr="004360BF">
        <w:rPr>
          <w:rFonts w:cs="Tahoma"/>
          <w:lang w:val="en-AU"/>
        </w:rPr>
        <w:t xml:space="preserve"> lower bound representing the avoidable cost of not serving those </w:t>
      </w:r>
      <w:r w:rsidRPr="004360BF">
        <w:rPr>
          <w:rFonts w:cs="Tahoma"/>
          <w:i/>
          <w:lang w:val="en-AU"/>
        </w:rPr>
        <w:t>retail customers</w:t>
      </w:r>
      <w:r w:rsidRPr="004360BF">
        <w:rPr>
          <w:rFonts w:cs="Tahoma"/>
          <w:sz w:val="22"/>
          <w:szCs w:val="22"/>
          <w:lang w:val="en-AU"/>
        </w:rPr>
        <w:t>.</w:t>
      </w:r>
    </w:p>
    <w:p w14:paraId="19121E86" w14:textId="77777777" w:rsidR="00C24855" w:rsidRPr="004360BF" w:rsidRDefault="00C24855" w:rsidP="00946FE7">
      <w:pPr>
        <w:pStyle w:val="Heading1"/>
        <w:pageBreakBefore/>
        <w:numPr>
          <w:ilvl w:val="0"/>
          <w:numId w:val="0"/>
        </w:numPr>
      </w:pPr>
      <w:bookmarkStart w:id="104" w:name="id82edcb67_8791_44b3_b357_2d2e312f9f6c_4"/>
      <w:bookmarkStart w:id="105" w:name="_Toc387600453"/>
      <w:bookmarkStart w:id="106" w:name="_Toc417291234"/>
      <w:bookmarkStart w:id="107" w:name="_Toc417291732"/>
      <w:bookmarkStart w:id="108" w:name="_Toc417292500"/>
      <w:bookmarkStart w:id="109" w:name="_Toc291262223"/>
      <w:bookmarkStart w:id="110" w:name="_Toc417457997"/>
      <w:bookmarkStart w:id="111" w:name="_Toc418608666"/>
      <w:bookmarkStart w:id="112" w:name="_Ref260820319"/>
      <w:bookmarkStart w:id="113" w:name="_Ref258598140"/>
      <w:bookmarkStart w:id="114" w:name="_Ref258598252"/>
      <w:bookmarkEnd w:id="104"/>
      <w:r w:rsidRPr="004360BF">
        <w:lastRenderedPageBreak/>
        <w:t>Part A:  Network Pricing Principles Statement</w:t>
      </w:r>
      <w:bookmarkEnd w:id="105"/>
      <w:bookmarkEnd w:id="106"/>
      <w:bookmarkEnd w:id="107"/>
      <w:bookmarkEnd w:id="108"/>
      <w:bookmarkEnd w:id="109"/>
      <w:bookmarkEnd w:id="110"/>
      <w:bookmarkEnd w:id="111"/>
    </w:p>
    <w:p w14:paraId="6729C9F4" w14:textId="77777777" w:rsidR="00C24855" w:rsidRPr="004360BF" w:rsidRDefault="00C24855" w:rsidP="00C24855">
      <w:pPr>
        <w:rPr>
          <w:lang w:val="en-AU"/>
        </w:rPr>
      </w:pPr>
      <w:r w:rsidRPr="004360BF">
        <w:rPr>
          <w:lang w:val="en-AU"/>
        </w:rPr>
        <w:t xml:space="preserve">The following chapters of Part A of this document </w:t>
      </w:r>
      <w:r w:rsidR="00114F9D" w:rsidRPr="004360BF">
        <w:rPr>
          <w:lang w:val="en-AU"/>
        </w:rPr>
        <w:t xml:space="preserve">provides a summary of the approved </w:t>
      </w:r>
      <w:r w:rsidRPr="004360BF">
        <w:rPr>
          <w:lang w:val="en-AU"/>
        </w:rPr>
        <w:t>Network Pricing Principles Statement (NPPS)</w:t>
      </w:r>
      <w:r w:rsidR="00114F9D" w:rsidRPr="004360BF">
        <w:rPr>
          <w:lang w:val="en-AU"/>
        </w:rPr>
        <w:t xml:space="preserve"> for the 2014-19 regulatory period, as required under </w:t>
      </w:r>
      <w:r w:rsidRPr="004360BF">
        <w:rPr>
          <w:lang w:val="en-AU"/>
        </w:rPr>
        <w:t>clause 16 of the RIN</w:t>
      </w:r>
      <w:r w:rsidRPr="004360BF">
        <w:rPr>
          <w:rStyle w:val="FootnoteReference"/>
          <w:lang w:val="en-AU"/>
        </w:rPr>
        <w:footnoteReference w:id="18"/>
      </w:r>
      <w:r w:rsidRPr="004360BF">
        <w:rPr>
          <w:lang w:val="en-AU"/>
        </w:rPr>
        <w:t xml:space="preserve"> and clause 75(5) of the TPA Code</w:t>
      </w:r>
      <w:r w:rsidRPr="004360BF">
        <w:rPr>
          <w:rStyle w:val="FootnoteReference"/>
          <w:lang w:val="en-AU"/>
        </w:rPr>
        <w:footnoteReference w:id="19"/>
      </w:r>
      <w:r w:rsidRPr="004360BF">
        <w:rPr>
          <w:lang w:val="en-AU"/>
        </w:rPr>
        <w:t>.</w:t>
      </w:r>
    </w:p>
    <w:p w14:paraId="49357639" w14:textId="77777777" w:rsidR="00C24855" w:rsidRPr="004360BF" w:rsidRDefault="00C24855" w:rsidP="00B30BF6">
      <w:pPr>
        <w:pStyle w:val="Heading1"/>
      </w:pPr>
      <w:bookmarkStart w:id="115" w:name="_Toc387600454"/>
      <w:bookmarkStart w:id="116" w:name="_Toc417291235"/>
      <w:bookmarkStart w:id="117" w:name="_Toc417291733"/>
      <w:bookmarkStart w:id="118" w:name="_Toc417292501"/>
      <w:bookmarkStart w:id="119" w:name="_Toc291262224"/>
      <w:bookmarkStart w:id="120" w:name="_Ref291313016"/>
      <w:bookmarkStart w:id="121" w:name="_Ref291313374"/>
      <w:bookmarkStart w:id="122" w:name="_Toc417457998"/>
      <w:bookmarkStart w:id="123" w:name="_Toc418608667"/>
      <w:r w:rsidRPr="004360BF">
        <w:t>Classification of Services</w:t>
      </w:r>
      <w:bookmarkEnd w:id="115"/>
      <w:bookmarkEnd w:id="116"/>
      <w:bookmarkEnd w:id="117"/>
      <w:bookmarkEnd w:id="118"/>
      <w:bookmarkEnd w:id="119"/>
      <w:bookmarkEnd w:id="120"/>
      <w:bookmarkEnd w:id="121"/>
      <w:bookmarkEnd w:id="122"/>
      <w:bookmarkEnd w:id="123"/>
    </w:p>
    <w:p w14:paraId="230547B8" w14:textId="77777777" w:rsidR="00C24855" w:rsidRPr="004360BF" w:rsidRDefault="00C24855" w:rsidP="00C24855">
      <w:pPr>
        <w:rPr>
          <w:lang w:val="en-AU"/>
        </w:rPr>
      </w:pPr>
      <w:r w:rsidRPr="004360BF">
        <w:rPr>
          <w:lang w:val="en-AU"/>
        </w:rPr>
        <w:t xml:space="preserve">Direct control services are classified as either standard control services or alternative control services, with the latter subdivided into fee based services and quoted services.  </w:t>
      </w:r>
    </w:p>
    <w:p w14:paraId="1C9D1D9C" w14:textId="77777777" w:rsidR="00C24855" w:rsidRPr="004360BF" w:rsidRDefault="00C24855" w:rsidP="00C24855">
      <w:pPr>
        <w:rPr>
          <w:lang w:val="en-AU"/>
        </w:rPr>
      </w:pPr>
      <w:r w:rsidRPr="004360BF">
        <w:rPr>
          <w:lang w:val="en-AU"/>
        </w:rPr>
        <w:t>In accordance with RIN clause 16.1, Power Networks has defined individual direct control services that are supplied by Power Networks according to the approved Network Service Classification in the Commission’s 2014 NPD Final Determination</w:t>
      </w:r>
      <w:r w:rsidRPr="004360BF">
        <w:rPr>
          <w:rStyle w:val="FootnoteReference"/>
          <w:lang w:val="en-AU"/>
        </w:rPr>
        <w:footnoteReference w:id="20"/>
      </w:r>
      <w:r w:rsidRPr="004360BF">
        <w:rPr>
          <w:lang w:val="en-AU"/>
        </w:rPr>
        <w:t xml:space="preserve">. </w:t>
      </w:r>
    </w:p>
    <w:p w14:paraId="5285B340" w14:textId="77777777" w:rsidR="00C24855" w:rsidRPr="004360BF" w:rsidRDefault="00C24855" w:rsidP="00B30BF6">
      <w:pPr>
        <w:pStyle w:val="Heading1"/>
      </w:pPr>
      <w:bookmarkStart w:id="124" w:name="_Toc387600455"/>
      <w:bookmarkStart w:id="125" w:name="_Toc417291236"/>
      <w:bookmarkStart w:id="126" w:name="_Toc417291734"/>
      <w:bookmarkStart w:id="127" w:name="_Toc417292502"/>
      <w:bookmarkStart w:id="128" w:name="_Toc291262225"/>
      <w:bookmarkStart w:id="129" w:name="_Ref291312940"/>
      <w:bookmarkStart w:id="130" w:name="_Ref291313225"/>
      <w:bookmarkStart w:id="131" w:name="_Toc417457999"/>
      <w:bookmarkStart w:id="132" w:name="_Toc418608668"/>
      <w:r w:rsidRPr="004360BF">
        <w:t>Tariff Classes</w:t>
      </w:r>
      <w:bookmarkEnd w:id="124"/>
      <w:bookmarkEnd w:id="125"/>
      <w:bookmarkEnd w:id="126"/>
      <w:bookmarkEnd w:id="127"/>
      <w:bookmarkEnd w:id="128"/>
      <w:bookmarkEnd w:id="129"/>
      <w:bookmarkEnd w:id="130"/>
      <w:bookmarkEnd w:id="131"/>
      <w:bookmarkEnd w:id="132"/>
    </w:p>
    <w:p w14:paraId="6E3A8653" w14:textId="77777777" w:rsidR="00C24855" w:rsidRPr="004360BF" w:rsidRDefault="00C24855" w:rsidP="00C24855">
      <w:pPr>
        <w:rPr>
          <w:lang w:val="en-AU"/>
        </w:rPr>
      </w:pPr>
      <w:r w:rsidRPr="004360BF">
        <w:rPr>
          <w:lang w:val="en-AU"/>
        </w:rPr>
        <w:t xml:space="preserve">In accordance with RIN clause 16.2, this chapter of the NPPS describes the constitution of current and proposed tariff classes for the customers connected to Power Networks’ three regulated systems. </w:t>
      </w:r>
    </w:p>
    <w:p w14:paraId="56400374" w14:textId="77777777" w:rsidR="00C24855" w:rsidRPr="004360BF" w:rsidRDefault="00C24855" w:rsidP="00B30BF6">
      <w:pPr>
        <w:pStyle w:val="Heading2"/>
      </w:pPr>
      <w:bookmarkStart w:id="133" w:name="_Toc387600456"/>
      <w:bookmarkStart w:id="134" w:name="_Toc417291237"/>
      <w:bookmarkStart w:id="135" w:name="_Toc417291735"/>
      <w:bookmarkStart w:id="136" w:name="_Toc417292503"/>
      <w:bookmarkStart w:id="137" w:name="_Toc291262226"/>
      <w:bookmarkStart w:id="138" w:name="_Toc417458000"/>
      <w:bookmarkStart w:id="139" w:name="_Toc418608669"/>
      <w:r w:rsidRPr="004360BF">
        <w:t>Summary of current tariff classes</w:t>
      </w:r>
      <w:bookmarkEnd w:id="133"/>
      <w:bookmarkEnd w:id="134"/>
      <w:bookmarkEnd w:id="135"/>
      <w:bookmarkEnd w:id="136"/>
      <w:bookmarkEnd w:id="137"/>
      <w:bookmarkEnd w:id="138"/>
      <w:bookmarkEnd w:id="139"/>
      <w:r w:rsidRPr="004360BF">
        <w:t xml:space="preserve"> </w:t>
      </w:r>
    </w:p>
    <w:p w14:paraId="2CBC1294" w14:textId="51BEFFA5" w:rsidR="00B05CE5" w:rsidRPr="004360BF" w:rsidRDefault="00C24855" w:rsidP="00640345">
      <w:pPr>
        <w:keepNext/>
        <w:spacing w:after="120"/>
        <w:rPr>
          <w:lang w:val="en-AU"/>
        </w:rPr>
      </w:pPr>
      <w:r w:rsidRPr="004360BF">
        <w:rPr>
          <w:lang w:val="en-AU"/>
        </w:rPr>
        <w:t xml:space="preserve">Power and Water has the following </w:t>
      </w:r>
      <w:r w:rsidR="00640345" w:rsidRPr="004360BF">
        <w:rPr>
          <w:lang w:val="en-AU"/>
        </w:rPr>
        <w:t>approved</w:t>
      </w:r>
      <w:r w:rsidRPr="004360BF">
        <w:rPr>
          <w:lang w:val="en-AU"/>
        </w:rPr>
        <w:t xml:space="preserve"> network tariff classes that apply to the three regulated systems of Darwin-Katherine, Alice Springs and Tennant Creek, set out in</w:t>
      </w:r>
      <w:r w:rsidR="00640345" w:rsidRPr="004360BF">
        <w:rPr>
          <w:lang w:val="en-AU"/>
        </w:rPr>
        <w:t xml:space="preserve"> </w:t>
      </w:r>
      <w:r w:rsidR="00CC1083" w:rsidRPr="004360BF">
        <w:rPr>
          <w:lang w:val="en-AU"/>
        </w:rPr>
        <w:fldChar w:fldCharType="begin"/>
      </w:r>
      <w:r w:rsidR="00CC1083" w:rsidRPr="004360BF">
        <w:rPr>
          <w:lang w:val="en-AU"/>
        </w:rPr>
        <w:instrText xml:space="preserve"> REF _Ref291259922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3</w:t>
      </w:r>
      <w:r w:rsidR="00CC1083" w:rsidRPr="004360BF">
        <w:rPr>
          <w:lang w:val="en-AU"/>
        </w:rPr>
        <w:fldChar w:fldCharType="end"/>
      </w:r>
      <w:r w:rsidR="00034CEC" w:rsidRPr="004360BF">
        <w:rPr>
          <w:lang w:val="en-AU"/>
        </w:rPr>
        <w:t>.</w:t>
      </w:r>
      <w:r w:rsidRPr="004360BF">
        <w:rPr>
          <w:lang w:val="en-AU"/>
        </w:rPr>
        <w:t xml:space="preserve"> </w:t>
      </w:r>
    </w:p>
    <w:p w14:paraId="462172BC" w14:textId="77777777" w:rsidR="00C24855" w:rsidRPr="004360BF" w:rsidRDefault="00C24855" w:rsidP="00640345">
      <w:pPr>
        <w:pStyle w:val="Caption"/>
        <w:rPr>
          <w:lang w:val="en-AU"/>
        </w:rPr>
      </w:pPr>
      <w:bookmarkStart w:id="140" w:name="_Ref291259922"/>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3</w:t>
      </w:r>
      <w:r w:rsidR="00517DD9" w:rsidRPr="004360BF">
        <w:rPr>
          <w:lang w:val="en-AU"/>
        </w:rPr>
        <w:fldChar w:fldCharType="end"/>
      </w:r>
      <w:bookmarkEnd w:id="140"/>
      <w:r w:rsidRPr="004360BF">
        <w:rPr>
          <w:lang w:val="en-AU"/>
        </w:rPr>
        <w:t xml:space="preserve"> - Current tariff classes tariff </w:t>
      </w:r>
      <w:r w:rsidR="001766E3" w:rsidRPr="004360BF">
        <w:rPr>
          <w:lang w:val="en-AU"/>
        </w:rPr>
        <w:t>and</w:t>
      </w:r>
      <w:r w:rsidRPr="004360BF">
        <w:rPr>
          <w:lang w:val="en-AU"/>
        </w:rPr>
        <w:t xml:space="preserve"> users</w:t>
      </w:r>
    </w:p>
    <w:tbl>
      <w:tblPr>
        <w:tblW w:w="9192"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46"/>
      </w:tblGrid>
      <w:tr w:rsidR="00C24855" w:rsidRPr="004360BF" w14:paraId="3F23E80C" w14:textId="77777777" w:rsidTr="005570C6">
        <w:tc>
          <w:tcPr>
            <w:tcW w:w="2246" w:type="dxa"/>
            <w:shd w:val="clear" w:color="auto" w:fill="C6D9F1"/>
          </w:tcPr>
          <w:p w14:paraId="66861816" w14:textId="77777777" w:rsidR="00C24855" w:rsidRPr="004360BF" w:rsidRDefault="00C24855" w:rsidP="00640345">
            <w:pPr>
              <w:keepNext/>
              <w:spacing w:before="40" w:after="40"/>
              <w:jc w:val="center"/>
              <w:rPr>
                <w:rFonts w:cs="Tahoma"/>
                <w:b/>
                <w:sz w:val="22"/>
                <w:szCs w:val="22"/>
                <w:lang w:val="en-AU"/>
              </w:rPr>
            </w:pPr>
            <w:r w:rsidRPr="004360BF">
              <w:rPr>
                <w:rFonts w:cs="Tahoma"/>
                <w:b/>
                <w:sz w:val="22"/>
                <w:szCs w:val="22"/>
                <w:lang w:val="en-AU"/>
              </w:rPr>
              <w:t>Tariff Class</w:t>
            </w:r>
          </w:p>
        </w:tc>
        <w:tc>
          <w:tcPr>
            <w:tcW w:w="6946" w:type="dxa"/>
            <w:shd w:val="clear" w:color="auto" w:fill="C6D9F1"/>
          </w:tcPr>
          <w:p w14:paraId="4156EF37" w14:textId="7DCA1790" w:rsidR="00C24855" w:rsidRPr="004360BF" w:rsidRDefault="00983241" w:rsidP="00640345">
            <w:pPr>
              <w:keepNext/>
              <w:spacing w:before="40" w:after="40"/>
              <w:jc w:val="center"/>
              <w:rPr>
                <w:rFonts w:cs="Tahoma"/>
                <w:b/>
                <w:sz w:val="22"/>
                <w:szCs w:val="22"/>
                <w:lang w:val="en-AU"/>
              </w:rPr>
            </w:pPr>
            <w:r w:rsidRPr="004360BF">
              <w:rPr>
                <w:rFonts w:cs="Tahoma"/>
                <w:b/>
                <w:sz w:val="22"/>
                <w:szCs w:val="22"/>
                <w:lang w:val="en-AU"/>
              </w:rPr>
              <w:t>Tariffs</w:t>
            </w:r>
            <w:r w:rsidR="00C24855" w:rsidRPr="004360BF">
              <w:rPr>
                <w:rFonts w:cs="Tahoma"/>
                <w:b/>
                <w:sz w:val="22"/>
                <w:szCs w:val="22"/>
                <w:lang w:val="en-AU"/>
              </w:rPr>
              <w:t xml:space="preserve"> </w:t>
            </w:r>
          </w:p>
        </w:tc>
      </w:tr>
      <w:tr w:rsidR="00C24855" w:rsidRPr="004360BF" w14:paraId="0A634A34" w14:textId="77777777" w:rsidTr="005570C6">
        <w:tc>
          <w:tcPr>
            <w:tcW w:w="2246" w:type="dxa"/>
            <w:vAlign w:val="center"/>
          </w:tcPr>
          <w:p w14:paraId="5F89F0BF" w14:textId="77777777" w:rsidR="00C24855" w:rsidRPr="004360BF" w:rsidRDefault="00C24855" w:rsidP="00640345">
            <w:pPr>
              <w:keepNext/>
              <w:spacing w:before="40" w:after="40"/>
              <w:rPr>
                <w:i/>
                <w:sz w:val="22"/>
                <w:lang w:val="en-AU"/>
              </w:rPr>
            </w:pPr>
            <w:r w:rsidRPr="004360BF">
              <w:rPr>
                <w:i/>
                <w:sz w:val="22"/>
                <w:lang w:val="en-AU"/>
              </w:rPr>
              <w:t>Commercial HV</w:t>
            </w:r>
          </w:p>
        </w:tc>
        <w:tc>
          <w:tcPr>
            <w:tcW w:w="6946" w:type="dxa"/>
            <w:vAlign w:val="center"/>
          </w:tcPr>
          <w:p w14:paraId="49E5A7CD" w14:textId="77777777" w:rsidR="00C24855" w:rsidRPr="004360BF" w:rsidRDefault="00C24855" w:rsidP="00640345">
            <w:pPr>
              <w:keepNext/>
              <w:spacing w:before="40" w:after="40"/>
              <w:rPr>
                <w:rFonts w:cs="Tahoma"/>
                <w:sz w:val="22"/>
                <w:szCs w:val="22"/>
                <w:lang w:val="en-AU"/>
              </w:rPr>
            </w:pPr>
            <w:r w:rsidRPr="004360BF">
              <w:rPr>
                <w:rFonts w:cs="Tahoma"/>
                <w:sz w:val="22"/>
                <w:szCs w:val="22"/>
                <w:lang w:val="en-AU"/>
              </w:rPr>
              <w:t xml:space="preserve">&gt;750 </w:t>
            </w:r>
            <w:proofErr w:type="spellStart"/>
            <w:r w:rsidRPr="004360BF">
              <w:rPr>
                <w:rFonts w:cs="Tahoma"/>
                <w:sz w:val="22"/>
                <w:szCs w:val="22"/>
                <w:lang w:val="en-AU"/>
              </w:rPr>
              <w:t>MWh</w:t>
            </w:r>
            <w:proofErr w:type="spellEnd"/>
            <w:r w:rsidRPr="004360BF">
              <w:rPr>
                <w:rFonts w:cs="Tahoma"/>
                <w:sz w:val="22"/>
                <w:szCs w:val="22"/>
                <w:lang w:val="en-AU"/>
              </w:rPr>
              <w:t xml:space="preserve"> pa Commercial HV: Commercial customers consuming &gt;750 </w:t>
            </w:r>
            <w:proofErr w:type="spellStart"/>
            <w:r w:rsidRPr="004360BF">
              <w:rPr>
                <w:rFonts w:cs="Tahoma"/>
                <w:sz w:val="22"/>
                <w:szCs w:val="22"/>
                <w:lang w:val="en-AU"/>
              </w:rPr>
              <w:t>MWh</w:t>
            </w:r>
            <w:proofErr w:type="spellEnd"/>
            <w:r w:rsidRPr="004360BF">
              <w:rPr>
                <w:rFonts w:cs="Tahoma"/>
                <w:sz w:val="22"/>
                <w:szCs w:val="22"/>
                <w:lang w:val="en-AU"/>
              </w:rPr>
              <w:t xml:space="preserve"> pa connected to the HV network</w:t>
            </w:r>
          </w:p>
        </w:tc>
      </w:tr>
      <w:tr w:rsidR="00983241" w:rsidRPr="004360BF" w14:paraId="1239D10B" w14:textId="77777777" w:rsidTr="00946FE7">
        <w:tc>
          <w:tcPr>
            <w:tcW w:w="2246" w:type="dxa"/>
            <w:vMerge w:val="restart"/>
          </w:tcPr>
          <w:p w14:paraId="1E22617E" w14:textId="6ECA351E" w:rsidR="00983241" w:rsidRPr="004360BF" w:rsidRDefault="00983241" w:rsidP="00640345">
            <w:pPr>
              <w:keepNext/>
              <w:spacing w:before="40" w:after="40"/>
              <w:rPr>
                <w:rFonts w:cs="Tahoma"/>
                <w:i/>
                <w:sz w:val="22"/>
                <w:szCs w:val="22"/>
                <w:lang w:val="en-AU"/>
              </w:rPr>
            </w:pPr>
            <w:r w:rsidRPr="004360BF">
              <w:rPr>
                <w:i/>
                <w:sz w:val="22"/>
                <w:lang w:val="en-AU"/>
              </w:rPr>
              <w:t>Commercial LV</w:t>
            </w:r>
          </w:p>
        </w:tc>
        <w:tc>
          <w:tcPr>
            <w:tcW w:w="6946" w:type="dxa"/>
          </w:tcPr>
          <w:p w14:paraId="2802E5E2" w14:textId="77777777" w:rsidR="00983241" w:rsidRPr="004360BF" w:rsidRDefault="00983241" w:rsidP="00640345">
            <w:pPr>
              <w:keepNext/>
              <w:spacing w:before="40" w:after="40"/>
              <w:rPr>
                <w:rFonts w:cs="Tahoma"/>
                <w:sz w:val="22"/>
                <w:szCs w:val="22"/>
                <w:lang w:val="en-AU"/>
              </w:rPr>
            </w:pPr>
            <w:r w:rsidRPr="004360BF">
              <w:rPr>
                <w:rFonts w:cs="Tahoma"/>
                <w:sz w:val="22"/>
                <w:szCs w:val="22"/>
                <w:lang w:val="en-AU"/>
              </w:rPr>
              <w:t xml:space="preserve">&gt;750 </w:t>
            </w:r>
            <w:proofErr w:type="spellStart"/>
            <w:r w:rsidRPr="004360BF">
              <w:rPr>
                <w:rFonts w:cs="Tahoma"/>
                <w:sz w:val="22"/>
                <w:szCs w:val="22"/>
                <w:lang w:val="en-AU"/>
              </w:rPr>
              <w:t>MWh</w:t>
            </w:r>
            <w:proofErr w:type="spellEnd"/>
            <w:r w:rsidRPr="004360BF">
              <w:rPr>
                <w:rFonts w:cs="Tahoma"/>
                <w:sz w:val="22"/>
                <w:szCs w:val="22"/>
                <w:lang w:val="en-AU"/>
              </w:rPr>
              <w:t xml:space="preserve"> pa Commercial LV: Commercial customers consuming &gt;750 </w:t>
            </w:r>
            <w:proofErr w:type="spellStart"/>
            <w:r w:rsidRPr="004360BF">
              <w:rPr>
                <w:rFonts w:cs="Tahoma"/>
                <w:sz w:val="22"/>
                <w:szCs w:val="22"/>
                <w:lang w:val="en-AU"/>
              </w:rPr>
              <w:t>MWh</w:t>
            </w:r>
            <w:proofErr w:type="spellEnd"/>
            <w:r w:rsidRPr="004360BF">
              <w:rPr>
                <w:rFonts w:cs="Tahoma"/>
                <w:sz w:val="22"/>
                <w:szCs w:val="22"/>
                <w:lang w:val="en-AU"/>
              </w:rPr>
              <w:t xml:space="preserve"> pa connected to the LV network</w:t>
            </w:r>
          </w:p>
        </w:tc>
      </w:tr>
      <w:tr w:rsidR="00983241" w:rsidRPr="004360BF" w14:paraId="1DD61FA1" w14:textId="77777777" w:rsidTr="00946FE7">
        <w:tc>
          <w:tcPr>
            <w:tcW w:w="2246" w:type="dxa"/>
            <w:vMerge/>
          </w:tcPr>
          <w:p w14:paraId="4F15407A" w14:textId="4CF6D9EF" w:rsidR="00983241" w:rsidRPr="004360BF" w:rsidRDefault="00983241" w:rsidP="00640345">
            <w:pPr>
              <w:keepNext/>
              <w:spacing w:before="40" w:after="40"/>
              <w:rPr>
                <w:rFonts w:cs="Tahoma"/>
                <w:i/>
                <w:sz w:val="22"/>
                <w:szCs w:val="22"/>
                <w:lang w:val="en-AU"/>
              </w:rPr>
            </w:pPr>
          </w:p>
        </w:tc>
        <w:tc>
          <w:tcPr>
            <w:tcW w:w="6946" w:type="dxa"/>
          </w:tcPr>
          <w:p w14:paraId="7D576BF9" w14:textId="77777777" w:rsidR="00983241" w:rsidRPr="004360BF" w:rsidRDefault="00983241" w:rsidP="00640345">
            <w:pPr>
              <w:keepNext/>
              <w:spacing w:before="40" w:after="40"/>
              <w:rPr>
                <w:rFonts w:cs="Tahoma"/>
                <w:sz w:val="22"/>
                <w:szCs w:val="22"/>
                <w:lang w:val="en-AU"/>
              </w:rPr>
            </w:pPr>
            <w:r w:rsidRPr="004360BF">
              <w:rPr>
                <w:rFonts w:cs="Tahoma"/>
                <w:sz w:val="22"/>
                <w:szCs w:val="22"/>
                <w:lang w:val="en-AU"/>
              </w:rPr>
              <w:t xml:space="preserve">&lt;750 </w:t>
            </w:r>
            <w:proofErr w:type="spellStart"/>
            <w:r w:rsidRPr="004360BF">
              <w:rPr>
                <w:rFonts w:cs="Tahoma"/>
                <w:sz w:val="22"/>
                <w:szCs w:val="22"/>
                <w:lang w:val="en-AU"/>
              </w:rPr>
              <w:t>MWh</w:t>
            </w:r>
            <w:proofErr w:type="spellEnd"/>
            <w:r w:rsidRPr="004360BF">
              <w:rPr>
                <w:rFonts w:cs="Tahoma"/>
                <w:sz w:val="22"/>
                <w:szCs w:val="22"/>
                <w:lang w:val="en-AU"/>
              </w:rPr>
              <w:t xml:space="preserve"> pa Commercial: Commercial customers consuming &lt;750 </w:t>
            </w:r>
            <w:proofErr w:type="spellStart"/>
            <w:r w:rsidRPr="004360BF">
              <w:rPr>
                <w:rFonts w:cs="Tahoma"/>
                <w:sz w:val="22"/>
                <w:szCs w:val="22"/>
                <w:lang w:val="en-AU"/>
              </w:rPr>
              <w:t>MWh</w:t>
            </w:r>
            <w:proofErr w:type="spellEnd"/>
            <w:r w:rsidRPr="004360BF">
              <w:rPr>
                <w:rFonts w:cs="Tahoma"/>
                <w:sz w:val="22"/>
                <w:szCs w:val="22"/>
                <w:lang w:val="en-AU"/>
              </w:rPr>
              <w:t xml:space="preserve"> pa </w:t>
            </w:r>
          </w:p>
        </w:tc>
      </w:tr>
      <w:tr w:rsidR="00983241" w:rsidRPr="004360BF" w14:paraId="16A919DB" w14:textId="77777777" w:rsidTr="00946FE7">
        <w:tc>
          <w:tcPr>
            <w:tcW w:w="2246" w:type="dxa"/>
            <w:vMerge/>
          </w:tcPr>
          <w:p w14:paraId="3A8813D1" w14:textId="351391F2" w:rsidR="00983241" w:rsidRPr="004360BF" w:rsidRDefault="00983241" w:rsidP="00640345">
            <w:pPr>
              <w:keepNext/>
              <w:spacing w:before="40" w:after="40"/>
              <w:rPr>
                <w:rFonts w:cs="Tahoma"/>
                <w:i/>
                <w:sz w:val="22"/>
                <w:szCs w:val="22"/>
                <w:lang w:val="en-AU"/>
              </w:rPr>
            </w:pPr>
          </w:p>
        </w:tc>
        <w:tc>
          <w:tcPr>
            <w:tcW w:w="6946" w:type="dxa"/>
          </w:tcPr>
          <w:p w14:paraId="116D18D6" w14:textId="77777777" w:rsidR="00983241" w:rsidRPr="004360BF" w:rsidRDefault="00983241" w:rsidP="00640345">
            <w:pPr>
              <w:keepNext/>
              <w:spacing w:before="40" w:after="40" w:line="320" w:lineRule="exact"/>
              <w:outlineLvl w:val="2"/>
              <w:rPr>
                <w:rFonts w:cs="Tahoma"/>
                <w:sz w:val="22"/>
                <w:szCs w:val="22"/>
                <w:lang w:val="en-AU"/>
              </w:rPr>
            </w:pPr>
            <w:bookmarkStart w:id="141" w:name="_Toc417291736"/>
            <w:bookmarkStart w:id="142" w:name="_Toc417292504"/>
            <w:r w:rsidRPr="004360BF">
              <w:rPr>
                <w:rFonts w:cs="Tahoma"/>
                <w:sz w:val="22"/>
                <w:szCs w:val="22"/>
                <w:lang w:val="en-AU"/>
              </w:rPr>
              <w:t>Unmetered:</w:t>
            </w:r>
            <w:bookmarkEnd w:id="141"/>
            <w:bookmarkEnd w:id="142"/>
          </w:p>
          <w:p w14:paraId="215E9067" w14:textId="77777777" w:rsidR="00983241" w:rsidRPr="004360BF" w:rsidRDefault="00983241" w:rsidP="00EE7AA1">
            <w:pPr>
              <w:keepNext/>
              <w:numPr>
                <w:ilvl w:val="0"/>
                <w:numId w:val="11"/>
              </w:numPr>
              <w:spacing w:before="40" w:after="40"/>
              <w:rPr>
                <w:rFonts w:cs="Tahoma"/>
                <w:sz w:val="22"/>
                <w:szCs w:val="22"/>
                <w:lang w:val="en-AU"/>
              </w:rPr>
            </w:pPr>
            <w:r w:rsidRPr="004360BF">
              <w:rPr>
                <w:rFonts w:cs="Tahoma"/>
                <w:sz w:val="22"/>
                <w:szCs w:val="22"/>
                <w:lang w:val="en-AU"/>
              </w:rPr>
              <w:t>Street lighting and similar consumption profiled unmetered supplies; and</w:t>
            </w:r>
          </w:p>
          <w:p w14:paraId="43D67DE9" w14:textId="77777777" w:rsidR="00983241" w:rsidRPr="004360BF" w:rsidRDefault="00983241" w:rsidP="00EE7AA1">
            <w:pPr>
              <w:keepNext/>
              <w:numPr>
                <w:ilvl w:val="0"/>
                <w:numId w:val="11"/>
              </w:numPr>
              <w:spacing w:before="40" w:after="40"/>
              <w:rPr>
                <w:rFonts w:cs="Tahoma"/>
                <w:sz w:val="22"/>
                <w:szCs w:val="22"/>
                <w:lang w:val="en-AU"/>
              </w:rPr>
            </w:pPr>
            <w:r w:rsidRPr="004360BF">
              <w:rPr>
                <w:rFonts w:cs="Tahoma"/>
                <w:sz w:val="22"/>
                <w:szCs w:val="22"/>
                <w:lang w:val="en-AU"/>
              </w:rPr>
              <w:t>Traffic lights and similar unmetered 24 hour supplies.</w:t>
            </w:r>
          </w:p>
        </w:tc>
      </w:tr>
      <w:tr w:rsidR="00C24855" w:rsidRPr="004360BF" w14:paraId="601DE9F8" w14:textId="77777777" w:rsidTr="005570C6">
        <w:trPr>
          <w:trHeight w:val="443"/>
        </w:trPr>
        <w:tc>
          <w:tcPr>
            <w:tcW w:w="2246" w:type="dxa"/>
            <w:vAlign w:val="center"/>
          </w:tcPr>
          <w:p w14:paraId="7051A199" w14:textId="77777777" w:rsidR="00C24855" w:rsidRPr="004360BF" w:rsidRDefault="00C24855" w:rsidP="000955C1">
            <w:pPr>
              <w:keepNext/>
              <w:spacing w:before="40" w:after="40"/>
              <w:rPr>
                <w:i/>
                <w:sz w:val="22"/>
                <w:lang w:val="en-AU"/>
              </w:rPr>
            </w:pPr>
            <w:bookmarkStart w:id="143" w:name="_Toc417291737"/>
            <w:bookmarkStart w:id="144" w:name="_Toc417292505"/>
            <w:r w:rsidRPr="004360BF">
              <w:rPr>
                <w:i/>
                <w:sz w:val="22"/>
                <w:lang w:val="en-AU"/>
              </w:rPr>
              <w:t>Domestic</w:t>
            </w:r>
            <w:bookmarkEnd w:id="143"/>
            <w:bookmarkEnd w:id="144"/>
          </w:p>
        </w:tc>
        <w:tc>
          <w:tcPr>
            <w:tcW w:w="6946" w:type="dxa"/>
            <w:vAlign w:val="center"/>
          </w:tcPr>
          <w:p w14:paraId="06B16FE2" w14:textId="77777777" w:rsidR="00C24855" w:rsidRPr="004360BF" w:rsidRDefault="00C24855" w:rsidP="00640345">
            <w:pPr>
              <w:keepNext/>
              <w:spacing w:before="40" w:after="40"/>
              <w:rPr>
                <w:rFonts w:cs="Tahoma"/>
                <w:sz w:val="22"/>
                <w:szCs w:val="22"/>
                <w:lang w:val="en-AU"/>
              </w:rPr>
            </w:pPr>
            <w:r w:rsidRPr="004360BF">
              <w:rPr>
                <w:rFonts w:cs="Tahoma"/>
                <w:sz w:val="22"/>
                <w:szCs w:val="22"/>
                <w:lang w:val="en-AU"/>
              </w:rPr>
              <w:t xml:space="preserve">Domestic </w:t>
            </w:r>
          </w:p>
        </w:tc>
      </w:tr>
    </w:tbl>
    <w:p w14:paraId="347622F9" w14:textId="77777777" w:rsidR="00640345" w:rsidRPr="004360BF" w:rsidRDefault="00640345" w:rsidP="00640345">
      <w:pPr>
        <w:spacing w:after="0"/>
        <w:rPr>
          <w:lang w:val="en-AU"/>
        </w:rPr>
      </w:pPr>
    </w:p>
    <w:p w14:paraId="51481134" w14:textId="7FF03066" w:rsidR="00C24855" w:rsidRPr="004360BF" w:rsidRDefault="00CC1083" w:rsidP="00640345">
      <w:pPr>
        <w:rPr>
          <w:lang w:val="en-AU"/>
        </w:rPr>
      </w:pPr>
      <w:r w:rsidRPr="004360BF">
        <w:rPr>
          <w:lang w:val="en-AU"/>
        </w:rPr>
        <w:lastRenderedPageBreak/>
        <w:fldChar w:fldCharType="begin"/>
      </w:r>
      <w:r w:rsidRPr="004360BF">
        <w:rPr>
          <w:lang w:val="en-AU"/>
        </w:rPr>
        <w:instrText xml:space="preserve"> REF _Ref291260288 \h </w:instrText>
      </w:r>
      <w:r w:rsidRPr="004360BF">
        <w:rPr>
          <w:lang w:val="en-AU"/>
        </w:rPr>
      </w:r>
      <w:r w:rsidRPr="004360BF">
        <w:rPr>
          <w:lang w:val="en-AU"/>
        </w:rPr>
        <w:fldChar w:fldCharType="separate"/>
      </w:r>
      <w:r w:rsidR="008D3215" w:rsidRPr="004360BF">
        <w:rPr>
          <w:lang w:val="en-AU"/>
        </w:rPr>
        <w:t xml:space="preserve">Figure </w:t>
      </w:r>
      <w:r w:rsidR="008D3215">
        <w:rPr>
          <w:noProof/>
          <w:lang w:val="en-AU"/>
        </w:rPr>
        <w:t>1</w:t>
      </w:r>
      <w:r w:rsidRPr="004360BF">
        <w:rPr>
          <w:lang w:val="en-AU"/>
        </w:rPr>
        <w:fldChar w:fldCharType="end"/>
      </w:r>
      <w:r w:rsidR="005570C6" w:rsidRPr="004360BF">
        <w:rPr>
          <w:lang w:val="en-AU"/>
        </w:rPr>
        <w:t xml:space="preserve"> </w:t>
      </w:r>
      <w:r w:rsidR="00C24855" w:rsidRPr="004360BF">
        <w:rPr>
          <w:lang w:val="en-AU"/>
        </w:rPr>
        <w:t>illustrates Power Networks’ 20</w:t>
      </w:r>
      <w:r w:rsidR="00114F9D" w:rsidRPr="004360BF">
        <w:rPr>
          <w:lang w:val="en-AU"/>
        </w:rPr>
        <w:t>1</w:t>
      </w:r>
      <w:r w:rsidR="00947E15" w:rsidRPr="004360BF">
        <w:rPr>
          <w:lang w:val="en-AU"/>
        </w:rPr>
        <w:t>3</w:t>
      </w:r>
      <w:r w:rsidR="00C24855" w:rsidRPr="004360BF">
        <w:rPr>
          <w:lang w:val="en-AU"/>
        </w:rPr>
        <w:t>/1</w:t>
      </w:r>
      <w:r w:rsidR="00947E15" w:rsidRPr="004360BF">
        <w:rPr>
          <w:lang w:val="en-AU"/>
        </w:rPr>
        <w:t>4</w:t>
      </w:r>
      <w:r w:rsidR="00C24855" w:rsidRPr="004360BF">
        <w:rPr>
          <w:lang w:val="en-AU"/>
        </w:rPr>
        <w:t xml:space="preserve"> energy consumption (</w:t>
      </w:r>
      <w:proofErr w:type="spellStart"/>
      <w:r w:rsidR="00C24855" w:rsidRPr="004360BF">
        <w:rPr>
          <w:lang w:val="en-AU"/>
        </w:rPr>
        <w:t>MWh</w:t>
      </w:r>
      <w:proofErr w:type="spellEnd"/>
      <w:r w:rsidR="00C24855" w:rsidRPr="004360BF">
        <w:rPr>
          <w:lang w:val="en-AU"/>
        </w:rPr>
        <w:t xml:space="preserve">) by the proposed tariffs (note that unmetered supplies have been bundled with the &lt;750 </w:t>
      </w:r>
      <w:proofErr w:type="spellStart"/>
      <w:r w:rsidR="00C24855" w:rsidRPr="004360BF">
        <w:rPr>
          <w:lang w:val="en-AU"/>
        </w:rPr>
        <w:t>MWh</w:t>
      </w:r>
      <w:proofErr w:type="spellEnd"/>
      <w:r w:rsidR="00C24855" w:rsidRPr="004360BF">
        <w:rPr>
          <w:lang w:val="en-AU"/>
        </w:rPr>
        <w:t xml:space="preserve"> per annum Commercial tariff as their annual consumption is very small).</w:t>
      </w:r>
    </w:p>
    <w:p w14:paraId="54C8E12A" w14:textId="5635A3A0" w:rsidR="00947E15" w:rsidRPr="004360BF" w:rsidRDefault="00C24855" w:rsidP="00C24855">
      <w:pPr>
        <w:pStyle w:val="Caption"/>
        <w:rPr>
          <w:lang w:val="en-AU"/>
        </w:rPr>
      </w:pPr>
      <w:bookmarkStart w:id="145" w:name="_Ref291260288"/>
      <w:r w:rsidRPr="004360BF">
        <w:rPr>
          <w:lang w:val="en-AU"/>
        </w:rPr>
        <w:t xml:space="preserve">Figure </w:t>
      </w:r>
      <w:r w:rsidR="00EA0F43" w:rsidRPr="004360BF">
        <w:rPr>
          <w:lang w:val="en-AU"/>
        </w:rPr>
        <w:fldChar w:fldCharType="begin"/>
      </w:r>
      <w:r w:rsidR="00EA0F43" w:rsidRPr="004360BF">
        <w:rPr>
          <w:lang w:val="en-AU"/>
        </w:rPr>
        <w:instrText xml:space="preserve"> SEQ Figure \* ARABIC </w:instrText>
      </w:r>
      <w:r w:rsidR="00EA0F43" w:rsidRPr="004360BF">
        <w:rPr>
          <w:lang w:val="en-AU"/>
        </w:rPr>
        <w:fldChar w:fldCharType="separate"/>
      </w:r>
      <w:r w:rsidR="008D3215">
        <w:rPr>
          <w:noProof/>
          <w:lang w:val="en-AU"/>
        </w:rPr>
        <w:t>1</w:t>
      </w:r>
      <w:r w:rsidR="00EA0F43" w:rsidRPr="004360BF">
        <w:rPr>
          <w:lang w:val="en-AU"/>
        </w:rPr>
        <w:fldChar w:fldCharType="end"/>
      </w:r>
      <w:bookmarkEnd w:id="145"/>
      <w:r w:rsidRPr="004360BF">
        <w:rPr>
          <w:lang w:val="en-AU"/>
        </w:rPr>
        <w:t xml:space="preserve"> – Power Networks’ energy consumption (</w:t>
      </w:r>
      <w:proofErr w:type="spellStart"/>
      <w:r w:rsidRPr="004360BF">
        <w:rPr>
          <w:lang w:val="en-AU"/>
        </w:rPr>
        <w:t>MWh</w:t>
      </w:r>
      <w:proofErr w:type="spellEnd"/>
      <w:r w:rsidRPr="004360BF">
        <w:rPr>
          <w:lang w:val="en-AU"/>
        </w:rPr>
        <w:t>) by tariff</w:t>
      </w:r>
      <w:r w:rsidR="00894390" w:rsidRPr="004360BF">
        <w:rPr>
          <w:lang w:val="en-AU"/>
        </w:rPr>
        <w:t xml:space="preserve"> class</w:t>
      </w:r>
      <w:r w:rsidRPr="004360BF">
        <w:rPr>
          <w:lang w:val="en-AU"/>
        </w:rPr>
        <w:t>, 201</w:t>
      </w:r>
      <w:r w:rsidR="00947E15" w:rsidRPr="004360BF">
        <w:rPr>
          <w:lang w:val="en-AU"/>
        </w:rPr>
        <w:t>3</w:t>
      </w:r>
      <w:r w:rsidRPr="004360BF">
        <w:rPr>
          <w:lang w:val="en-AU"/>
        </w:rPr>
        <w:t>/1</w:t>
      </w:r>
      <w:r w:rsidR="00947E15" w:rsidRPr="004360BF">
        <w:rPr>
          <w:lang w:val="en-AU"/>
        </w:rPr>
        <w:t>4</w:t>
      </w:r>
    </w:p>
    <w:p w14:paraId="5B8492E5" w14:textId="77777777" w:rsidR="00894390" w:rsidRPr="004360BF" w:rsidRDefault="00894390" w:rsidP="00894390">
      <w:pPr>
        <w:rPr>
          <w:lang w:val="en-AU"/>
        </w:rPr>
      </w:pPr>
    </w:p>
    <w:p w14:paraId="080438EE" w14:textId="2287E108" w:rsidR="00894390" w:rsidRPr="004360BF" w:rsidRDefault="00894390" w:rsidP="00894390">
      <w:pPr>
        <w:rPr>
          <w:lang w:val="en-AU"/>
        </w:rPr>
      </w:pPr>
      <w:r w:rsidRPr="004360BF">
        <w:rPr>
          <w:noProof/>
          <w:lang w:val="en-AU" w:eastAsia="en-AU"/>
        </w:rPr>
        <w:drawing>
          <wp:inline distT="0" distB="0" distL="0" distR="0" wp14:anchorId="51D0BD4E" wp14:editId="4FFB4B87">
            <wp:extent cx="5534025" cy="3162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34025" cy="3162300"/>
                    </a:xfrm>
                    <a:prstGeom prst="rect">
                      <a:avLst/>
                    </a:prstGeom>
                  </pic:spPr>
                </pic:pic>
              </a:graphicData>
            </a:graphic>
          </wp:inline>
        </w:drawing>
      </w:r>
    </w:p>
    <w:p w14:paraId="2A7CF606" w14:textId="3EE28305" w:rsidR="00C24855" w:rsidRPr="004360BF" w:rsidRDefault="00CC1083" w:rsidP="005570C6">
      <w:pPr>
        <w:rPr>
          <w:lang w:val="en-AU"/>
        </w:rPr>
      </w:pPr>
      <w:r w:rsidRPr="004360BF">
        <w:rPr>
          <w:lang w:val="en-AU"/>
        </w:rPr>
        <w:fldChar w:fldCharType="begin"/>
      </w:r>
      <w:r w:rsidRPr="004360BF">
        <w:rPr>
          <w:lang w:val="en-AU"/>
        </w:rPr>
        <w:instrText xml:space="preserve"> REF _Ref291260228 \h </w:instrText>
      </w:r>
      <w:r w:rsidRPr="004360BF">
        <w:rPr>
          <w:lang w:val="en-AU"/>
        </w:rPr>
      </w:r>
      <w:r w:rsidRPr="004360BF">
        <w:rPr>
          <w:lang w:val="en-AU"/>
        </w:rPr>
        <w:fldChar w:fldCharType="separate"/>
      </w:r>
      <w:r w:rsidR="008D3215" w:rsidRPr="004360BF">
        <w:rPr>
          <w:lang w:val="en-AU"/>
        </w:rPr>
        <w:t xml:space="preserve">Figure </w:t>
      </w:r>
      <w:r w:rsidR="008D3215">
        <w:rPr>
          <w:noProof/>
          <w:lang w:val="en-AU"/>
        </w:rPr>
        <w:t>2</w:t>
      </w:r>
      <w:r w:rsidRPr="004360BF">
        <w:rPr>
          <w:lang w:val="en-AU"/>
        </w:rPr>
        <w:fldChar w:fldCharType="end"/>
      </w:r>
      <w:r w:rsidR="00C24855" w:rsidRPr="004360BF">
        <w:rPr>
          <w:lang w:val="en-AU"/>
        </w:rPr>
        <w:t xml:space="preserve"> illustrates the average annual energy consumption per customer connection for 201</w:t>
      </w:r>
      <w:r w:rsidR="00947E15" w:rsidRPr="004360BF">
        <w:rPr>
          <w:lang w:val="en-AU"/>
        </w:rPr>
        <w:t>3</w:t>
      </w:r>
      <w:r w:rsidR="00C24855" w:rsidRPr="004360BF">
        <w:rPr>
          <w:lang w:val="en-AU"/>
        </w:rPr>
        <w:t>/1</w:t>
      </w:r>
      <w:r w:rsidR="00947E15" w:rsidRPr="004360BF">
        <w:rPr>
          <w:lang w:val="en-AU"/>
        </w:rPr>
        <w:t>4</w:t>
      </w:r>
      <w:r w:rsidR="009350E5" w:rsidRPr="004360BF">
        <w:rPr>
          <w:lang w:val="en-AU"/>
        </w:rPr>
        <w:t>. This</w:t>
      </w:r>
      <w:r w:rsidR="00C24855" w:rsidRPr="004360BF">
        <w:rPr>
          <w:lang w:val="en-AU"/>
        </w:rPr>
        <w:t xml:space="preserve"> demonstrates that there is significant diversity in the average energy consumption between users on different tariffs.</w:t>
      </w:r>
    </w:p>
    <w:p w14:paraId="16F71362" w14:textId="3982F8AF" w:rsidR="00C24855" w:rsidRPr="004360BF" w:rsidRDefault="00C24855" w:rsidP="00C24855">
      <w:pPr>
        <w:pStyle w:val="Caption"/>
        <w:rPr>
          <w:lang w:val="en-AU"/>
        </w:rPr>
      </w:pPr>
      <w:bookmarkStart w:id="146" w:name="_Ref291260228"/>
      <w:r w:rsidRPr="004360BF">
        <w:rPr>
          <w:lang w:val="en-AU"/>
        </w:rPr>
        <w:t xml:space="preserve">Figure </w:t>
      </w:r>
      <w:r w:rsidR="00EA0F43" w:rsidRPr="004360BF">
        <w:rPr>
          <w:lang w:val="en-AU"/>
        </w:rPr>
        <w:fldChar w:fldCharType="begin"/>
      </w:r>
      <w:r w:rsidR="00EA0F43" w:rsidRPr="004360BF">
        <w:rPr>
          <w:lang w:val="en-AU"/>
        </w:rPr>
        <w:instrText xml:space="preserve"> SEQ Figure \* ARABIC </w:instrText>
      </w:r>
      <w:r w:rsidR="00EA0F43" w:rsidRPr="004360BF">
        <w:rPr>
          <w:lang w:val="en-AU"/>
        </w:rPr>
        <w:fldChar w:fldCharType="separate"/>
      </w:r>
      <w:r w:rsidR="008D3215">
        <w:rPr>
          <w:noProof/>
          <w:lang w:val="en-AU"/>
        </w:rPr>
        <w:t>2</w:t>
      </w:r>
      <w:r w:rsidR="00EA0F43" w:rsidRPr="004360BF">
        <w:rPr>
          <w:lang w:val="en-AU"/>
        </w:rPr>
        <w:fldChar w:fldCharType="end"/>
      </w:r>
      <w:bookmarkEnd w:id="146"/>
      <w:r w:rsidRPr="004360BF">
        <w:rPr>
          <w:lang w:val="en-AU"/>
        </w:rPr>
        <w:t xml:space="preserve"> – Energy consumption (</w:t>
      </w:r>
      <w:proofErr w:type="spellStart"/>
      <w:r w:rsidRPr="004360BF">
        <w:rPr>
          <w:lang w:val="en-AU"/>
        </w:rPr>
        <w:t>MWh</w:t>
      </w:r>
      <w:proofErr w:type="spellEnd"/>
      <w:r w:rsidRPr="004360BF">
        <w:rPr>
          <w:lang w:val="en-AU"/>
        </w:rPr>
        <w:t>) per customer connection, 201</w:t>
      </w:r>
      <w:r w:rsidR="00947E15" w:rsidRPr="004360BF">
        <w:rPr>
          <w:lang w:val="en-AU"/>
        </w:rPr>
        <w:t>3</w:t>
      </w:r>
      <w:r w:rsidRPr="004360BF">
        <w:rPr>
          <w:lang w:val="en-AU"/>
        </w:rPr>
        <w:t>/1</w:t>
      </w:r>
      <w:r w:rsidR="00947E15" w:rsidRPr="004360BF">
        <w:rPr>
          <w:lang w:val="en-AU"/>
        </w:rPr>
        <w:t>4</w:t>
      </w:r>
      <w:r w:rsidRPr="004360BF">
        <w:rPr>
          <w:rStyle w:val="FootnoteReference"/>
          <w:lang w:val="en-AU"/>
        </w:rPr>
        <w:footnoteReference w:id="21"/>
      </w:r>
    </w:p>
    <w:p w14:paraId="1FAF49DB" w14:textId="1A859CA6" w:rsidR="00C24855" w:rsidRPr="004360BF" w:rsidRDefault="008F7E8A" w:rsidP="00C24855">
      <w:pPr>
        <w:spacing w:after="0"/>
        <w:rPr>
          <w:lang w:val="en-AU"/>
        </w:rPr>
      </w:pPr>
      <w:r w:rsidRPr="004360BF">
        <w:rPr>
          <w:noProof/>
          <w:lang w:val="en-AU" w:eastAsia="en-AU"/>
        </w:rPr>
        <w:drawing>
          <wp:inline distT="0" distB="0" distL="0" distR="0" wp14:anchorId="2E404AC7" wp14:editId="0BE5FDAF">
            <wp:extent cx="4572000" cy="25719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247" cy="2572106"/>
                    </a:xfrm>
                    <a:prstGeom prst="rect">
                      <a:avLst/>
                    </a:prstGeom>
                    <a:noFill/>
                    <a:ln>
                      <a:noFill/>
                    </a:ln>
                  </pic:spPr>
                </pic:pic>
              </a:graphicData>
            </a:graphic>
          </wp:inline>
        </w:drawing>
      </w:r>
    </w:p>
    <w:p w14:paraId="7E3F3CE7" w14:textId="77777777" w:rsidR="00C24855" w:rsidRPr="004360BF" w:rsidRDefault="00C24855" w:rsidP="005570C6">
      <w:pPr>
        <w:pStyle w:val="Dottop"/>
        <w:rPr>
          <w:lang w:val="en-AU"/>
        </w:rPr>
      </w:pPr>
      <w:r w:rsidRPr="004360BF">
        <w:rPr>
          <w:lang w:val="en-AU"/>
        </w:rPr>
        <w:lastRenderedPageBreak/>
        <w:t>As per clause 16.2 of the RIN, the number of tariff classes has been kept to a minimum, to avoid unnecessary transaction costs. In addition, customers have been grouped together on an economically efficient basis, recognising the material differences between users arising from:</w:t>
      </w:r>
    </w:p>
    <w:p w14:paraId="5B105D62" w14:textId="77777777" w:rsidR="00C24855" w:rsidRPr="004360BF" w:rsidRDefault="00C24855" w:rsidP="005570C6">
      <w:pPr>
        <w:pStyle w:val="Dot"/>
        <w:rPr>
          <w:lang w:val="en-AU"/>
        </w:rPr>
      </w:pPr>
      <w:r w:rsidRPr="004360BF">
        <w:rPr>
          <w:lang w:val="en-AU"/>
        </w:rPr>
        <w:t>The pattern and level of network usage (as between domestic and commercial customers, which have different consumption patterns and average consumption); and</w:t>
      </w:r>
    </w:p>
    <w:p w14:paraId="1DDB4EFF" w14:textId="77777777" w:rsidR="00C24855" w:rsidRPr="004360BF" w:rsidRDefault="00C24855" w:rsidP="005570C6">
      <w:pPr>
        <w:pStyle w:val="Dotbot"/>
        <w:rPr>
          <w:lang w:val="en-AU"/>
        </w:rPr>
      </w:pPr>
      <w:r w:rsidRPr="004360BF">
        <w:rPr>
          <w:lang w:val="en-AU"/>
        </w:rPr>
        <w:t xml:space="preserve">The nature of the plant or equipment required to provide the network access service (in the case of the Commercial HV tariff class, as these customers do not make use of the low voltage network or distribution substations). </w:t>
      </w:r>
    </w:p>
    <w:p w14:paraId="017250AD" w14:textId="77777777" w:rsidR="00C24855" w:rsidRPr="004360BF" w:rsidRDefault="00C909CD" w:rsidP="005570C6">
      <w:pPr>
        <w:rPr>
          <w:lang w:val="en-AU" w:eastAsia="en-AU"/>
        </w:rPr>
      </w:pPr>
      <w:r w:rsidRPr="004360BF">
        <w:rPr>
          <w:lang w:val="en-AU"/>
        </w:rPr>
        <w:t>It is</w:t>
      </w:r>
      <w:r w:rsidR="00C24855" w:rsidRPr="004360BF">
        <w:rPr>
          <w:lang w:val="en-AU"/>
        </w:rPr>
        <w:t xml:space="preserve"> believe</w:t>
      </w:r>
      <w:r w:rsidRPr="004360BF">
        <w:rPr>
          <w:lang w:val="en-AU"/>
        </w:rPr>
        <w:t>d</w:t>
      </w:r>
      <w:r w:rsidR="00C24855" w:rsidRPr="004360BF">
        <w:rPr>
          <w:lang w:val="en-AU"/>
        </w:rPr>
        <w:t xml:space="preserve"> that this definition of tariff classes represents an economically efficient tariff class assignment that will avoid the need for unnecessary transaction costs. </w:t>
      </w:r>
    </w:p>
    <w:p w14:paraId="198DADA1" w14:textId="77777777" w:rsidR="00C24855" w:rsidRPr="004360BF" w:rsidRDefault="00C24855" w:rsidP="00B30BF6">
      <w:pPr>
        <w:pStyle w:val="Heading2"/>
      </w:pPr>
      <w:bookmarkStart w:id="147" w:name="_Toc387600457"/>
      <w:bookmarkStart w:id="148" w:name="_Toc417291238"/>
      <w:bookmarkStart w:id="149" w:name="_Toc417291738"/>
      <w:bookmarkStart w:id="150" w:name="_Toc417292506"/>
      <w:bookmarkStart w:id="151" w:name="_Ref291260645"/>
      <w:bookmarkStart w:id="152" w:name="_Toc291262227"/>
      <w:bookmarkStart w:id="153" w:name="_Ref292367207"/>
      <w:bookmarkStart w:id="154" w:name="_Toc417458001"/>
      <w:bookmarkStart w:id="155" w:name="_Toc418608670"/>
      <w:r w:rsidRPr="004360BF">
        <w:t>Domestic tariff class</w:t>
      </w:r>
      <w:bookmarkEnd w:id="147"/>
      <w:bookmarkEnd w:id="148"/>
      <w:bookmarkEnd w:id="149"/>
      <w:bookmarkEnd w:id="150"/>
      <w:bookmarkEnd w:id="151"/>
      <w:bookmarkEnd w:id="152"/>
      <w:bookmarkEnd w:id="153"/>
      <w:bookmarkEnd w:id="154"/>
      <w:bookmarkEnd w:id="155"/>
    </w:p>
    <w:p w14:paraId="6B4AB67B" w14:textId="77777777" w:rsidR="00C24855" w:rsidRPr="004360BF" w:rsidRDefault="00C24855" w:rsidP="005570C6">
      <w:pPr>
        <w:pStyle w:val="Dottop"/>
        <w:rPr>
          <w:lang w:val="en-AU"/>
        </w:rPr>
      </w:pPr>
      <w:r w:rsidRPr="004360BF">
        <w:rPr>
          <w:lang w:val="en-AU"/>
        </w:rPr>
        <w:t xml:space="preserve">The Domestic tariff class is composed of one tariff, the </w:t>
      </w:r>
      <w:r w:rsidRPr="004360BF">
        <w:rPr>
          <w:u w:val="single"/>
          <w:lang w:val="en-AU"/>
        </w:rPr>
        <w:t>Domestic tariff</w:t>
      </w:r>
      <w:r w:rsidRPr="004360BF">
        <w:rPr>
          <w:lang w:val="en-AU"/>
        </w:rPr>
        <w:t>, which applies to network users supplied at a connection point where:</w:t>
      </w:r>
    </w:p>
    <w:p w14:paraId="2C476C7B" w14:textId="77777777" w:rsidR="00C24855" w:rsidRPr="004360BF" w:rsidRDefault="00C24855" w:rsidP="005570C6">
      <w:pPr>
        <w:pStyle w:val="Dot"/>
        <w:rPr>
          <w:lang w:val="en-AU"/>
        </w:rPr>
      </w:pPr>
      <w:r w:rsidRPr="004360BF">
        <w:rPr>
          <w:lang w:val="en-AU"/>
        </w:rPr>
        <w:t>Total electricity consumption, per financial year, is less than 750 </w:t>
      </w:r>
      <w:proofErr w:type="spellStart"/>
      <w:r w:rsidRPr="004360BF">
        <w:rPr>
          <w:lang w:val="en-AU"/>
        </w:rPr>
        <w:t>MWh</w:t>
      </w:r>
      <w:proofErr w:type="spellEnd"/>
      <w:r w:rsidRPr="004360BF">
        <w:rPr>
          <w:lang w:val="en-AU"/>
        </w:rPr>
        <w:t>; and</w:t>
      </w:r>
    </w:p>
    <w:p w14:paraId="4B197A2F" w14:textId="77777777" w:rsidR="00C24855" w:rsidRPr="004360BF" w:rsidRDefault="00C24855" w:rsidP="005570C6">
      <w:pPr>
        <w:pStyle w:val="Dot"/>
        <w:rPr>
          <w:lang w:val="en-AU"/>
        </w:rPr>
      </w:pPr>
      <w:r w:rsidRPr="004360BF">
        <w:rPr>
          <w:lang w:val="en-AU"/>
        </w:rPr>
        <w:t>The tariff is applicable for premises intended to be used for residential purposes, excluding serviced apartments, but including:</w:t>
      </w:r>
    </w:p>
    <w:p w14:paraId="2B712C33" w14:textId="77777777" w:rsidR="00C24855" w:rsidRPr="004360BF" w:rsidRDefault="00C24855" w:rsidP="00EE7AA1">
      <w:pPr>
        <w:numPr>
          <w:ilvl w:val="1"/>
          <w:numId w:val="1"/>
        </w:numPr>
        <w:spacing w:after="120"/>
        <w:rPr>
          <w:lang w:val="en-AU"/>
        </w:rPr>
      </w:pPr>
      <w:r w:rsidRPr="004360BF">
        <w:rPr>
          <w:lang w:val="en-AU"/>
        </w:rPr>
        <w:t>Electricity used on vacant land zoned for residential purposes; and</w:t>
      </w:r>
    </w:p>
    <w:p w14:paraId="2FB9732D" w14:textId="77777777" w:rsidR="00C24855" w:rsidRPr="004360BF" w:rsidRDefault="00C24855" w:rsidP="00EE7AA1">
      <w:pPr>
        <w:numPr>
          <w:ilvl w:val="1"/>
          <w:numId w:val="1"/>
        </w:numPr>
        <w:ind w:left="1434" w:hanging="357"/>
        <w:rPr>
          <w:lang w:val="en-AU"/>
        </w:rPr>
      </w:pPr>
      <w:r w:rsidRPr="004360BF">
        <w:rPr>
          <w:lang w:val="en-AU"/>
        </w:rPr>
        <w:t>Living premises of retirement villages (must be separately metered).</w:t>
      </w:r>
    </w:p>
    <w:p w14:paraId="7884463C" w14:textId="77777777" w:rsidR="00C24855" w:rsidRPr="004360BF" w:rsidRDefault="00C24855" w:rsidP="00B30BF6">
      <w:pPr>
        <w:pStyle w:val="Heading2"/>
      </w:pPr>
      <w:bookmarkStart w:id="156" w:name="_Toc387600458"/>
      <w:bookmarkStart w:id="157" w:name="_Toc417291239"/>
      <w:bookmarkStart w:id="158" w:name="_Toc417291739"/>
      <w:bookmarkStart w:id="159" w:name="_Toc417292507"/>
      <w:bookmarkStart w:id="160" w:name="_Toc291262228"/>
      <w:bookmarkStart w:id="161" w:name="_Toc417458002"/>
      <w:bookmarkStart w:id="162" w:name="_Toc418608671"/>
      <w:r w:rsidRPr="004360BF">
        <w:t>Commercial tariff class</w:t>
      </w:r>
      <w:bookmarkEnd w:id="156"/>
      <w:bookmarkEnd w:id="157"/>
      <w:bookmarkEnd w:id="158"/>
      <w:bookmarkEnd w:id="159"/>
      <w:bookmarkEnd w:id="160"/>
      <w:bookmarkEnd w:id="161"/>
      <w:bookmarkEnd w:id="162"/>
    </w:p>
    <w:p w14:paraId="0587512E" w14:textId="77777777" w:rsidR="00C24855" w:rsidRPr="004360BF" w:rsidRDefault="00C24855" w:rsidP="005570C6">
      <w:pPr>
        <w:pStyle w:val="Dottop"/>
        <w:rPr>
          <w:lang w:val="en-AU"/>
        </w:rPr>
      </w:pPr>
      <w:r w:rsidRPr="004360BF">
        <w:rPr>
          <w:lang w:val="en-AU"/>
        </w:rPr>
        <w:t xml:space="preserve">The Commercial tariff class is made up of three different tariffs: </w:t>
      </w:r>
    </w:p>
    <w:p w14:paraId="3341FC0C" w14:textId="77777777" w:rsidR="00C24855" w:rsidRPr="004360BF" w:rsidRDefault="00C24855" w:rsidP="005570C6">
      <w:pPr>
        <w:pStyle w:val="Dot"/>
        <w:rPr>
          <w:lang w:val="en-AU"/>
        </w:rPr>
      </w:pPr>
      <w:r w:rsidRPr="004360BF">
        <w:rPr>
          <w:lang w:val="en-AU"/>
        </w:rPr>
        <w:t xml:space="preserve">Commercial customers consuming less than 750 </w:t>
      </w:r>
      <w:proofErr w:type="spellStart"/>
      <w:r w:rsidRPr="004360BF">
        <w:rPr>
          <w:lang w:val="en-AU"/>
        </w:rPr>
        <w:t>MWh</w:t>
      </w:r>
      <w:proofErr w:type="spellEnd"/>
      <w:r w:rsidRPr="004360BF">
        <w:rPr>
          <w:lang w:val="en-AU"/>
        </w:rPr>
        <w:t xml:space="preserve"> per annum;</w:t>
      </w:r>
    </w:p>
    <w:p w14:paraId="056F23E4" w14:textId="77777777" w:rsidR="00C24855" w:rsidRPr="004360BF" w:rsidRDefault="00C24855" w:rsidP="005570C6">
      <w:pPr>
        <w:pStyle w:val="Dot"/>
        <w:rPr>
          <w:lang w:val="en-AU"/>
        </w:rPr>
      </w:pPr>
      <w:r w:rsidRPr="004360BF">
        <w:rPr>
          <w:lang w:val="en-AU"/>
        </w:rPr>
        <w:t xml:space="preserve">Commercial customers consuming more than 750 </w:t>
      </w:r>
      <w:proofErr w:type="spellStart"/>
      <w:r w:rsidRPr="004360BF">
        <w:rPr>
          <w:lang w:val="en-AU"/>
        </w:rPr>
        <w:t>MWh</w:t>
      </w:r>
      <w:proofErr w:type="spellEnd"/>
      <w:r w:rsidRPr="004360BF">
        <w:rPr>
          <w:lang w:val="en-AU"/>
        </w:rPr>
        <w:t xml:space="preserve"> per annum connected to the LV network; and </w:t>
      </w:r>
    </w:p>
    <w:p w14:paraId="13C098E7" w14:textId="77777777" w:rsidR="00C24855" w:rsidRPr="004360BF" w:rsidRDefault="00C24855" w:rsidP="005570C6">
      <w:pPr>
        <w:pStyle w:val="Dotbot"/>
        <w:rPr>
          <w:lang w:val="en-AU"/>
        </w:rPr>
      </w:pPr>
      <w:r w:rsidRPr="004360BF">
        <w:rPr>
          <w:lang w:val="en-AU"/>
        </w:rPr>
        <w:t>Unmetered customers.</w:t>
      </w:r>
    </w:p>
    <w:p w14:paraId="5EB69CCC" w14:textId="573BEE32" w:rsidR="00C24855" w:rsidRPr="004360BF" w:rsidRDefault="00C24855" w:rsidP="005570C6">
      <w:pPr>
        <w:pStyle w:val="Dottop"/>
        <w:rPr>
          <w:lang w:val="en-AU"/>
        </w:rPr>
      </w:pPr>
      <w:r w:rsidRPr="004360BF">
        <w:rPr>
          <w:lang w:val="en-AU"/>
        </w:rPr>
        <w:t xml:space="preserve">The </w:t>
      </w:r>
      <w:r w:rsidRPr="004360BF">
        <w:rPr>
          <w:u w:val="single"/>
          <w:lang w:val="en-AU"/>
        </w:rPr>
        <w:t xml:space="preserve">&lt;750 </w:t>
      </w:r>
      <w:proofErr w:type="spellStart"/>
      <w:r w:rsidRPr="004360BF">
        <w:rPr>
          <w:u w:val="single"/>
          <w:lang w:val="en-AU"/>
        </w:rPr>
        <w:t>MWh</w:t>
      </w:r>
      <w:proofErr w:type="spellEnd"/>
      <w:r w:rsidRPr="004360BF">
        <w:rPr>
          <w:u w:val="single"/>
          <w:lang w:val="en-AU"/>
        </w:rPr>
        <w:t xml:space="preserve"> pa </w:t>
      </w:r>
      <w:r w:rsidR="005570C6" w:rsidRPr="004360BF">
        <w:rPr>
          <w:u w:val="single"/>
          <w:lang w:val="en-AU"/>
        </w:rPr>
        <w:t>Commercial</w:t>
      </w:r>
      <w:r w:rsidRPr="004360BF">
        <w:rPr>
          <w:u w:val="single"/>
          <w:lang w:val="en-AU"/>
        </w:rPr>
        <w:t xml:space="preserve"> </w:t>
      </w:r>
      <w:proofErr w:type="gramStart"/>
      <w:r w:rsidRPr="004360BF">
        <w:rPr>
          <w:u w:val="single"/>
          <w:lang w:val="en-AU"/>
        </w:rPr>
        <w:t>tariff</w:t>
      </w:r>
      <w:proofErr w:type="gramEnd"/>
      <w:r w:rsidRPr="004360BF">
        <w:rPr>
          <w:lang w:val="en-AU"/>
        </w:rPr>
        <w:t xml:space="preserve"> applies to network users supplied at a connection point where:</w:t>
      </w:r>
    </w:p>
    <w:p w14:paraId="1EAA37DF" w14:textId="77777777" w:rsidR="00C24855" w:rsidRPr="004360BF" w:rsidRDefault="00C24855" w:rsidP="005570C6">
      <w:pPr>
        <w:pStyle w:val="Dot"/>
        <w:rPr>
          <w:lang w:val="en-AU"/>
        </w:rPr>
      </w:pPr>
      <w:r w:rsidRPr="004360BF">
        <w:rPr>
          <w:lang w:val="en-AU"/>
        </w:rPr>
        <w:t>Total electricity consumption, per financial year, is less than 750 </w:t>
      </w:r>
      <w:proofErr w:type="spellStart"/>
      <w:r w:rsidRPr="004360BF">
        <w:rPr>
          <w:lang w:val="en-AU"/>
        </w:rPr>
        <w:t>MWh</w:t>
      </w:r>
      <w:proofErr w:type="spellEnd"/>
      <w:r w:rsidRPr="004360BF">
        <w:rPr>
          <w:lang w:val="en-AU"/>
        </w:rPr>
        <w:t>; and</w:t>
      </w:r>
    </w:p>
    <w:p w14:paraId="032E1FDC" w14:textId="77777777" w:rsidR="00C24855" w:rsidRPr="004360BF" w:rsidRDefault="00C24855" w:rsidP="005570C6">
      <w:pPr>
        <w:pStyle w:val="Dot"/>
        <w:rPr>
          <w:lang w:val="en-AU"/>
        </w:rPr>
      </w:pPr>
      <w:r w:rsidRPr="004360BF">
        <w:rPr>
          <w:lang w:val="en-AU"/>
        </w:rPr>
        <w:t>The tariff is applicable for premises intended to be used for non-residential purposes, including:</w:t>
      </w:r>
    </w:p>
    <w:p w14:paraId="1B88F718" w14:textId="77777777" w:rsidR="00C24855" w:rsidRPr="004360BF" w:rsidRDefault="00C24855" w:rsidP="00044606">
      <w:pPr>
        <w:numPr>
          <w:ilvl w:val="1"/>
          <w:numId w:val="1"/>
        </w:numPr>
        <w:spacing w:after="80"/>
        <w:ind w:left="1434" w:hanging="357"/>
        <w:rPr>
          <w:lang w:val="en-AU"/>
        </w:rPr>
      </w:pPr>
      <w:r w:rsidRPr="004360BF">
        <w:rPr>
          <w:lang w:val="en-AU"/>
        </w:rPr>
        <w:t>Electricity used on vacant land zoned for commercial purposes;</w:t>
      </w:r>
    </w:p>
    <w:p w14:paraId="707C01B9" w14:textId="77777777" w:rsidR="00C24855" w:rsidRPr="004360BF" w:rsidRDefault="00C24855" w:rsidP="00044606">
      <w:pPr>
        <w:numPr>
          <w:ilvl w:val="1"/>
          <w:numId w:val="1"/>
        </w:numPr>
        <w:spacing w:after="80"/>
        <w:ind w:left="1434" w:hanging="357"/>
        <w:rPr>
          <w:lang w:val="en-AU"/>
        </w:rPr>
      </w:pPr>
      <w:r w:rsidRPr="004360BF">
        <w:rPr>
          <w:lang w:val="en-AU"/>
        </w:rPr>
        <w:t>Temporary supply (</w:t>
      </w:r>
      <w:proofErr w:type="spellStart"/>
      <w:r w:rsidRPr="004360BF">
        <w:rPr>
          <w:lang w:val="en-AU"/>
        </w:rPr>
        <w:t>ie</w:t>
      </w:r>
      <w:proofErr w:type="spellEnd"/>
      <w:r w:rsidRPr="004360BF">
        <w:rPr>
          <w:lang w:val="en-AU"/>
        </w:rPr>
        <w:t xml:space="preserve"> for building purposes);</w:t>
      </w:r>
    </w:p>
    <w:p w14:paraId="605B1B47" w14:textId="77777777" w:rsidR="00C24855" w:rsidRPr="004360BF" w:rsidRDefault="00C24855" w:rsidP="00044606">
      <w:pPr>
        <w:numPr>
          <w:ilvl w:val="1"/>
          <w:numId w:val="1"/>
        </w:numPr>
        <w:spacing w:after="80"/>
        <w:ind w:left="1434" w:hanging="357"/>
        <w:rPr>
          <w:lang w:val="en-AU"/>
        </w:rPr>
      </w:pPr>
      <w:r w:rsidRPr="004360BF">
        <w:rPr>
          <w:lang w:val="en-AU"/>
        </w:rPr>
        <w:t>Motels, hotels, service apartments and any form of temporary accommodation;</w:t>
      </w:r>
    </w:p>
    <w:p w14:paraId="2232636A" w14:textId="77777777" w:rsidR="00C24855" w:rsidRPr="004360BF" w:rsidRDefault="00C24855" w:rsidP="00044606">
      <w:pPr>
        <w:numPr>
          <w:ilvl w:val="1"/>
          <w:numId w:val="1"/>
        </w:numPr>
        <w:spacing w:after="80"/>
        <w:ind w:left="1434" w:hanging="357"/>
        <w:rPr>
          <w:lang w:val="en-AU"/>
        </w:rPr>
      </w:pPr>
      <w:r w:rsidRPr="004360BF">
        <w:rPr>
          <w:lang w:val="en-AU"/>
        </w:rPr>
        <w:t>Shops, offices, warehouses and industrial/manufacturing plants;</w:t>
      </w:r>
    </w:p>
    <w:p w14:paraId="021C8D36" w14:textId="77777777" w:rsidR="00C24855" w:rsidRPr="004360BF" w:rsidRDefault="00C24855" w:rsidP="00044606">
      <w:pPr>
        <w:numPr>
          <w:ilvl w:val="1"/>
          <w:numId w:val="1"/>
        </w:numPr>
        <w:spacing w:after="80"/>
        <w:ind w:left="1434" w:hanging="357"/>
        <w:rPr>
          <w:lang w:val="en-AU"/>
        </w:rPr>
      </w:pPr>
      <w:r w:rsidRPr="004360BF">
        <w:rPr>
          <w:lang w:val="en-AU"/>
        </w:rPr>
        <w:t>Mining enterprises; and</w:t>
      </w:r>
    </w:p>
    <w:p w14:paraId="1C6210D5" w14:textId="77777777" w:rsidR="00C24855" w:rsidRPr="004360BF" w:rsidRDefault="00C24855" w:rsidP="00EE7AA1">
      <w:pPr>
        <w:numPr>
          <w:ilvl w:val="1"/>
          <w:numId w:val="1"/>
        </w:numPr>
        <w:ind w:hanging="357"/>
        <w:rPr>
          <w:lang w:val="en-AU"/>
        </w:rPr>
      </w:pPr>
      <w:r w:rsidRPr="004360BF">
        <w:rPr>
          <w:lang w:val="en-AU"/>
        </w:rPr>
        <w:t>Farms.</w:t>
      </w:r>
    </w:p>
    <w:p w14:paraId="792C8868" w14:textId="66CF10A5" w:rsidR="00C24855" w:rsidRPr="004360BF" w:rsidRDefault="00C24855" w:rsidP="00C24855">
      <w:pPr>
        <w:keepNext/>
        <w:spacing w:after="120"/>
        <w:rPr>
          <w:lang w:val="en-AU"/>
        </w:rPr>
      </w:pPr>
      <w:r w:rsidRPr="004360BF">
        <w:rPr>
          <w:lang w:val="en-AU"/>
        </w:rPr>
        <w:lastRenderedPageBreak/>
        <w:t>T</w:t>
      </w:r>
      <w:r w:rsidRPr="004360BF">
        <w:rPr>
          <w:rStyle w:val="DottopChar"/>
          <w:lang w:val="en-AU"/>
        </w:rPr>
        <w:t xml:space="preserve">he </w:t>
      </w:r>
      <w:r w:rsidRPr="004360BF">
        <w:rPr>
          <w:rStyle w:val="DottopChar"/>
          <w:u w:val="single"/>
          <w:lang w:val="en-AU"/>
        </w:rPr>
        <w:t xml:space="preserve">&gt;750 </w:t>
      </w:r>
      <w:proofErr w:type="spellStart"/>
      <w:r w:rsidRPr="004360BF">
        <w:rPr>
          <w:rStyle w:val="DottopChar"/>
          <w:u w:val="single"/>
          <w:lang w:val="en-AU"/>
        </w:rPr>
        <w:t>MWh</w:t>
      </w:r>
      <w:proofErr w:type="spellEnd"/>
      <w:r w:rsidRPr="004360BF">
        <w:rPr>
          <w:rStyle w:val="DottopChar"/>
          <w:u w:val="single"/>
          <w:lang w:val="en-AU"/>
        </w:rPr>
        <w:t xml:space="preserve"> pa </w:t>
      </w:r>
      <w:r w:rsidR="005570C6" w:rsidRPr="004360BF">
        <w:rPr>
          <w:rStyle w:val="DottopChar"/>
          <w:u w:val="single"/>
          <w:lang w:val="en-AU"/>
        </w:rPr>
        <w:t>Commercial</w:t>
      </w:r>
      <w:r w:rsidRPr="004360BF">
        <w:rPr>
          <w:rStyle w:val="DottopChar"/>
          <w:u w:val="single"/>
          <w:lang w:val="en-AU"/>
        </w:rPr>
        <w:t xml:space="preserve"> LV tariff</w:t>
      </w:r>
      <w:r w:rsidRPr="004360BF">
        <w:rPr>
          <w:rStyle w:val="DottopChar"/>
          <w:lang w:val="en-AU"/>
        </w:rPr>
        <w:t xml:space="preserve"> applies </w:t>
      </w:r>
      <w:r w:rsidRPr="004360BF">
        <w:rPr>
          <w:lang w:val="en-AU"/>
        </w:rPr>
        <w:t>to network users supplied at a connection point where:</w:t>
      </w:r>
    </w:p>
    <w:p w14:paraId="3C79E422" w14:textId="77777777" w:rsidR="00C24855" w:rsidRPr="004360BF" w:rsidRDefault="00C24855" w:rsidP="005570C6">
      <w:pPr>
        <w:pStyle w:val="Dot"/>
        <w:rPr>
          <w:lang w:val="en-AU"/>
        </w:rPr>
      </w:pPr>
      <w:r w:rsidRPr="004360BF">
        <w:rPr>
          <w:lang w:val="en-AU"/>
        </w:rPr>
        <w:t>Total electricity consumption, per financial year, is greater than 750 </w:t>
      </w:r>
      <w:proofErr w:type="spellStart"/>
      <w:r w:rsidRPr="004360BF">
        <w:rPr>
          <w:lang w:val="en-AU"/>
        </w:rPr>
        <w:t>MWh</w:t>
      </w:r>
      <w:proofErr w:type="spellEnd"/>
      <w:r w:rsidRPr="004360BF">
        <w:rPr>
          <w:lang w:val="en-AU"/>
        </w:rPr>
        <w:t>; and</w:t>
      </w:r>
    </w:p>
    <w:p w14:paraId="2B31CAFD" w14:textId="77777777" w:rsidR="00C24855" w:rsidRPr="004360BF" w:rsidRDefault="00C24855" w:rsidP="005570C6">
      <w:pPr>
        <w:pStyle w:val="Dotbot"/>
        <w:rPr>
          <w:lang w:val="en-AU"/>
        </w:rPr>
      </w:pPr>
      <w:r w:rsidRPr="004360BF">
        <w:rPr>
          <w:lang w:val="en-AU"/>
        </w:rPr>
        <w:t>Electricity is supplied at a voltage level defined as low voltage - nominally 230/400 V.</w:t>
      </w:r>
    </w:p>
    <w:p w14:paraId="30450F32" w14:textId="77777777" w:rsidR="00C24855" w:rsidRPr="004360BF" w:rsidRDefault="00C24855" w:rsidP="005570C6">
      <w:pPr>
        <w:rPr>
          <w:lang w:val="en-AU"/>
        </w:rPr>
      </w:pPr>
      <w:r w:rsidRPr="004360BF">
        <w:rPr>
          <w:lang w:val="en-AU"/>
        </w:rPr>
        <w:t xml:space="preserve">The </w:t>
      </w:r>
      <w:r w:rsidRPr="004360BF">
        <w:rPr>
          <w:u w:val="single"/>
          <w:lang w:val="en-AU"/>
        </w:rPr>
        <w:t>Unmetered tariff</w:t>
      </w:r>
      <w:r w:rsidRPr="004360BF">
        <w:rPr>
          <w:lang w:val="en-AU"/>
        </w:rPr>
        <w:t xml:space="preserve"> applies to connection points that, with the agreement of Power Networks, are unmetered. In these circumstances, the consumption at the connection point is estimated.</w:t>
      </w:r>
    </w:p>
    <w:p w14:paraId="6464CF59" w14:textId="77777777" w:rsidR="00C24855" w:rsidRPr="004360BF" w:rsidRDefault="00C24855" w:rsidP="00B30BF6">
      <w:pPr>
        <w:pStyle w:val="Heading2"/>
      </w:pPr>
      <w:bookmarkStart w:id="163" w:name="_Toc387600459"/>
      <w:bookmarkStart w:id="164" w:name="_Toc417291240"/>
      <w:bookmarkStart w:id="165" w:name="_Toc417291740"/>
      <w:bookmarkStart w:id="166" w:name="_Toc417292508"/>
      <w:bookmarkStart w:id="167" w:name="_Ref291260683"/>
      <w:bookmarkStart w:id="168" w:name="_Toc291262229"/>
      <w:bookmarkStart w:id="169" w:name="_Ref292367358"/>
      <w:bookmarkStart w:id="170" w:name="_Toc417458003"/>
      <w:bookmarkStart w:id="171" w:name="_Toc418608672"/>
      <w:r w:rsidRPr="004360BF">
        <w:t>Commercial HV tariff class</w:t>
      </w:r>
      <w:bookmarkEnd w:id="163"/>
      <w:bookmarkEnd w:id="164"/>
      <w:bookmarkEnd w:id="165"/>
      <w:bookmarkEnd w:id="166"/>
      <w:bookmarkEnd w:id="167"/>
      <w:bookmarkEnd w:id="168"/>
      <w:bookmarkEnd w:id="169"/>
      <w:bookmarkEnd w:id="170"/>
      <w:bookmarkEnd w:id="171"/>
    </w:p>
    <w:p w14:paraId="0A736F8A" w14:textId="77777777" w:rsidR="00C24855" w:rsidRPr="004360BF" w:rsidRDefault="00C24855" w:rsidP="005570C6">
      <w:pPr>
        <w:pStyle w:val="Dottop"/>
        <w:rPr>
          <w:lang w:val="en-AU"/>
        </w:rPr>
      </w:pPr>
      <w:r w:rsidRPr="004360BF">
        <w:rPr>
          <w:lang w:val="en-AU"/>
        </w:rPr>
        <w:t xml:space="preserve">The Commercial HV tariff class is composed of one tariff, the </w:t>
      </w:r>
      <w:r w:rsidRPr="004360BF">
        <w:rPr>
          <w:u w:val="single"/>
          <w:lang w:val="en-AU"/>
        </w:rPr>
        <w:t xml:space="preserve">&gt;750 </w:t>
      </w:r>
      <w:proofErr w:type="spellStart"/>
      <w:r w:rsidRPr="004360BF">
        <w:rPr>
          <w:u w:val="single"/>
          <w:lang w:val="en-AU"/>
        </w:rPr>
        <w:t>MWh</w:t>
      </w:r>
      <w:proofErr w:type="spellEnd"/>
      <w:r w:rsidRPr="004360BF">
        <w:rPr>
          <w:u w:val="single"/>
          <w:lang w:val="en-AU"/>
        </w:rPr>
        <w:t xml:space="preserve"> pa Commercial HV </w:t>
      </w:r>
      <w:proofErr w:type="gramStart"/>
      <w:r w:rsidRPr="004360BF">
        <w:rPr>
          <w:u w:val="single"/>
          <w:lang w:val="en-AU"/>
        </w:rPr>
        <w:t>tariff</w:t>
      </w:r>
      <w:proofErr w:type="gramEnd"/>
      <w:r w:rsidRPr="004360BF">
        <w:rPr>
          <w:lang w:val="en-AU"/>
        </w:rPr>
        <w:t>, which applies to network users supplied at a connection point where:</w:t>
      </w:r>
    </w:p>
    <w:p w14:paraId="098AAB52" w14:textId="77777777" w:rsidR="00C24855" w:rsidRPr="004360BF" w:rsidRDefault="00C24855" w:rsidP="005570C6">
      <w:pPr>
        <w:pStyle w:val="Dot"/>
        <w:rPr>
          <w:lang w:val="en-AU"/>
        </w:rPr>
      </w:pPr>
      <w:r w:rsidRPr="004360BF">
        <w:rPr>
          <w:lang w:val="en-AU"/>
        </w:rPr>
        <w:t>Total electricity consumption, per financial year, is greater than 750 </w:t>
      </w:r>
      <w:proofErr w:type="spellStart"/>
      <w:r w:rsidRPr="004360BF">
        <w:rPr>
          <w:lang w:val="en-AU"/>
        </w:rPr>
        <w:t>MWh</w:t>
      </w:r>
      <w:proofErr w:type="spellEnd"/>
      <w:r w:rsidRPr="004360BF">
        <w:rPr>
          <w:lang w:val="en-AU"/>
        </w:rPr>
        <w:t>; and</w:t>
      </w:r>
    </w:p>
    <w:p w14:paraId="27DB2662" w14:textId="77777777" w:rsidR="00C24855" w:rsidRPr="004360BF" w:rsidRDefault="00C24855" w:rsidP="005570C6">
      <w:pPr>
        <w:pStyle w:val="Dotbot"/>
        <w:rPr>
          <w:lang w:val="en-AU"/>
        </w:rPr>
      </w:pPr>
      <w:r w:rsidRPr="004360BF">
        <w:rPr>
          <w:lang w:val="en-AU"/>
        </w:rPr>
        <w:t>Electricity is supplied at a voltage level of 11 kilovolts (kV) or higher.</w:t>
      </w:r>
    </w:p>
    <w:p w14:paraId="1D5C3CEB" w14:textId="77777777" w:rsidR="00C24855" w:rsidRPr="004360BF" w:rsidRDefault="00C24855" w:rsidP="00B30BF6">
      <w:pPr>
        <w:pStyle w:val="Heading2"/>
      </w:pPr>
      <w:bookmarkStart w:id="172" w:name="_Toc387600460"/>
      <w:bookmarkStart w:id="173" w:name="_Toc417291241"/>
      <w:bookmarkStart w:id="174" w:name="_Toc417291741"/>
      <w:bookmarkStart w:id="175" w:name="_Toc417292509"/>
      <w:bookmarkStart w:id="176" w:name="_Toc291262230"/>
      <w:bookmarkStart w:id="177" w:name="_Ref292367210"/>
      <w:bookmarkStart w:id="178" w:name="_Toc417458004"/>
      <w:bookmarkStart w:id="179" w:name="_Toc418608673"/>
      <w:r w:rsidRPr="004360BF">
        <w:t>Tariff reclassification</w:t>
      </w:r>
      <w:bookmarkEnd w:id="172"/>
      <w:bookmarkEnd w:id="173"/>
      <w:bookmarkEnd w:id="174"/>
      <w:bookmarkEnd w:id="175"/>
      <w:bookmarkEnd w:id="176"/>
      <w:bookmarkEnd w:id="177"/>
      <w:bookmarkEnd w:id="178"/>
      <w:bookmarkEnd w:id="179"/>
    </w:p>
    <w:p w14:paraId="7699C980" w14:textId="432DC2A2" w:rsidR="00C24855" w:rsidRPr="004360BF" w:rsidRDefault="00C24855" w:rsidP="005570C6">
      <w:pPr>
        <w:rPr>
          <w:lang w:val="en-AU"/>
        </w:rPr>
      </w:pPr>
      <w:r w:rsidRPr="004360BF">
        <w:rPr>
          <w:lang w:val="en-AU"/>
        </w:rPr>
        <w:t xml:space="preserve">Power Networks will assign new customers to tariff classes on the same basis as described in sections </w:t>
      </w:r>
      <w:r w:rsidR="009D0181" w:rsidRPr="004360BF">
        <w:rPr>
          <w:lang w:val="en-AU"/>
        </w:rPr>
        <w:fldChar w:fldCharType="begin"/>
      </w:r>
      <w:r w:rsidR="009D0181" w:rsidRPr="004360BF">
        <w:rPr>
          <w:lang w:val="en-AU"/>
        </w:rPr>
        <w:instrText xml:space="preserve"> REF _Ref292367207 \r \h </w:instrText>
      </w:r>
      <w:r w:rsidR="009D0181" w:rsidRPr="004360BF">
        <w:rPr>
          <w:lang w:val="en-AU"/>
        </w:rPr>
      </w:r>
      <w:r w:rsidR="009D0181" w:rsidRPr="004360BF">
        <w:rPr>
          <w:lang w:val="en-AU"/>
        </w:rPr>
        <w:fldChar w:fldCharType="separate"/>
      </w:r>
      <w:r w:rsidR="008D3215">
        <w:rPr>
          <w:lang w:val="en-AU"/>
        </w:rPr>
        <w:t>5.2</w:t>
      </w:r>
      <w:r w:rsidR="009D0181" w:rsidRPr="004360BF">
        <w:rPr>
          <w:lang w:val="en-AU"/>
        </w:rPr>
        <w:fldChar w:fldCharType="end"/>
      </w:r>
      <w:r w:rsidR="009D0181" w:rsidRPr="004360BF">
        <w:rPr>
          <w:lang w:val="en-AU"/>
        </w:rPr>
        <w:t xml:space="preserve"> to </w:t>
      </w:r>
      <w:r w:rsidR="009D0181" w:rsidRPr="004360BF">
        <w:rPr>
          <w:lang w:val="en-AU"/>
        </w:rPr>
        <w:fldChar w:fldCharType="begin"/>
      </w:r>
      <w:r w:rsidR="009D0181" w:rsidRPr="004360BF">
        <w:rPr>
          <w:lang w:val="en-AU"/>
        </w:rPr>
        <w:instrText xml:space="preserve"> REF _Ref292367358 \r \h </w:instrText>
      </w:r>
      <w:r w:rsidR="009D0181" w:rsidRPr="004360BF">
        <w:rPr>
          <w:lang w:val="en-AU"/>
        </w:rPr>
      </w:r>
      <w:r w:rsidR="009D0181" w:rsidRPr="004360BF">
        <w:rPr>
          <w:lang w:val="en-AU"/>
        </w:rPr>
        <w:fldChar w:fldCharType="separate"/>
      </w:r>
      <w:r w:rsidR="008D3215">
        <w:rPr>
          <w:lang w:val="en-AU"/>
        </w:rPr>
        <w:t>5.4</w:t>
      </w:r>
      <w:r w:rsidR="009D0181" w:rsidRPr="004360BF">
        <w:rPr>
          <w:lang w:val="en-AU"/>
        </w:rPr>
        <w:fldChar w:fldCharType="end"/>
      </w:r>
      <w:r w:rsidRPr="004360BF">
        <w:rPr>
          <w:lang w:val="en-AU"/>
        </w:rPr>
        <w:t xml:space="preserve">, on which it has assessed and classified its existing customers. In the event that Power Networks is required to reassign a customer to a different tariff class (for example, if the purpose of consumption at the premises is changed), Power Networks will follow this classification basis, taking into account the requirements of Schedule 6 of Part B of the 2014 NPD Final Determination. </w:t>
      </w:r>
    </w:p>
    <w:p w14:paraId="04D4344E" w14:textId="77777777" w:rsidR="00C24855" w:rsidRPr="004360BF" w:rsidRDefault="00C24855" w:rsidP="005570C6">
      <w:pPr>
        <w:rPr>
          <w:lang w:val="en-AU"/>
        </w:rPr>
      </w:pPr>
      <w:r w:rsidRPr="004360BF">
        <w:rPr>
          <w:lang w:val="en-AU"/>
        </w:rPr>
        <w:t xml:space="preserve">Consistent with Schedule 6 of Part B of the 2014 NPD Final Determination, Power Networks has </w:t>
      </w:r>
      <w:r w:rsidR="00C909CD" w:rsidRPr="004360BF">
        <w:rPr>
          <w:lang w:val="en-AU"/>
        </w:rPr>
        <w:t xml:space="preserve">developed and </w:t>
      </w:r>
      <w:r w:rsidRPr="004360BF">
        <w:rPr>
          <w:lang w:val="en-AU"/>
        </w:rPr>
        <w:t xml:space="preserve">implemented an internal procedure that it will follow in assigning a new retail customer to a tariff class and in reviewing the tariff classification of a retail customer, if the customer objects to a tariff classification or reclassification.  </w:t>
      </w:r>
    </w:p>
    <w:p w14:paraId="5BE7511A" w14:textId="77777777" w:rsidR="00C24855" w:rsidRPr="004360BF" w:rsidRDefault="00C24855" w:rsidP="00B30BF6">
      <w:pPr>
        <w:pStyle w:val="Heading2"/>
      </w:pPr>
      <w:bookmarkStart w:id="180" w:name="_Toc387600461"/>
      <w:bookmarkStart w:id="181" w:name="_Toc417291242"/>
      <w:bookmarkStart w:id="182" w:name="_Toc417291742"/>
      <w:bookmarkStart w:id="183" w:name="_Toc417292510"/>
      <w:bookmarkStart w:id="184" w:name="_Toc291262231"/>
      <w:bookmarkStart w:id="185" w:name="_Toc417458005"/>
      <w:bookmarkStart w:id="186" w:name="_Toc418608674"/>
      <w:r w:rsidRPr="004360BF">
        <w:t>Generators</w:t>
      </w:r>
      <w:bookmarkEnd w:id="180"/>
      <w:bookmarkEnd w:id="181"/>
      <w:bookmarkEnd w:id="182"/>
      <w:bookmarkEnd w:id="183"/>
      <w:bookmarkEnd w:id="184"/>
      <w:bookmarkEnd w:id="185"/>
      <w:bookmarkEnd w:id="186"/>
    </w:p>
    <w:p w14:paraId="541F3832" w14:textId="77777777" w:rsidR="00C24855" w:rsidRPr="004360BF" w:rsidRDefault="00C24855" w:rsidP="005570C6">
      <w:pPr>
        <w:rPr>
          <w:lang w:val="en-AU"/>
        </w:rPr>
      </w:pPr>
      <w:r w:rsidRPr="004360BF">
        <w:rPr>
          <w:lang w:val="en-AU"/>
        </w:rPr>
        <w:t xml:space="preserve">Standard control network tariffs do not apply to generator users, with the exception of the following. </w:t>
      </w:r>
    </w:p>
    <w:p w14:paraId="4CBBC9A1" w14:textId="77777777" w:rsidR="00C24855" w:rsidRPr="004360BF" w:rsidRDefault="00C24855" w:rsidP="005570C6">
      <w:pPr>
        <w:rPr>
          <w:lang w:val="en-AU"/>
        </w:rPr>
      </w:pPr>
      <w:r w:rsidRPr="004360BF">
        <w:rPr>
          <w:lang w:val="en-AU"/>
        </w:rPr>
        <w:t xml:space="preserve">The only instance when standard control network tariffs apply to customers with generation facilities is when the customer requests network capacity to be reserved for purposes such as standby supply. In this case, the allocation to a tariff class will be made on the same basis as other customers; this being the extent and nature of consumption, and the nature of the connection to the network. The same standard control network tariffs will apply as for other customers. The energy charge will be based on actual energy consumed over the period. However, the demand charge may apply to a demand schedule (as agreed to with the customer) in recognition </w:t>
      </w:r>
      <w:r w:rsidRPr="004360BF">
        <w:rPr>
          <w:lang w:val="en-AU"/>
        </w:rPr>
        <w:lastRenderedPageBreak/>
        <w:t>that requested capacity will need to be made available to the customer even if no supply is taken.</w:t>
      </w:r>
    </w:p>
    <w:p w14:paraId="5B32FBCE" w14:textId="77777777" w:rsidR="00DB4B69" w:rsidRPr="004360BF" w:rsidRDefault="00DB4B69" w:rsidP="00B30BF6">
      <w:pPr>
        <w:pStyle w:val="Heading1"/>
      </w:pPr>
      <w:bookmarkStart w:id="187" w:name="_Toc387576753"/>
      <w:bookmarkStart w:id="188" w:name="_Toc387583310"/>
      <w:bookmarkStart w:id="189" w:name="_Toc387576754"/>
      <w:bookmarkStart w:id="190" w:name="_Toc387583311"/>
      <w:bookmarkStart w:id="191" w:name="_Toc387576755"/>
      <w:bookmarkStart w:id="192" w:name="_Toc387583312"/>
      <w:bookmarkStart w:id="193" w:name="_Toc387576756"/>
      <w:bookmarkStart w:id="194" w:name="_Toc387583313"/>
      <w:bookmarkStart w:id="195" w:name="_Ref260820406"/>
      <w:bookmarkStart w:id="196" w:name="_Ref260820574"/>
      <w:bookmarkStart w:id="197" w:name="_Toc417291243"/>
      <w:bookmarkStart w:id="198" w:name="_Toc417291743"/>
      <w:bookmarkStart w:id="199" w:name="_Toc417292511"/>
      <w:bookmarkStart w:id="200" w:name="_Toc291262232"/>
      <w:bookmarkStart w:id="201" w:name="_Toc417458006"/>
      <w:bookmarkStart w:id="202" w:name="_Toc418608675"/>
      <w:bookmarkStart w:id="203" w:name="_Ref258598150"/>
      <w:bookmarkStart w:id="204" w:name="_Ref258598257"/>
      <w:bookmarkEnd w:id="112"/>
      <w:bookmarkEnd w:id="113"/>
      <w:bookmarkEnd w:id="114"/>
      <w:bookmarkEnd w:id="187"/>
      <w:bookmarkEnd w:id="188"/>
      <w:bookmarkEnd w:id="189"/>
      <w:bookmarkEnd w:id="190"/>
      <w:bookmarkEnd w:id="191"/>
      <w:bookmarkEnd w:id="192"/>
      <w:bookmarkEnd w:id="193"/>
      <w:bookmarkEnd w:id="194"/>
      <w:r w:rsidRPr="004360BF">
        <w:t xml:space="preserve">Reference </w:t>
      </w:r>
      <w:r w:rsidR="00D66923" w:rsidRPr="004360BF">
        <w:t>T</w:t>
      </w:r>
      <w:r w:rsidRPr="004360BF">
        <w:t>ariffs for Direct Control Services</w:t>
      </w:r>
      <w:bookmarkEnd w:id="195"/>
      <w:bookmarkEnd w:id="196"/>
      <w:bookmarkEnd w:id="197"/>
      <w:bookmarkEnd w:id="198"/>
      <w:bookmarkEnd w:id="199"/>
      <w:bookmarkEnd w:id="200"/>
      <w:bookmarkEnd w:id="201"/>
      <w:bookmarkEnd w:id="202"/>
    </w:p>
    <w:p w14:paraId="4DF2F144" w14:textId="77777777" w:rsidR="00C24855" w:rsidRPr="004360BF" w:rsidRDefault="00C909CD" w:rsidP="005570C6">
      <w:pPr>
        <w:rPr>
          <w:lang w:val="en-AU"/>
        </w:rPr>
      </w:pPr>
      <w:r w:rsidRPr="004360BF">
        <w:rPr>
          <w:lang w:val="en-AU"/>
        </w:rPr>
        <w:t>In 2015/16</w:t>
      </w:r>
      <w:r w:rsidR="00C24855" w:rsidRPr="004360BF">
        <w:rPr>
          <w:lang w:val="en-AU"/>
        </w:rPr>
        <w:t xml:space="preserve"> Power Networks is </w:t>
      </w:r>
      <w:r w:rsidRPr="004360BF">
        <w:rPr>
          <w:lang w:val="en-AU"/>
        </w:rPr>
        <w:t>continuing</w:t>
      </w:r>
      <w:r w:rsidR="00C24855" w:rsidRPr="004360BF">
        <w:rPr>
          <w:lang w:val="en-AU"/>
        </w:rPr>
        <w:t xml:space="preserve"> to make a number of incremental changes that will pave the way for more cost reflective tariffs, which in turn will improve the price signalling between tariff charging parameters and provide more equitable customer outcomes. </w:t>
      </w:r>
    </w:p>
    <w:p w14:paraId="7C1E98F6" w14:textId="77777777" w:rsidR="00AB548C" w:rsidRPr="004360BF" w:rsidRDefault="00AB548C" w:rsidP="00B30BF6">
      <w:pPr>
        <w:pStyle w:val="Heading2"/>
      </w:pPr>
      <w:bookmarkStart w:id="205" w:name="_Toc417291244"/>
      <w:bookmarkStart w:id="206" w:name="_Toc417291744"/>
      <w:bookmarkStart w:id="207" w:name="_Toc417292512"/>
      <w:bookmarkStart w:id="208" w:name="_Toc291262233"/>
      <w:bookmarkStart w:id="209" w:name="_Ref291313086"/>
      <w:bookmarkStart w:id="210" w:name="_Toc417458007"/>
      <w:bookmarkStart w:id="211" w:name="_Toc418608676"/>
      <w:r w:rsidRPr="004360BF">
        <w:t>Standard Control Services</w:t>
      </w:r>
      <w:bookmarkEnd w:id="205"/>
      <w:bookmarkEnd w:id="206"/>
      <w:bookmarkEnd w:id="207"/>
      <w:bookmarkEnd w:id="208"/>
      <w:bookmarkEnd w:id="209"/>
      <w:bookmarkEnd w:id="210"/>
      <w:bookmarkEnd w:id="211"/>
      <w:r w:rsidRPr="004360BF">
        <w:t xml:space="preserve"> </w:t>
      </w:r>
    </w:p>
    <w:p w14:paraId="3CDF1EB6" w14:textId="4959E5DA" w:rsidR="00DE1854" w:rsidRPr="004360BF" w:rsidRDefault="00DE1854" w:rsidP="005570C6">
      <w:pPr>
        <w:keepNext/>
        <w:rPr>
          <w:lang w:val="en-AU"/>
        </w:rPr>
      </w:pPr>
      <w:r w:rsidRPr="004360BF">
        <w:rPr>
          <w:lang w:val="en-AU"/>
        </w:rPr>
        <w:t xml:space="preserve">In establishing the reference tariffs to apply to </w:t>
      </w:r>
      <w:r w:rsidR="005D3FF0" w:rsidRPr="004360BF">
        <w:rPr>
          <w:lang w:val="en-AU"/>
        </w:rPr>
        <w:t xml:space="preserve">standard </w:t>
      </w:r>
      <w:r w:rsidRPr="004360BF">
        <w:rPr>
          <w:lang w:val="en-AU"/>
        </w:rPr>
        <w:t xml:space="preserve">control services, </w:t>
      </w:r>
      <w:r w:rsidR="003C7685" w:rsidRPr="004360BF">
        <w:rPr>
          <w:lang w:val="en-AU"/>
        </w:rPr>
        <w:t>Power</w:t>
      </w:r>
      <w:r w:rsidRPr="004360BF">
        <w:rPr>
          <w:lang w:val="en-AU"/>
        </w:rPr>
        <w:t xml:space="preserve"> Networ</w:t>
      </w:r>
      <w:r w:rsidR="003C7685" w:rsidRPr="004360BF">
        <w:rPr>
          <w:lang w:val="en-AU"/>
        </w:rPr>
        <w:t xml:space="preserve">ks has taken into consideration the factors set out in </w:t>
      </w:r>
      <w:r w:rsidR="00CC1083" w:rsidRPr="004360BF">
        <w:rPr>
          <w:lang w:val="en-AU"/>
        </w:rPr>
        <w:fldChar w:fldCharType="begin"/>
      </w:r>
      <w:r w:rsidR="00CC1083" w:rsidRPr="004360BF">
        <w:rPr>
          <w:lang w:val="en-AU"/>
        </w:rPr>
        <w:instrText xml:space="preserve"> REF _Ref260822134 \h </w:instrText>
      </w:r>
      <w:r w:rsidR="00CC1083" w:rsidRPr="004360BF">
        <w:rPr>
          <w:lang w:val="en-AU"/>
        </w:rPr>
      </w:r>
      <w:r w:rsidR="00CC1083" w:rsidRPr="004360BF">
        <w:rPr>
          <w:lang w:val="en-AU"/>
        </w:rPr>
        <w:fldChar w:fldCharType="separate"/>
      </w:r>
      <w:r w:rsidR="008D3215" w:rsidRPr="004519A6">
        <w:rPr>
          <w:rFonts w:cs="Tahoma"/>
          <w:lang w:val="en-AU"/>
        </w:rPr>
        <w:t xml:space="preserve">Table </w:t>
      </w:r>
      <w:r w:rsidR="008D3215">
        <w:rPr>
          <w:rFonts w:cs="Tahoma"/>
          <w:noProof/>
          <w:lang w:val="en-AU"/>
        </w:rPr>
        <w:t>4</w:t>
      </w:r>
      <w:r w:rsidR="00CC1083" w:rsidRPr="004360BF">
        <w:rPr>
          <w:lang w:val="en-AU"/>
        </w:rPr>
        <w:fldChar w:fldCharType="end"/>
      </w:r>
      <w:r w:rsidR="003C7685" w:rsidRPr="004360BF">
        <w:rPr>
          <w:lang w:val="en-AU"/>
        </w:rPr>
        <w:t xml:space="preserve">. </w:t>
      </w:r>
    </w:p>
    <w:p w14:paraId="56AA0402" w14:textId="77777777" w:rsidR="00563A82" w:rsidRPr="004360BF" w:rsidRDefault="00563A82" w:rsidP="00C909CD">
      <w:pPr>
        <w:pStyle w:val="Caption"/>
        <w:keepLines/>
        <w:rPr>
          <w:lang w:val="en-AU"/>
        </w:rPr>
      </w:pPr>
      <w:bookmarkStart w:id="212" w:name="_Ref260822134"/>
      <w:r w:rsidRPr="004519A6">
        <w:rPr>
          <w:rFonts w:cs="Tahoma"/>
          <w:lang w:val="en-AU"/>
        </w:rPr>
        <w:t xml:space="preserve">Table </w:t>
      </w:r>
      <w:r w:rsidR="00517DD9" w:rsidRPr="004519A6">
        <w:rPr>
          <w:rFonts w:cs="Tahoma"/>
          <w:lang w:val="en-AU"/>
        </w:rPr>
        <w:fldChar w:fldCharType="begin"/>
      </w:r>
      <w:r w:rsidRPr="004519A6">
        <w:rPr>
          <w:rFonts w:cs="Tahoma"/>
          <w:lang w:val="en-AU"/>
        </w:rPr>
        <w:instrText xml:space="preserve"> SEQ Table \* ARABIC </w:instrText>
      </w:r>
      <w:r w:rsidR="00517DD9" w:rsidRPr="004519A6">
        <w:rPr>
          <w:rFonts w:cs="Tahoma"/>
          <w:lang w:val="en-AU"/>
        </w:rPr>
        <w:fldChar w:fldCharType="separate"/>
      </w:r>
      <w:r w:rsidR="008D3215">
        <w:rPr>
          <w:rFonts w:cs="Tahoma"/>
          <w:noProof/>
          <w:lang w:val="en-AU"/>
        </w:rPr>
        <w:t>4</w:t>
      </w:r>
      <w:r w:rsidR="00517DD9" w:rsidRPr="004519A6">
        <w:rPr>
          <w:rFonts w:cs="Tahoma"/>
          <w:lang w:val="en-AU"/>
        </w:rPr>
        <w:fldChar w:fldCharType="end"/>
      </w:r>
      <w:bookmarkEnd w:id="212"/>
      <w:r w:rsidRPr="004360BF">
        <w:rPr>
          <w:lang w:val="en-AU"/>
        </w:rPr>
        <w:t xml:space="preserve"> – Power Networks’ consideration of pricing </w:t>
      </w:r>
      <w:r w:rsidR="00750C6D" w:rsidRPr="004360BF">
        <w:rPr>
          <w:lang w:val="en-AU"/>
        </w:rPr>
        <w:t>principles</w:t>
      </w:r>
      <w:r w:rsidR="009C3D2A" w:rsidRPr="004360BF">
        <w:rPr>
          <w:lang w:val="en-A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6277"/>
      </w:tblGrid>
      <w:tr w:rsidR="00571F49" w:rsidRPr="004360BF" w14:paraId="5C4C5912" w14:textId="77777777" w:rsidTr="009A19FD">
        <w:trPr>
          <w:tblHeader/>
        </w:trPr>
        <w:tc>
          <w:tcPr>
            <w:tcW w:w="2857" w:type="dxa"/>
            <w:shd w:val="solid" w:color="C6D9F1" w:themeColor="text2" w:themeTint="33" w:fill="auto"/>
          </w:tcPr>
          <w:p w14:paraId="53689D0A" w14:textId="77777777" w:rsidR="00EA383D" w:rsidRPr="004360BF" w:rsidRDefault="00563A82" w:rsidP="00C909CD">
            <w:pPr>
              <w:keepNext/>
              <w:keepLines/>
              <w:spacing w:before="40" w:after="40"/>
              <w:ind w:right="-565"/>
              <w:rPr>
                <w:b/>
                <w:sz w:val="22"/>
                <w:szCs w:val="22"/>
                <w:lang w:val="en-AU"/>
              </w:rPr>
            </w:pPr>
            <w:r w:rsidRPr="004360BF">
              <w:rPr>
                <w:b/>
                <w:sz w:val="22"/>
                <w:szCs w:val="22"/>
                <w:lang w:val="en-AU"/>
              </w:rPr>
              <w:t xml:space="preserve">Pricing </w:t>
            </w:r>
            <w:r w:rsidR="00750C6D" w:rsidRPr="004360BF">
              <w:rPr>
                <w:b/>
                <w:sz w:val="22"/>
                <w:szCs w:val="22"/>
                <w:lang w:val="en-AU"/>
              </w:rPr>
              <w:t>principles</w:t>
            </w:r>
          </w:p>
          <w:p w14:paraId="6F5D5A14" w14:textId="77777777" w:rsidR="009F5634" w:rsidRPr="004360BF" w:rsidRDefault="009F5634" w:rsidP="00C909CD">
            <w:pPr>
              <w:keepNext/>
              <w:keepLines/>
              <w:spacing w:before="40" w:after="40"/>
              <w:ind w:right="-565"/>
              <w:rPr>
                <w:b/>
                <w:sz w:val="20"/>
                <w:szCs w:val="20"/>
                <w:lang w:val="en-AU"/>
              </w:rPr>
            </w:pPr>
            <w:r w:rsidRPr="004360BF">
              <w:rPr>
                <w:b/>
                <w:sz w:val="20"/>
                <w:szCs w:val="20"/>
                <w:lang w:val="en-AU"/>
              </w:rPr>
              <w:t xml:space="preserve">RIN clause 16.3; </w:t>
            </w:r>
            <w:r w:rsidR="001766E3" w:rsidRPr="004360BF">
              <w:rPr>
                <w:b/>
                <w:sz w:val="20"/>
                <w:szCs w:val="20"/>
                <w:lang w:val="en-AU"/>
              </w:rPr>
              <w:t>and</w:t>
            </w:r>
            <w:r w:rsidRPr="004360BF">
              <w:rPr>
                <w:b/>
                <w:sz w:val="20"/>
                <w:szCs w:val="20"/>
                <w:lang w:val="en-AU"/>
              </w:rPr>
              <w:t xml:space="preserve"> </w:t>
            </w:r>
          </w:p>
          <w:p w14:paraId="6B559C1C" w14:textId="77777777" w:rsidR="009C3D2A" w:rsidRPr="004360BF" w:rsidRDefault="009F5634" w:rsidP="00C909CD">
            <w:pPr>
              <w:keepNext/>
              <w:keepLines/>
              <w:spacing w:before="40" w:after="40"/>
              <w:ind w:right="-565"/>
              <w:rPr>
                <w:b/>
                <w:sz w:val="20"/>
                <w:szCs w:val="20"/>
                <w:lang w:val="en-AU"/>
              </w:rPr>
            </w:pPr>
            <w:r w:rsidRPr="004360BF">
              <w:rPr>
                <w:b/>
                <w:sz w:val="20"/>
                <w:szCs w:val="20"/>
                <w:lang w:val="en-AU"/>
              </w:rPr>
              <w:t>TPA Code clause 74(1)(b)</w:t>
            </w:r>
          </w:p>
        </w:tc>
        <w:tc>
          <w:tcPr>
            <w:tcW w:w="6277" w:type="dxa"/>
            <w:shd w:val="solid" w:color="C6D9F1" w:themeColor="text2" w:themeTint="33" w:fill="auto"/>
          </w:tcPr>
          <w:p w14:paraId="4E52DF46" w14:textId="77777777" w:rsidR="00EA383D" w:rsidRPr="004360BF" w:rsidRDefault="00EA383D" w:rsidP="00C909CD">
            <w:pPr>
              <w:keepNext/>
              <w:keepLines/>
              <w:spacing w:before="40" w:after="40"/>
              <w:rPr>
                <w:b/>
                <w:sz w:val="22"/>
                <w:szCs w:val="22"/>
                <w:lang w:val="en-AU"/>
              </w:rPr>
            </w:pPr>
            <w:r w:rsidRPr="004360BF">
              <w:rPr>
                <w:b/>
                <w:sz w:val="22"/>
                <w:szCs w:val="22"/>
                <w:lang w:val="en-AU"/>
              </w:rPr>
              <w:t>Power Networks’ consideration</w:t>
            </w:r>
          </w:p>
        </w:tc>
      </w:tr>
      <w:tr w:rsidR="003D18C5" w:rsidRPr="004360BF" w14:paraId="2C112E13" w14:textId="77777777" w:rsidTr="009A19FD">
        <w:tc>
          <w:tcPr>
            <w:tcW w:w="2857" w:type="dxa"/>
          </w:tcPr>
          <w:p w14:paraId="7801DCCE" w14:textId="77777777" w:rsidR="003D18C5" w:rsidRPr="004360BF" w:rsidRDefault="003D18C5" w:rsidP="00EE7AA1">
            <w:pPr>
              <w:keepNext/>
              <w:keepLines/>
              <w:numPr>
                <w:ilvl w:val="0"/>
                <w:numId w:val="9"/>
              </w:numPr>
              <w:spacing w:before="40" w:after="40"/>
              <w:ind w:left="568" w:right="18" w:hanging="568"/>
              <w:rPr>
                <w:sz w:val="22"/>
                <w:szCs w:val="22"/>
                <w:lang w:val="en-AU"/>
              </w:rPr>
            </w:pPr>
            <w:r w:rsidRPr="004360BF">
              <w:rPr>
                <w:sz w:val="22"/>
                <w:szCs w:val="22"/>
                <w:lang w:val="en-AU"/>
              </w:rPr>
              <w:t>the user's geographical and electrical location;</w:t>
            </w:r>
          </w:p>
        </w:tc>
        <w:tc>
          <w:tcPr>
            <w:tcW w:w="6277" w:type="dxa"/>
          </w:tcPr>
          <w:p w14:paraId="7A80BFCC" w14:textId="7491B973" w:rsidR="003D18C5" w:rsidRPr="004360BF" w:rsidRDefault="003D18C5" w:rsidP="00C909CD">
            <w:pPr>
              <w:keepNext/>
              <w:keepLines/>
              <w:spacing w:before="40" w:after="40"/>
              <w:rPr>
                <w:sz w:val="22"/>
                <w:szCs w:val="22"/>
                <w:lang w:val="en-AU"/>
              </w:rPr>
            </w:pPr>
            <w:r w:rsidRPr="004360BF">
              <w:rPr>
                <w:sz w:val="22"/>
                <w:szCs w:val="22"/>
                <w:lang w:val="en-AU"/>
              </w:rPr>
              <w:t xml:space="preserve">Uniform network tariffs </w:t>
            </w:r>
            <w:r w:rsidR="00947E15" w:rsidRPr="004360BF">
              <w:rPr>
                <w:sz w:val="22"/>
                <w:szCs w:val="22"/>
                <w:lang w:val="en-AU"/>
              </w:rPr>
              <w:t xml:space="preserve">are applied </w:t>
            </w:r>
            <w:r w:rsidRPr="004360BF">
              <w:rPr>
                <w:sz w:val="22"/>
                <w:szCs w:val="22"/>
                <w:lang w:val="en-AU"/>
              </w:rPr>
              <w:t>across Power Networks’ three regulated systems (Darwin-Katherine, Alice Springs and Tennant Creek). A network user’s electrical location is much more reflective of costs</w:t>
            </w:r>
            <w:r w:rsidR="005570C6" w:rsidRPr="004360BF">
              <w:rPr>
                <w:sz w:val="22"/>
                <w:szCs w:val="22"/>
                <w:lang w:val="en-AU"/>
              </w:rPr>
              <w:t xml:space="preserve"> than the geographic location</w:t>
            </w:r>
            <w:r w:rsidRPr="004360BF">
              <w:rPr>
                <w:sz w:val="22"/>
                <w:szCs w:val="22"/>
                <w:lang w:val="en-AU"/>
              </w:rPr>
              <w:t>, and in the interests of balancing different pricing objectives</w:t>
            </w:r>
            <w:r w:rsidR="007B1D27" w:rsidRPr="004360BF">
              <w:rPr>
                <w:sz w:val="22"/>
                <w:szCs w:val="22"/>
                <w:lang w:val="en-AU"/>
              </w:rPr>
              <w:t xml:space="preserve"> and reducing transaction costs</w:t>
            </w:r>
            <w:r w:rsidRPr="004360BF">
              <w:rPr>
                <w:sz w:val="22"/>
                <w:szCs w:val="22"/>
                <w:lang w:val="en-AU"/>
              </w:rPr>
              <w:t>, Power Networks has chosen to apply uniform network tariffs to reduce the level of complexity.</w:t>
            </w:r>
          </w:p>
          <w:p w14:paraId="384AE3C7" w14:textId="77777777" w:rsidR="003D18C5" w:rsidRPr="004360BF" w:rsidRDefault="00947E15" w:rsidP="00C909CD">
            <w:pPr>
              <w:keepNext/>
              <w:keepLines/>
              <w:spacing w:before="80" w:after="40"/>
              <w:rPr>
                <w:sz w:val="22"/>
                <w:szCs w:val="22"/>
                <w:highlight w:val="yellow"/>
                <w:lang w:val="en-AU"/>
              </w:rPr>
            </w:pPr>
            <w:r w:rsidRPr="004360BF">
              <w:rPr>
                <w:sz w:val="22"/>
                <w:szCs w:val="22"/>
                <w:lang w:val="en-AU"/>
              </w:rPr>
              <w:t>N</w:t>
            </w:r>
            <w:r w:rsidR="003D18C5" w:rsidRPr="004360BF">
              <w:rPr>
                <w:sz w:val="22"/>
                <w:szCs w:val="22"/>
                <w:lang w:val="en-AU"/>
              </w:rPr>
              <w:t xml:space="preserve">etwork tariffs for larger customers (with annual consumption in excess of 750 </w:t>
            </w:r>
            <w:proofErr w:type="spellStart"/>
            <w:r w:rsidR="003D18C5" w:rsidRPr="004360BF">
              <w:rPr>
                <w:sz w:val="22"/>
                <w:szCs w:val="22"/>
                <w:lang w:val="en-AU"/>
              </w:rPr>
              <w:t>MWh</w:t>
            </w:r>
            <w:proofErr w:type="spellEnd"/>
            <w:r w:rsidR="003D18C5" w:rsidRPr="004360BF">
              <w:rPr>
                <w:sz w:val="22"/>
                <w:szCs w:val="22"/>
                <w:lang w:val="en-AU"/>
              </w:rPr>
              <w:t xml:space="preserve">) </w:t>
            </w:r>
            <w:r w:rsidRPr="004360BF">
              <w:rPr>
                <w:sz w:val="22"/>
                <w:szCs w:val="22"/>
                <w:lang w:val="en-AU"/>
              </w:rPr>
              <w:t>are</w:t>
            </w:r>
            <w:r w:rsidR="003D18C5" w:rsidRPr="004360BF">
              <w:rPr>
                <w:sz w:val="22"/>
                <w:szCs w:val="22"/>
                <w:lang w:val="en-AU"/>
              </w:rPr>
              <w:t xml:space="preserve"> split </w:t>
            </w:r>
            <w:r w:rsidRPr="004360BF">
              <w:rPr>
                <w:sz w:val="22"/>
                <w:szCs w:val="22"/>
                <w:lang w:val="en-AU"/>
              </w:rPr>
              <w:t>into</w:t>
            </w:r>
            <w:r w:rsidR="003D18C5" w:rsidRPr="004360BF">
              <w:rPr>
                <w:sz w:val="22"/>
                <w:szCs w:val="22"/>
                <w:lang w:val="en-AU"/>
              </w:rPr>
              <w:t xml:space="preserve"> separate tariffs for high voltage and low voltage connected customers, thereby reflecting their electrical location. </w:t>
            </w:r>
          </w:p>
        </w:tc>
      </w:tr>
      <w:tr w:rsidR="003D18C5" w:rsidRPr="004360BF" w14:paraId="6C6F7F54" w14:textId="77777777" w:rsidTr="009A19FD">
        <w:tc>
          <w:tcPr>
            <w:tcW w:w="2857" w:type="dxa"/>
          </w:tcPr>
          <w:p w14:paraId="2A214E25" w14:textId="77777777" w:rsidR="003D18C5" w:rsidRPr="004360BF" w:rsidRDefault="003D18C5" w:rsidP="00EE7AA1">
            <w:pPr>
              <w:numPr>
                <w:ilvl w:val="0"/>
                <w:numId w:val="9"/>
              </w:numPr>
              <w:spacing w:before="40" w:after="40"/>
              <w:ind w:left="568" w:right="18" w:hanging="568"/>
              <w:rPr>
                <w:sz w:val="22"/>
                <w:szCs w:val="22"/>
                <w:lang w:val="en-AU"/>
              </w:rPr>
            </w:pPr>
            <w:r w:rsidRPr="004360BF">
              <w:rPr>
                <w:sz w:val="22"/>
                <w:szCs w:val="22"/>
                <w:lang w:val="en-AU"/>
              </w:rPr>
              <w:t>the quantities in which the relevant network access service is to be supplied or is supplied;</w:t>
            </w:r>
          </w:p>
        </w:tc>
        <w:tc>
          <w:tcPr>
            <w:tcW w:w="6277" w:type="dxa"/>
          </w:tcPr>
          <w:p w14:paraId="5ABFA09B" w14:textId="77777777" w:rsidR="003D18C5" w:rsidRPr="004360BF" w:rsidRDefault="003D18C5" w:rsidP="004D777E">
            <w:pPr>
              <w:spacing w:before="40" w:after="40"/>
              <w:rPr>
                <w:sz w:val="22"/>
                <w:szCs w:val="22"/>
                <w:lang w:val="en-AU"/>
              </w:rPr>
            </w:pPr>
            <w:r w:rsidRPr="004360BF">
              <w:rPr>
                <w:sz w:val="22"/>
                <w:szCs w:val="22"/>
                <w:lang w:val="en-AU"/>
              </w:rPr>
              <w:t xml:space="preserve">Power Networks has established separate network tariffs for its larger (annual consumption in excess of 750 </w:t>
            </w:r>
            <w:proofErr w:type="spellStart"/>
            <w:r w:rsidRPr="004360BF">
              <w:rPr>
                <w:sz w:val="22"/>
                <w:szCs w:val="22"/>
                <w:lang w:val="en-AU"/>
              </w:rPr>
              <w:t>MWh</w:t>
            </w:r>
            <w:proofErr w:type="spellEnd"/>
            <w:r w:rsidRPr="004360BF">
              <w:rPr>
                <w:sz w:val="22"/>
                <w:szCs w:val="22"/>
                <w:lang w:val="en-AU"/>
              </w:rPr>
              <w:t xml:space="preserve">) commercial customers. In addition, the average consumption of a &lt;750 </w:t>
            </w:r>
            <w:proofErr w:type="spellStart"/>
            <w:r w:rsidRPr="004360BF">
              <w:rPr>
                <w:sz w:val="22"/>
                <w:szCs w:val="22"/>
                <w:lang w:val="en-AU"/>
              </w:rPr>
              <w:t>MWh</w:t>
            </w:r>
            <w:proofErr w:type="spellEnd"/>
            <w:r w:rsidRPr="004360BF">
              <w:rPr>
                <w:sz w:val="22"/>
                <w:szCs w:val="22"/>
                <w:lang w:val="en-AU"/>
              </w:rPr>
              <w:t xml:space="preserve"> per annum commercial customer is approximately 4.5 times that of a domestic customer and is one factor that supports the development of separate tariffs for these customers.</w:t>
            </w:r>
          </w:p>
          <w:p w14:paraId="048138DF" w14:textId="11F84113" w:rsidR="003D18C5" w:rsidRPr="004360BF" w:rsidRDefault="003D18C5" w:rsidP="007B1D27">
            <w:pPr>
              <w:spacing w:before="80" w:after="40"/>
              <w:rPr>
                <w:sz w:val="22"/>
                <w:szCs w:val="22"/>
                <w:highlight w:val="yellow"/>
                <w:lang w:val="en-AU"/>
              </w:rPr>
            </w:pPr>
            <w:r w:rsidRPr="004360BF">
              <w:rPr>
                <w:sz w:val="22"/>
                <w:szCs w:val="22"/>
                <w:lang w:val="en-AU"/>
              </w:rPr>
              <w:t xml:space="preserve">Power Networks </w:t>
            </w:r>
            <w:r w:rsidR="00C909CD" w:rsidRPr="004360BF">
              <w:rPr>
                <w:sz w:val="22"/>
                <w:szCs w:val="22"/>
                <w:lang w:val="en-AU"/>
              </w:rPr>
              <w:t>is also</w:t>
            </w:r>
            <w:r w:rsidRPr="004360BF">
              <w:rPr>
                <w:sz w:val="22"/>
                <w:szCs w:val="22"/>
                <w:lang w:val="en-AU"/>
              </w:rPr>
              <w:t xml:space="preserve"> propos</w:t>
            </w:r>
            <w:r w:rsidR="00C909CD" w:rsidRPr="004360BF">
              <w:rPr>
                <w:sz w:val="22"/>
                <w:szCs w:val="22"/>
                <w:lang w:val="en-AU"/>
              </w:rPr>
              <w:t>ing</w:t>
            </w:r>
            <w:r w:rsidRPr="004360BF">
              <w:rPr>
                <w:sz w:val="22"/>
                <w:szCs w:val="22"/>
                <w:lang w:val="en-AU"/>
              </w:rPr>
              <w:t xml:space="preserve"> to </w:t>
            </w:r>
            <w:r w:rsidR="007B1D27" w:rsidRPr="004360BF">
              <w:rPr>
                <w:sz w:val="22"/>
                <w:szCs w:val="22"/>
                <w:lang w:val="en-AU"/>
              </w:rPr>
              <w:t>continue trending</w:t>
            </w:r>
            <w:r w:rsidRPr="004360BF">
              <w:rPr>
                <w:sz w:val="22"/>
                <w:szCs w:val="22"/>
                <w:lang w:val="en-AU"/>
              </w:rPr>
              <w:t xml:space="preserve"> from the existing declining block structure for its &lt;750 </w:t>
            </w:r>
            <w:proofErr w:type="spellStart"/>
            <w:r w:rsidRPr="004360BF">
              <w:rPr>
                <w:sz w:val="22"/>
                <w:szCs w:val="22"/>
                <w:lang w:val="en-AU"/>
              </w:rPr>
              <w:t>MWh</w:t>
            </w:r>
            <w:proofErr w:type="spellEnd"/>
            <w:r w:rsidRPr="004360BF">
              <w:rPr>
                <w:sz w:val="22"/>
                <w:szCs w:val="22"/>
                <w:lang w:val="en-AU"/>
              </w:rPr>
              <w:t xml:space="preserve"> per annum commercial and domestic tariffs to an inclining block structure. </w:t>
            </w:r>
          </w:p>
        </w:tc>
      </w:tr>
      <w:tr w:rsidR="003D18C5" w:rsidRPr="004360BF" w14:paraId="07F7CDFF" w14:textId="77777777" w:rsidTr="009A19FD">
        <w:tc>
          <w:tcPr>
            <w:tcW w:w="2857" w:type="dxa"/>
          </w:tcPr>
          <w:p w14:paraId="0C749BD3" w14:textId="77777777" w:rsidR="003D18C5" w:rsidRPr="004360BF" w:rsidRDefault="003D18C5" w:rsidP="00EE7AA1">
            <w:pPr>
              <w:numPr>
                <w:ilvl w:val="0"/>
                <w:numId w:val="9"/>
              </w:numPr>
              <w:spacing w:before="40" w:after="40"/>
              <w:ind w:left="568" w:right="18" w:hanging="568"/>
              <w:rPr>
                <w:sz w:val="22"/>
                <w:szCs w:val="22"/>
                <w:lang w:val="en-AU"/>
              </w:rPr>
            </w:pPr>
            <w:r w:rsidRPr="004360BF">
              <w:rPr>
                <w:sz w:val="22"/>
                <w:szCs w:val="22"/>
                <w:lang w:val="en-AU"/>
              </w:rPr>
              <w:t>the pattern of network usage;</w:t>
            </w:r>
          </w:p>
        </w:tc>
        <w:tc>
          <w:tcPr>
            <w:tcW w:w="6277" w:type="dxa"/>
          </w:tcPr>
          <w:p w14:paraId="708AAD1D" w14:textId="77777777" w:rsidR="003D18C5" w:rsidRPr="004360BF" w:rsidRDefault="003D18C5" w:rsidP="004D777E">
            <w:pPr>
              <w:spacing w:before="40" w:after="40"/>
              <w:rPr>
                <w:sz w:val="22"/>
                <w:szCs w:val="22"/>
                <w:lang w:val="en-AU"/>
              </w:rPr>
            </w:pPr>
            <w:r w:rsidRPr="004360BF">
              <w:rPr>
                <w:sz w:val="22"/>
                <w:szCs w:val="22"/>
                <w:lang w:val="en-AU"/>
              </w:rPr>
              <w:t xml:space="preserve">The requirement to augment the capacity of the network is principally driven by the demand imposed by customers during peak periods. For this reason, the tariffs of customers consuming more than 750 </w:t>
            </w:r>
            <w:proofErr w:type="spellStart"/>
            <w:r w:rsidRPr="004360BF">
              <w:rPr>
                <w:sz w:val="22"/>
                <w:szCs w:val="22"/>
                <w:lang w:val="en-AU"/>
              </w:rPr>
              <w:t>MWh</w:t>
            </w:r>
            <w:proofErr w:type="spellEnd"/>
            <w:r w:rsidRPr="004360BF">
              <w:rPr>
                <w:sz w:val="22"/>
                <w:szCs w:val="22"/>
                <w:lang w:val="en-AU"/>
              </w:rPr>
              <w:t xml:space="preserve"> per annum have time of use charging parameters that are intended to provide a signal to customers of the increased costs of using the network during peak periods. </w:t>
            </w:r>
          </w:p>
          <w:p w14:paraId="13202BF9" w14:textId="77777777" w:rsidR="003D18C5" w:rsidRPr="004360BF" w:rsidRDefault="003D18C5" w:rsidP="004D777E">
            <w:pPr>
              <w:spacing w:before="80" w:after="40"/>
              <w:rPr>
                <w:sz w:val="22"/>
                <w:szCs w:val="22"/>
                <w:lang w:val="en-AU"/>
              </w:rPr>
            </w:pPr>
            <w:r w:rsidRPr="004360BF">
              <w:rPr>
                <w:sz w:val="22"/>
                <w:szCs w:val="22"/>
                <w:lang w:val="en-AU"/>
              </w:rPr>
              <w:t xml:space="preserve">In addition, in 2015/16, Power Networks proposes to </w:t>
            </w:r>
            <w:r w:rsidR="00947E15" w:rsidRPr="004360BF">
              <w:rPr>
                <w:sz w:val="22"/>
                <w:szCs w:val="22"/>
                <w:lang w:val="en-AU"/>
              </w:rPr>
              <w:lastRenderedPageBreak/>
              <w:t xml:space="preserve">rebalance the </w:t>
            </w:r>
            <w:r w:rsidRPr="004360BF">
              <w:rPr>
                <w:sz w:val="22"/>
                <w:szCs w:val="22"/>
                <w:lang w:val="en-AU"/>
              </w:rPr>
              <w:t xml:space="preserve">two tariffs for unmetered services: </w:t>
            </w:r>
          </w:p>
          <w:p w14:paraId="54439B70" w14:textId="77777777" w:rsidR="003D18C5" w:rsidRPr="004360BF" w:rsidRDefault="003D18C5" w:rsidP="00EE7AA1">
            <w:pPr>
              <w:keepNext/>
              <w:numPr>
                <w:ilvl w:val="0"/>
                <w:numId w:val="12"/>
              </w:numPr>
              <w:spacing w:before="40" w:after="40"/>
              <w:rPr>
                <w:rFonts w:cs="Tahoma"/>
                <w:sz w:val="22"/>
                <w:szCs w:val="22"/>
                <w:lang w:val="en-AU"/>
              </w:rPr>
            </w:pPr>
            <w:r w:rsidRPr="004360BF">
              <w:rPr>
                <w:rFonts w:cs="Tahoma"/>
                <w:sz w:val="22"/>
                <w:szCs w:val="22"/>
                <w:lang w:val="en-AU"/>
              </w:rPr>
              <w:t>Street lighting and similar consumptio</w:t>
            </w:r>
            <w:r w:rsidR="00C909CD" w:rsidRPr="004360BF">
              <w:rPr>
                <w:rFonts w:cs="Tahoma"/>
                <w:sz w:val="22"/>
                <w:szCs w:val="22"/>
                <w:lang w:val="en-AU"/>
              </w:rPr>
              <w:t>n profiled unmetered supplies; and</w:t>
            </w:r>
          </w:p>
          <w:p w14:paraId="40AF096E" w14:textId="77777777" w:rsidR="003D18C5" w:rsidRPr="004360BF" w:rsidRDefault="003D18C5" w:rsidP="00EE7AA1">
            <w:pPr>
              <w:keepNext/>
              <w:numPr>
                <w:ilvl w:val="0"/>
                <w:numId w:val="12"/>
              </w:numPr>
              <w:spacing w:before="40" w:after="40"/>
              <w:rPr>
                <w:sz w:val="22"/>
                <w:szCs w:val="22"/>
                <w:lang w:val="en-AU"/>
              </w:rPr>
            </w:pPr>
            <w:r w:rsidRPr="004360BF">
              <w:rPr>
                <w:rFonts w:cs="Tahoma"/>
                <w:sz w:val="22"/>
                <w:szCs w:val="22"/>
                <w:lang w:val="en-AU"/>
              </w:rPr>
              <w:t>Traffic lights and similar unmetered 24 hour supplies.</w:t>
            </w:r>
          </w:p>
          <w:p w14:paraId="16099076" w14:textId="77777777" w:rsidR="003D18C5" w:rsidRPr="004360BF" w:rsidRDefault="00947E15" w:rsidP="00947E15">
            <w:pPr>
              <w:keepNext/>
              <w:spacing w:before="40" w:after="40"/>
              <w:rPr>
                <w:sz w:val="22"/>
                <w:szCs w:val="22"/>
                <w:highlight w:val="yellow"/>
                <w:lang w:val="en-AU"/>
              </w:rPr>
            </w:pPr>
            <w:proofErr w:type="gramStart"/>
            <w:r w:rsidRPr="004360BF">
              <w:rPr>
                <w:rFonts w:cs="Tahoma"/>
                <w:sz w:val="22"/>
                <w:szCs w:val="22"/>
                <w:lang w:val="en-AU"/>
              </w:rPr>
              <w:t>to</w:t>
            </w:r>
            <w:proofErr w:type="gramEnd"/>
            <w:r w:rsidRPr="004360BF">
              <w:rPr>
                <w:rFonts w:cs="Tahoma"/>
                <w:sz w:val="22"/>
                <w:szCs w:val="22"/>
                <w:lang w:val="en-AU"/>
              </w:rPr>
              <w:t xml:space="preserve"> better reflect their usage patterns</w:t>
            </w:r>
            <w:r w:rsidR="00C909CD" w:rsidRPr="004360BF">
              <w:rPr>
                <w:rFonts w:cs="Tahoma"/>
                <w:sz w:val="22"/>
                <w:szCs w:val="22"/>
                <w:lang w:val="en-AU"/>
              </w:rPr>
              <w:t xml:space="preserve"> and improve cost reflectivity</w:t>
            </w:r>
            <w:r w:rsidRPr="004360BF">
              <w:rPr>
                <w:rFonts w:cs="Tahoma"/>
                <w:sz w:val="22"/>
                <w:szCs w:val="22"/>
                <w:lang w:val="en-AU"/>
              </w:rPr>
              <w:t xml:space="preserve">. </w:t>
            </w:r>
          </w:p>
        </w:tc>
      </w:tr>
      <w:tr w:rsidR="00571F49" w:rsidRPr="004360BF" w14:paraId="0F24BFB4" w14:textId="77777777" w:rsidTr="009A19FD">
        <w:trPr>
          <w:cantSplit/>
        </w:trPr>
        <w:tc>
          <w:tcPr>
            <w:tcW w:w="2857" w:type="dxa"/>
          </w:tcPr>
          <w:p w14:paraId="48A65BEB" w14:textId="77777777" w:rsidR="003C7685" w:rsidRPr="004360BF" w:rsidRDefault="003C7685" w:rsidP="00EE7AA1">
            <w:pPr>
              <w:numPr>
                <w:ilvl w:val="0"/>
                <w:numId w:val="9"/>
              </w:numPr>
              <w:spacing w:before="40" w:after="40"/>
              <w:ind w:left="568" w:right="18" w:hanging="568"/>
              <w:rPr>
                <w:sz w:val="22"/>
                <w:szCs w:val="22"/>
                <w:lang w:val="en-AU"/>
              </w:rPr>
            </w:pPr>
            <w:r w:rsidRPr="004360BF">
              <w:rPr>
                <w:sz w:val="22"/>
                <w:szCs w:val="22"/>
                <w:lang w:val="en-AU"/>
              </w:rPr>
              <w:lastRenderedPageBreak/>
              <w:t>the technical characteristics or requirements of the user's load or generation;</w:t>
            </w:r>
          </w:p>
        </w:tc>
        <w:tc>
          <w:tcPr>
            <w:tcW w:w="6277" w:type="dxa"/>
          </w:tcPr>
          <w:p w14:paraId="31212DA0" w14:textId="77777777" w:rsidR="003C7685" w:rsidRPr="004360BF" w:rsidRDefault="008F47C9" w:rsidP="008F47C9">
            <w:pPr>
              <w:spacing w:before="40" w:after="40"/>
              <w:rPr>
                <w:sz w:val="22"/>
                <w:szCs w:val="22"/>
                <w:lang w:val="en-AU"/>
              </w:rPr>
            </w:pPr>
            <w:r w:rsidRPr="004360BF">
              <w:rPr>
                <w:sz w:val="22"/>
                <w:szCs w:val="22"/>
                <w:lang w:val="en-AU"/>
              </w:rPr>
              <w:t>Power Networks’ reference tariffs do not currently differentiate between customers on the basis of the technical requirements of their load or generation.</w:t>
            </w:r>
            <w:r w:rsidR="00CC6CF8" w:rsidRPr="004360BF">
              <w:rPr>
                <w:sz w:val="22"/>
                <w:szCs w:val="22"/>
                <w:lang w:val="en-AU"/>
              </w:rPr>
              <w:t xml:space="preserve"> </w:t>
            </w:r>
            <w:r w:rsidRPr="004360BF">
              <w:rPr>
                <w:sz w:val="22"/>
                <w:szCs w:val="22"/>
                <w:lang w:val="en-AU"/>
              </w:rPr>
              <w:t>The Network Technical Code set</w:t>
            </w:r>
            <w:r w:rsidR="002D0F24" w:rsidRPr="004360BF">
              <w:rPr>
                <w:sz w:val="22"/>
                <w:szCs w:val="22"/>
                <w:lang w:val="en-AU"/>
              </w:rPr>
              <w:t>s</w:t>
            </w:r>
            <w:r w:rsidRPr="004360BF">
              <w:rPr>
                <w:sz w:val="22"/>
                <w:szCs w:val="22"/>
                <w:lang w:val="en-AU"/>
              </w:rPr>
              <w:t xml:space="preserve"> out the technical requirements for all loads and generators and the reference tariffs reflect those requirements. </w:t>
            </w:r>
          </w:p>
          <w:p w14:paraId="60E01223" w14:textId="77777777" w:rsidR="009D0BDC" w:rsidRPr="004360BF" w:rsidRDefault="00C909CD">
            <w:pPr>
              <w:spacing w:before="80" w:after="40"/>
              <w:rPr>
                <w:sz w:val="22"/>
                <w:szCs w:val="22"/>
                <w:highlight w:val="yellow"/>
                <w:lang w:val="en-AU"/>
              </w:rPr>
            </w:pPr>
            <w:r w:rsidRPr="004360BF">
              <w:rPr>
                <w:sz w:val="22"/>
                <w:szCs w:val="22"/>
                <w:lang w:val="en-AU"/>
              </w:rPr>
              <w:t xml:space="preserve">Towards the latter half of the </w:t>
            </w:r>
            <w:r w:rsidR="009D0BDC" w:rsidRPr="004360BF">
              <w:rPr>
                <w:sz w:val="22"/>
                <w:szCs w:val="22"/>
                <w:lang w:val="en-AU"/>
              </w:rPr>
              <w:t xml:space="preserve">2014-19 regulatory control period, Power Networks proposes to implement an additional tariff charging </w:t>
            </w:r>
            <w:r w:rsidR="00112A4E" w:rsidRPr="004360BF">
              <w:rPr>
                <w:sz w:val="22"/>
                <w:szCs w:val="22"/>
                <w:lang w:val="en-AU"/>
              </w:rPr>
              <w:t xml:space="preserve">parameter </w:t>
            </w:r>
            <w:r w:rsidR="009D0BDC" w:rsidRPr="004360BF">
              <w:rPr>
                <w:sz w:val="22"/>
                <w:szCs w:val="22"/>
                <w:lang w:val="en-AU"/>
              </w:rPr>
              <w:t>for reactive power consumed in excess of the Network Technical Code provision.</w:t>
            </w:r>
          </w:p>
        </w:tc>
      </w:tr>
      <w:tr w:rsidR="00571F49" w:rsidRPr="004360BF" w14:paraId="66E3373F" w14:textId="77777777" w:rsidTr="009A19FD">
        <w:tc>
          <w:tcPr>
            <w:tcW w:w="2857" w:type="dxa"/>
          </w:tcPr>
          <w:p w14:paraId="0FDB20F4" w14:textId="77777777" w:rsidR="003C7685" w:rsidRPr="004360BF" w:rsidRDefault="003C7685" w:rsidP="00EE7AA1">
            <w:pPr>
              <w:numPr>
                <w:ilvl w:val="0"/>
                <w:numId w:val="9"/>
              </w:numPr>
              <w:spacing w:before="40" w:after="40"/>
              <w:ind w:left="568" w:right="18" w:hanging="568"/>
              <w:rPr>
                <w:sz w:val="22"/>
                <w:szCs w:val="22"/>
                <w:lang w:val="en-AU"/>
              </w:rPr>
            </w:pPr>
            <w:r w:rsidRPr="004360BF">
              <w:rPr>
                <w:sz w:val="22"/>
                <w:szCs w:val="22"/>
                <w:lang w:val="en-AU"/>
              </w:rPr>
              <w:t>the nature of the plant or equipment required to provide the network access service;</w:t>
            </w:r>
          </w:p>
        </w:tc>
        <w:tc>
          <w:tcPr>
            <w:tcW w:w="6277" w:type="dxa"/>
          </w:tcPr>
          <w:p w14:paraId="648BEBD5" w14:textId="77777777" w:rsidR="003C7685" w:rsidRPr="004360BF" w:rsidRDefault="008F47C9" w:rsidP="004C0D34">
            <w:pPr>
              <w:spacing w:before="40" w:after="40"/>
              <w:rPr>
                <w:sz w:val="22"/>
                <w:szCs w:val="22"/>
                <w:lang w:val="en-AU"/>
              </w:rPr>
            </w:pPr>
            <w:r w:rsidRPr="004360BF">
              <w:rPr>
                <w:sz w:val="22"/>
                <w:szCs w:val="22"/>
                <w:lang w:val="en-AU"/>
              </w:rPr>
              <w:t>As stated in response to (a), separate tariffs are proposed for large commercial customers, depending upon the voltage of their connection.</w:t>
            </w:r>
            <w:r w:rsidR="00CC6CF8" w:rsidRPr="004360BF">
              <w:rPr>
                <w:sz w:val="22"/>
                <w:szCs w:val="22"/>
                <w:lang w:val="en-AU"/>
              </w:rPr>
              <w:t xml:space="preserve"> </w:t>
            </w:r>
            <w:r w:rsidRPr="004360BF">
              <w:rPr>
                <w:sz w:val="22"/>
                <w:szCs w:val="22"/>
                <w:lang w:val="en-AU"/>
              </w:rPr>
              <w:t xml:space="preserve">The </w:t>
            </w:r>
            <w:r w:rsidR="004C0D34" w:rsidRPr="004360BF">
              <w:rPr>
                <w:sz w:val="22"/>
                <w:szCs w:val="22"/>
                <w:lang w:val="en-AU"/>
              </w:rPr>
              <w:t>h</w:t>
            </w:r>
            <w:r w:rsidRPr="004360BF">
              <w:rPr>
                <w:sz w:val="22"/>
                <w:szCs w:val="22"/>
                <w:lang w:val="en-AU"/>
              </w:rPr>
              <w:t xml:space="preserve">igh </w:t>
            </w:r>
            <w:r w:rsidR="004C0D34" w:rsidRPr="004360BF">
              <w:rPr>
                <w:sz w:val="22"/>
                <w:szCs w:val="22"/>
                <w:lang w:val="en-AU"/>
              </w:rPr>
              <w:t>v</w:t>
            </w:r>
            <w:r w:rsidRPr="004360BF">
              <w:rPr>
                <w:sz w:val="22"/>
                <w:szCs w:val="22"/>
                <w:lang w:val="en-AU"/>
              </w:rPr>
              <w:t>oltage connected customer</w:t>
            </w:r>
            <w:r w:rsidR="004C0D34" w:rsidRPr="004360BF">
              <w:rPr>
                <w:sz w:val="22"/>
                <w:szCs w:val="22"/>
                <w:lang w:val="en-AU"/>
              </w:rPr>
              <w:t>s</w:t>
            </w:r>
            <w:r w:rsidRPr="004360BF">
              <w:rPr>
                <w:sz w:val="22"/>
                <w:szCs w:val="22"/>
                <w:lang w:val="en-AU"/>
              </w:rPr>
              <w:t xml:space="preserve"> do not make use of the </w:t>
            </w:r>
            <w:r w:rsidR="004C0D34" w:rsidRPr="004360BF">
              <w:rPr>
                <w:sz w:val="22"/>
                <w:szCs w:val="22"/>
                <w:lang w:val="en-AU"/>
              </w:rPr>
              <w:t>l</w:t>
            </w:r>
            <w:r w:rsidRPr="004360BF">
              <w:rPr>
                <w:sz w:val="22"/>
                <w:szCs w:val="22"/>
                <w:lang w:val="en-AU"/>
              </w:rPr>
              <w:t xml:space="preserve">ow </w:t>
            </w:r>
            <w:r w:rsidR="004C0D34" w:rsidRPr="004360BF">
              <w:rPr>
                <w:sz w:val="22"/>
                <w:szCs w:val="22"/>
                <w:lang w:val="en-AU"/>
              </w:rPr>
              <w:t>v</w:t>
            </w:r>
            <w:r w:rsidRPr="004360BF">
              <w:rPr>
                <w:sz w:val="22"/>
                <w:szCs w:val="22"/>
                <w:lang w:val="en-AU"/>
              </w:rPr>
              <w:t xml:space="preserve">oltage network </w:t>
            </w:r>
            <w:r w:rsidR="004C0D34" w:rsidRPr="004360BF">
              <w:rPr>
                <w:sz w:val="22"/>
                <w:szCs w:val="22"/>
                <w:lang w:val="en-AU"/>
              </w:rPr>
              <w:t>or distribution substations</w:t>
            </w:r>
            <w:r w:rsidRPr="004360BF">
              <w:rPr>
                <w:sz w:val="22"/>
                <w:szCs w:val="22"/>
                <w:lang w:val="en-AU"/>
              </w:rPr>
              <w:t>.</w:t>
            </w:r>
          </w:p>
        </w:tc>
      </w:tr>
      <w:tr w:rsidR="00571F49" w:rsidRPr="004360BF" w14:paraId="0CC84433" w14:textId="77777777" w:rsidTr="009A19FD">
        <w:tc>
          <w:tcPr>
            <w:tcW w:w="2857" w:type="dxa"/>
          </w:tcPr>
          <w:p w14:paraId="35CB692B" w14:textId="77777777" w:rsidR="003C7685" w:rsidRPr="004360BF" w:rsidRDefault="003C7685" w:rsidP="00EE7AA1">
            <w:pPr>
              <w:numPr>
                <w:ilvl w:val="0"/>
                <w:numId w:val="9"/>
              </w:numPr>
              <w:spacing w:before="40" w:after="40"/>
              <w:ind w:left="568" w:right="18" w:hanging="568"/>
              <w:rPr>
                <w:sz w:val="22"/>
                <w:szCs w:val="22"/>
                <w:lang w:val="en-AU"/>
              </w:rPr>
            </w:pPr>
            <w:proofErr w:type="gramStart"/>
            <w:r w:rsidRPr="004360BF">
              <w:rPr>
                <w:sz w:val="22"/>
                <w:szCs w:val="22"/>
                <w:lang w:val="en-AU"/>
              </w:rPr>
              <w:t>the</w:t>
            </w:r>
            <w:proofErr w:type="gramEnd"/>
            <w:r w:rsidRPr="004360BF">
              <w:rPr>
                <w:sz w:val="22"/>
                <w:szCs w:val="22"/>
                <w:lang w:val="en-AU"/>
              </w:rPr>
              <w:t xml:space="preserve"> periods for which the network access service is expected to be supplied.</w:t>
            </w:r>
          </w:p>
        </w:tc>
        <w:tc>
          <w:tcPr>
            <w:tcW w:w="6277" w:type="dxa"/>
          </w:tcPr>
          <w:p w14:paraId="578E6512" w14:textId="77777777" w:rsidR="008F47C9" w:rsidRPr="004360BF" w:rsidRDefault="008F47C9" w:rsidP="009C6466">
            <w:pPr>
              <w:spacing w:before="40" w:after="40"/>
              <w:rPr>
                <w:sz w:val="22"/>
                <w:szCs w:val="22"/>
                <w:lang w:val="en-AU"/>
              </w:rPr>
            </w:pPr>
            <w:r w:rsidRPr="004360BF">
              <w:rPr>
                <w:sz w:val="22"/>
                <w:szCs w:val="22"/>
                <w:lang w:val="en-AU"/>
              </w:rPr>
              <w:t>As stated in the response to (c)</w:t>
            </w:r>
            <w:r w:rsidR="004C0D34" w:rsidRPr="004360BF">
              <w:rPr>
                <w:sz w:val="22"/>
                <w:szCs w:val="22"/>
                <w:lang w:val="en-AU"/>
              </w:rPr>
              <w:t>,</w:t>
            </w:r>
            <w:r w:rsidRPr="004360BF">
              <w:rPr>
                <w:sz w:val="22"/>
                <w:szCs w:val="22"/>
                <w:lang w:val="en-AU"/>
              </w:rPr>
              <w:t xml:space="preserve"> the peak periods for the network are reflected in the current tariffs for larger commercial customers.</w:t>
            </w:r>
            <w:r w:rsidR="00CC6CF8" w:rsidRPr="004360BF">
              <w:rPr>
                <w:sz w:val="22"/>
                <w:szCs w:val="22"/>
                <w:lang w:val="en-AU"/>
              </w:rPr>
              <w:t xml:space="preserve"> </w:t>
            </w:r>
          </w:p>
        </w:tc>
      </w:tr>
    </w:tbl>
    <w:p w14:paraId="79ED1823" w14:textId="77777777" w:rsidR="00DB4B69" w:rsidRPr="004360BF" w:rsidRDefault="00DB4B69" w:rsidP="00B90FED">
      <w:pPr>
        <w:spacing w:after="0"/>
        <w:rPr>
          <w:lang w:val="en-AU"/>
        </w:rPr>
      </w:pPr>
    </w:p>
    <w:p w14:paraId="17C3FF16" w14:textId="77777777" w:rsidR="009D0BDC" w:rsidRPr="004360BF" w:rsidRDefault="009D0BDC" w:rsidP="00B30BF6">
      <w:pPr>
        <w:pStyle w:val="Heading2"/>
      </w:pPr>
      <w:bookmarkStart w:id="213" w:name="_Toc417291245"/>
      <w:bookmarkStart w:id="214" w:name="_Toc417291745"/>
      <w:bookmarkStart w:id="215" w:name="_Toc417292513"/>
      <w:bookmarkStart w:id="216" w:name="_Toc291262234"/>
      <w:bookmarkStart w:id="217" w:name="_Toc417458008"/>
      <w:bookmarkStart w:id="218" w:name="_Toc418608677"/>
      <w:bookmarkStart w:id="219" w:name="_Ref260820409"/>
      <w:bookmarkStart w:id="220" w:name="_Ref260820576"/>
      <w:r w:rsidRPr="004360BF">
        <w:t>Alternative Control Services</w:t>
      </w:r>
      <w:bookmarkEnd w:id="213"/>
      <w:bookmarkEnd w:id="214"/>
      <w:bookmarkEnd w:id="215"/>
      <w:bookmarkEnd w:id="216"/>
      <w:bookmarkEnd w:id="217"/>
      <w:bookmarkEnd w:id="218"/>
      <w:r w:rsidRPr="004360BF">
        <w:t xml:space="preserve"> </w:t>
      </w:r>
    </w:p>
    <w:p w14:paraId="551DB8F2" w14:textId="76F6D535" w:rsidR="00856CB0" w:rsidRPr="004360BF" w:rsidRDefault="00856CB0" w:rsidP="007B1D27">
      <w:pPr>
        <w:rPr>
          <w:lang w:val="en-AU"/>
        </w:rPr>
      </w:pPr>
      <w:r w:rsidRPr="004360BF">
        <w:rPr>
          <w:lang w:val="en-AU"/>
        </w:rPr>
        <w:t xml:space="preserve">Power Networks provides a number of alternative control services. These services are </w:t>
      </w:r>
      <w:r w:rsidR="00BF59B6" w:rsidRPr="004360BF">
        <w:rPr>
          <w:lang w:val="en-AU"/>
        </w:rPr>
        <w:t xml:space="preserve">specified in the </w:t>
      </w:r>
      <w:r w:rsidR="009C6466" w:rsidRPr="004360BF">
        <w:rPr>
          <w:lang w:val="en-AU"/>
        </w:rPr>
        <w:t xml:space="preserve">approved </w:t>
      </w:r>
      <w:r w:rsidR="00BF59B6" w:rsidRPr="004360BF">
        <w:rPr>
          <w:lang w:val="en-AU"/>
        </w:rPr>
        <w:t>Network Service Classification at Attachment 1</w:t>
      </w:r>
      <w:r w:rsidRPr="004360BF">
        <w:rPr>
          <w:lang w:val="en-AU"/>
        </w:rPr>
        <w:t>.</w:t>
      </w:r>
    </w:p>
    <w:p w14:paraId="704D0077" w14:textId="77777777" w:rsidR="00856CB0" w:rsidRPr="004360BF" w:rsidRDefault="00856CB0" w:rsidP="007B1D27">
      <w:pPr>
        <w:pStyle w:val="Dottop"/>
        <w:rPr>
          <w:lang w:val="en-AU"/>
        </w:rPr>
      </w:pPr>
      <w:r w:rsidRPr="004360BF">
        <w:rPr>
          <w:lang w:val="en-AU"/>
        </w:rPr>
        <w:t>In establishing the prices to apply for 201</w:t>
      </w:r>
      <w:r w:rsidR="006417E8" w:rsidRPr="004360BF">
        <w:rPr>
          <w:lang w:val="en-AU"/>
        </w:rPr>
        <w:t>5</w:t>
      </w:r>
      <w:r w:rsidRPr="004360BF">
        <w:rPr>
          <w:lang w:val="en-AU"/>
        </w:rPr>
        <w:t>/1</w:t>
      </w:r>
      <w:r w:rsidR="006417E8" w:rsidRPr="004360BF">
        <w:rPr>
          <w:lang w:val="en-AU"/>
        </w:rPr>
        <w:t>6</w:t>
      </w:r>
      <w:r w:rsidRPr="004360BF">
        <w:rPr>
          <w:lang w:val="en-AU"/>
        </w:rPr>
        <w:t xml:space="preserve"> for these alternative control services, Power Networks has used the following principles:</w:t>
      </w:r>
    </w:p>
    <w:p w14:paraId="5517CC4A" w14:textId="77777777" w:rsidR="00856CB0" w:rsidRPr="004360BF" w:rsidRDefault="00856CB0" w:rsidP="007B1D27">
      <w:pPr>
        <w:pStyle w:val="Dot"/>
        <w:rPr>
          <w:lang w:val="en-AU"/>
        </w:rPr>
      </w:pPr>
      <w:r w:rsidRPr="004360BF">
        <w:rPr>
          <w:lang w:val="en-AU"/>
        </w:rPr>
        <w:t xml:space="preserve">The capital and operating resources associated with providing the services have been estimated on an incremental basis; </w:t>
      </w:r>
    </w:p>
    <w:p w14:paraId="0D0524DA" w14:textId="4D37BF7A" w:rsidR="00856CB0" w:rsidRPr="004360BF" w:rsidRDefault="00856CB0" w:rsidP="007B1D27">
      <w:pPr>
        <w:pStyle w:val="Dot"/>
        <w:rPr>
          <w:lang w:val="en-AU"/>
        </w:rPr>
      </w:pPr>
      <w:r w:rsidRPr="004360BF">
        <w:rPr>
          <w:lang w:val="en-AU"/>
        </w:rPr>
        <w:t xml:space="preserve">Where practicable, transaction costs in the provision of the services </w:t>
      </w:r>
      <w:r w:rsidR="007B1D27" w:rsidRPr="004360BF">
        <w:rPr>
          <w:lang w:val="en-AU"/>
        </w:rPr>
        <w:t>were</w:t>
      </w:r>
      <w:r w:rsidRPr="004360BF">
        <w:rPr>
          <w:lang w:val="en-AU"/>
        </w:rPr>
        <w:t xml:space="preserve"> reduced </w:t>
      </w:r>
      <w:r w:rsidR="007B1D27" w:rsidRPr="004360BF">
        <w:rPr>
          <w:lang w:val="en-AU"/>
        </w:rPr>
        <w:t xml:space="preserve">in 2014/15 </w:t>
      </w:r>
      <w:r w:rsidRPr="004360BF">
        <w:rPr>
          <w:lang w:val="en-AU"/>
        </w:rPr>
        <w:t>by grouping similar services and eliminating some services for which there was little demand in 2013/14; and</w:t>
      </w:r>
    </w:p>
    <w:p w14:paraId="19637D3D" w14:textId="0201139F" w:rsidR="00EC6F00" w:rsidRPr="004360BF" w:rsidRDefault="00856CB0" w:rsidP="007B1D27">
      <w:pPr>
        <w:pStyle w:val="Dotbot"/>
        <w:rPr>
          <w:lang w:val="en-AU"/>
        </w:rPr>
      </w:pPr>
      <w:r w:rsidRPr="004360BF">
        <w:rPr>
          <w:lang w:val="en-AU"/>
        </w:rPr>
        <w:t>The labour rates used in estimating the 201</w:t>
      </w:r>
      <w:r w:rsidR="008D6C35" w:rsidRPr="004360BF">
        <w:rPr>
          <w:lang w:val="en-AU"/>
        </w:rPr>
        <w:t>5</w:t>
      </w:r>
      <w:r w:rsidRPr="004360BF">
        <w:rPr>
          <w:lang w:val="en-AU"/>
        </w:rPr>
        <w:t>/1</w:t>
      </w:r>
      <w:r w:rsidR="008D6C35" w:rsidRPr="004360BF">
        <w:rPr>
          <w:lang w:val="en-AU"/>
        </w:rPr>
        <w:t>6</w:t>
      </w:r>
      <w:r w:rsidRPr="004360BF">
        <w:rPr>
          <w:lang w:val="en-AU"/>
        </w:rPr>
        <w:t xml:space="preserve"> prices for alternative control services do not include corporate overheads</w:t>
      </w:r>
      <w:r w:rsidR="002D496E" w:rsidRPr="004360BF">
        <w:rPr>
          <w:lang w:val="en-AU"/>
        </w:rPr>
        <w:t>.</w:t>
      </w:r>
    </w:p>
    <w:p w14:paraId="7E5A59C7" w14:textId="77777777" w:rsidR="00EC6F00" w:rsidRPr="004360BF" w:rsidRDefault="00EC6F00">
      <w:pPr>
        <w:spacing w:after="0"/>
        <w:rPr>
          <w:rFonts w:eastAsia="Calibri"/>
          <w:szCs w:val="22"/>
          <w:lang w:val="en-AU"/>
        </w:rPr>
      </w:pPr>
      <w:r w:rsidRPr="004360BF">
        <w:rPr>
          <w:lang w:val="en-AU"/>
        </w:rPr>
        <w:br w:type="page"/>
      </w:r>
    </w:p>
    <w:p w14:paraId="18C84FED" w14:textId="77777777" w:rsidR="00DB4B69" w:rsidRPr="004360BF" w:rsidRDefault="00DB4B69" w:rsidP="00B30BF6">
      <w:pPr>
        <w:pStyle w:val="Heading1"/>
      </w:pPr>
      <w:bookmarkStart w:id="221" w:name="_Toc417291246"/>
      <w:bookmarkStart w:id="222" w:name="_Toc417291746"/>
      <w:bookmarkStart w:id="223" w:name="_Toc417292514"/>
      <w:bookmarkStart w:id="224" w:name="_Toc291262235"/>
      <w:bookmarkStart w:id="225" w:name="_Ref291313142"/>
      <w:bookmarkStart w:id="226" w:name="_Toc417458009"/>
      <w:bookmarkStart w:id="227" w:name="_Toc418608678"/>
      <w:r w:rsidRPr="004360BF">
        <w:lastRenderedPageBreak/>
        <w:t xml:space="preserve">Efficient </w:t>
      </w:r>
      <w:r w:rsidR="00D66923" w:rsidRPr="004360BF">
        <w:t>N</w:t>
      </w:r>
      <w:r w:rsidRPr="004360BF">
        <w:t xml:space="preserve">etwork </w:t>
      </w:r>
      <w:r w:rsidR="00D66923" w:rsidRPr="004360BF">
        <w:t>P</w:t>
      </w:r>
      <w:r w:rsidRPr="004360BF">
        <w:t>ricing</w:t>
      </w:r>
      <w:bookmarkEnd w:id="219"/>
      <w:bookmarkEnd w:id="220"/>
      <w:bookmarkEnd w:id="221"/>
      <w:bookmarkEnd w:id="222"/>
      <w:bookmarkEnd w:id="223"/>
      <w:bookmarkEnd w:id="224"/>
      <w:bookmarkEnd w:id="225"/>
      <w:bookmarkEnd w:id="226"/>
      <w:bookmarkEnd w:id="227"/>
    </w:p>
    <w:p w14:paraId="57AEE481" w14:textId="0E3A5A97" w:rsidR="008F47C9" w:rsidRPr="004360BF" w:rsidRDefault="008F47C9" w:rsidP="007B1D27">
      <w:pPr>
        <w:keepNext/>
        <w:rPr>
          <w:lang w:val="en-AU"/>
        </w:rPr>
      </w:pPr>
      <w:r w:rsidRPr="004360BF">
        <w:rPr>
          <w:lang w:val="en-AU"/>
        </w:rPr>
        <w:t xml:space="preserve">In </w:t>
      </w:r>
      <w:r w:rsidR="00EC14E4" w:rsidRPr="004360BF">
        <w:rPr>
          <w:lang w:val="en-AU"/>
        </w:rPr>
        <w:t>ensuring</w:t>
      </w:r>
      <w:r w:rsidRPr="004360BF">
        <w:rPr>
          <w:lang w:val="en-AU"/>
        </w:rPr>
        <w:t xml:space="preserve"> the reference tariffs </w:t>
      </w:r>
      <w:r w:rsidR="00EC14E4" w:rsidRPr="004360BF">
        <w:rPr>
          <w:lang w:val="en-AU"/>
        </w:rPr>
        <w:t>for</w:t>
      </w:r>
      <w:r w:rsidRPr="004360BF">
        <w:rPr>
          <w:lang w:val="en-AU"/>
        </w:rPr>
        <w:t xml:space="preserve"> direct control services</w:t>
      </w:r>
      <w:r w:rsidR="00EC14E4" w:rsidRPr="004360BF">
        <w:rPr>
          <w:lang w:val="en-AU"/>
        </w:rPr>
        <w:t xml:space="preserve"> are established in accordance with recognised economic principles</w:t>
      </w:r>
      <w:r w:rsidRPr="004360BF">
        <w:rPr>
          <w:lang w:val="en-AU"/>
        </w:rPr>
        <w:t xml:space="preserve">, Power Networks has taken into consideration the factors set out in </w:t>
      </w:r>
      <w:r w:rsidR="00CC1083" w:rsidRPr="004360BF">
        <w:rPr>
          <w:lang w:val="en-AU"/>
        </w:rPr>
        <w:fldChar w:fldCharType="begin"/>
      </w:r>
      <w:r w:rsidR="00CC1083" w:rsidRPr="004360BF">
        <w:rPr>
          <w:lang w:val="en-AU"/>
        </w:rPr>
        <w:instrText xml:space="preserve"> REF _Ref260824140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5</w:t>
      </w:r>
      <w:r w:rsidR="00CC1083" w:rsidRPr="004360BF">
        <w:rPr>
          <w:lang w:val="en-AU"/>
        </w:rPr>
        <w:fldChar w:fldCharType="end"/>
      </w:r>
      <w:r w:rsidRPr="004360BF">
        <w:rPr>
          <w:lang w:val="en-AU"/>
        </w:rPr>
        <w:t xml:space="preserve">. </w:t>
      </w:r>
    </w:p>
    <w:p w14:paraId="6B81058C" w14:textId="77777777" w:rsidR="008F47C9" w:rsidRPr="004360BF" w:rsidRDefault="008F47C9" w:rsidP="008F47C9">
      <w:pPr>
        <w:pStyle w:val="Caption"/>
        <w:rPr>
          <w:lang w:val="en-AU"/>
        </w:rPr>
      </w:pPr>
      <w:bookmarkStart w:id="228" w:name="_Ref260824140"/>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5</w:t>
      </w:r>
      <w:r w:rsidR="00517DD9" w:rsidRPr="004360BF">
        <w:rPr>
          <w:lang w:val="en-AU"/>
        </w:rPr>
        <w:fldChar w:fldCharType="end"/>
      </w:r>
      <w:bookmarkEnd w:id="228"/>
      <w:r w:rsidRPr="004360BF">
        <w:rPr>
          <w:lang w:val="en-AU"/>
        </w:rPr>
        <w:t xml:space="preserve"> – Power Networks’ consideration of </w:t>
      </w:r>
      <w:r w:rsidR="006D1DEF" w:rsidRPr="004360BF">
        <w:rPr>
          <w:lang w:val="en-AU"/>
        </w:rPr>
        <w:t>efficient pricing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99"/>
      </w:tblGrid>
      <w:tr w:rsidR="00EC14E4" w:rsidRPr="004360BF" w14:paraId="6B4D9416" w14:textId="77777777" w:rsidTr="009A19FD">
        <w:trPr>
          <w:tblHeader/>
        </w:trPr>
        <w:tc>
          <w:tcPr>
            <w:tcW w:w="2835" w:type="dxa"/>
            <w:shd w:val="solid" w:color="C6D9F1" w:themeColor="text2" w:themeTint="33" w:fill="auto"/>
          </w:tcPr>
          <w:p w14:paraId="4FBEC026" w14:textId="77777777" w:rsidR="008F47C9" w:rsidRPr="004360BF" w:rsidRDefault="009F5634" w:rsidP="006D1DEF">
            <w:pPr>
              <w:spacing w:before="40" w:after="40"/>
              <w:ind w:right="-565"/>
              <w:rPr>
                <w:b/>
                <w:sz w:val="22"/>
                <w:szCs w:val="22"/>
                <w:lang w:val="en-AU"/>
              </w:rPr>
            </w:pPr>
            <w:r w:rsidRPr="004360BF">
              <w:rPr>
                <w:b/>
                <w:sz w:val="22"/>
                <w:szCs w:val="22"/>
                <w:lang w:val="en-AU"/>
              </w:rPr>
              <w:t>Efficient costs</w:t>
            </w:r>
          </w:p>
          <w:p w14:paraId="63DE480C" w14:textId="77777777" w:rsidR="009F5634" w:rsidRPr="004360BF" w:rsidRDefault="009F5634" w:rsidP="006D1DEF">
            <w:pPr>
              <w:spacing w:before="40" w:after="40"/>
              <w:ind w:right="-565"/>
              <w:rPr>
                <w:b/>
                <w:sz w:val="20"/>
                <w:szCs w:val="20"/>
                <w:lang w:val="en-AU"/>
              </w:rPr>
            </w:pPr>
            <w:r w:rsidRPr="004360BF">
              <w:rPr>
                <w:b/>
                <w:sz w:val="20"/>
                <w:szCs w:val="20"/>
                <w:lang w:val="en-AU"/>
              </w:rPr>
              <w:t xml:space="preserve">RIN clause 16.4; </w:t>
            </w:r>
            <w:r w:rsidR="001766E3" w:rsidRPr="004360BF">
              <w:rPr>
                <w:b/>
                <w:sz w:val="20"/>
                <w:szCs w:val="20"/>
                <w:lang w:val="en-AU"/>
              </w:rPr>
              <w:t>and</w:t>
            </w:r>
          </w:p>
          <w:p w14:paraId="617ED0D2" w14:textId="77777777" w:rsidR="009F5634" w:rsidRPr="004360BF" w:rsidRDefault="009F5634" w:rsidP="006D1DEF">
            <w:pPr>
              <w:spacing w:before="40" w:after="40"/>
              <w:ind w:right="-565"/>
              <w:rPr>
                <w:b/>
                <w:sz w:val="22"/>
                <w:szCs w:val="22"/>
                <w:lang w:val="en-AU"/>
              </w:rPr>
            </w:pPr>
            <w:r w:rsidRPr="004360BF">
              <w:rPr>
                <w:b/>
                <w:sz w:val="20"/>
                <w:szCs w:val="20"/>
                <w:lang w:val="en-AU"/>
              </w:rPr>
              <w:t>TPA Code clause 74(1)(a)</w:t>
            </w:r>
          </w:p>
        </w:tc>
        <w:tc>
          <w:tcPr>
            <w:tcW w:w="6299" w:type="dxa"/>
            <w:shd w:val="solid" w:color="C6D9F1" w:themeColor="text2" w:themeTint="33" w:fill="auto"/>
          </w:tcPr>
          <w:p w14:paraId="591DE7AC" w14:textId="77777777" w:rsidR="008F47C9" w:rsidRPr="004360BF" w:rsidRDefault="008F47C9" w:rsidP="008F47C9">
            <w:pPr>
              <w:spacing w:before="40" w:after="40"/>
              <w:rPr>
                <w:b/>
                <w:sz w:val="22"/>
                <w:szCs w:val="22"/>
                <w:lang w:val="en-AU"/>
              </w:rPr>
            </w:pPr>
            <w:r w:rsidRPr="004360BF">
              <w:rPr>
                <w:b/>
                <w:sz w:val="22"/>
                <w:szCs w:val="22"/>
                <w:lang w:val="en-AU"/>
              </w:rPr>
              <w:t>Power Networks’ consideration</w:t>
            </w:r>
          </w:p>
        </w:tc>
      </w:tr>
      <w:tr w:rsidR="00EC14E4" w:rsidRPr="004360BF" w14:paraId="3F5A4A86" w14:textId="77777777" w:rsidTr="009A19FD">
        <w:trPr>
          <w:trHeight w:val="2883"/>
        </w:trPr>
        <w:tc>
          <w:tcPr>
            <w:tcW w:w="2835" w:type="dxa"/>
          </w:tcPr>
          <w:p w14:paraId="1A3711B2" w14:textId="77777777" w:rsidR="008F47C9" w:rsidRPr="004360BF" w:rsidRDefault="00EC14E4" w:rsidP="00EE7AA1">
            <w:pPr>
              <w:numPr>
                <w:ilvl w:val="0"/>
                <w:numId w:val="10"/>
              </w:numPr>
              <w:spacing w:before="40" w:after="40"/>
              <w:ind w:left="568" w:right="18" w:hanging="568"/>
              <w:rPr>
                <w:sz w:val="22"/>
                <w:szCs w:val="22"/>
                <w:lang w:val="en-AU"/>
              </w:rPr>
            </w:pPr>
            <w:r w:rsidRPr="004360BF">
              <w:rPr>
                <w:sz w:val="22"/>
                <w:szCs w:val="22"/>
                <w:lang w:val="en-AU"/>
              </w:rPr>
              <w:t>taken into account the long run marginal cost for the service or, in the case of a charging parameter, for the element of the service to which the charging parameter relates</w:t>
            </w:r>
          </w:p>
        </w:tc>
        <w:tc>
          <w:tcPr>
            <w:tcW w:w="6299" w:type="dxa"/>
          </w:tcPr>
          <w:p w14:paraId="4DAE9D53" w14:textId="77777777" w:rsidR="00113F42" w:rsidRPr="004360BF" w:rsidRDefault="00113F42" w:rsidP="00113F42">
            <w:pPr>
              <w:spacing w:before="40" w:after="40"/>
              <w:rPr>
                <w:sz w:val="22"/>
                <w:szCs w:val="22"/>
                <w:lang w:val="en-AU"/>
              </w:rPr>
            </w:pPr>
            <w:r w:rsidRPr="004360BF">
              <w:rPr>
                <w:sz w:val="22"/>
                <w:szCs w:val="22"/>
                <w:lang w:val="en-AU"/>
              </w:rPr>
              <w:t>Power Networks has calculated the LRMC using the Average Incremental Cost for the high and low voltages of its network</w:t>
            </w:r>
            <w:r w:rsidR="00EC14E4" w:rsidRPr="004360BF">
              <w:rPr>
                <w:sz w:val="22"/>
                <w:szCs w:val="22"/>
                <w:lang w:val="en-AU"/>
              </w:rPr>
              <w:t xml:space="preserve">, based on </w:t>
            </w:r>
            <w:r w:rsidR="004C0D34" w:rsidRPr="004360BF">
              <w:rPr>
                <w:sz w:val="22"/>
                <w:szCs w:val="22"/>
                <w:lang w:val="en-AU"/>
              </w:rPr>
              <w:t xml:space="preserve">demand </w:t>
            </w:r>
            <w:r w:rsidR="00EC14E4" w:rsidRPr="004360BF">
              <w:rPr>
                <w:sz w:val="22"/>
                <w:szCs w:val="22"/>
                <w:lang w:val="en-AU"/>
              </w:rPr>
              <w:t xml:space="preserve">related capital </w:t>
            </w:r>
            <w:r w:rsidR="004C0D34" w:rsidRPr="004360BF">
              <w:rPr>
                <w:sz w:val="22"/>
                <w:szCs w:val="22"/>
                <w:lang w:val="en-AU"/>
              </w:rPr>
              <w:t>expenditure, an allowance for</w:t>
            </w:r>
            <w:r w:rsidR="00EC14E4" w:rsidRPr="004360BF">
              <w:rPr>
                <w:sz w:val="22"/>
                <w:szCs w:val="22"/>
                <w:lang w:val="en-AU"/>
              </w:rPr>
              <w:t xml:space="preserve"> operating </w:t>
            </w:r>
            <w:r w:rsidR="004C0D34" w:rsidRPr="004360BF">
              <w:rPr>
                <w:sz w:val="22"/>
                <w:szCs w:val="22"/>
                <w:lang w:val="en-AU"/>
              </w:rPr>
              <w:t xml:space="preserve">and maintenance </w:t>
            </w:r>
            <w:r w:rsidR="00EC14E4" w:rsidRPr="004360BF">
              <w:rPr>
                <w:sz w:val="22"/>
                <w:szCs w:val="22"/>
                <w:lang w:val="en-AU"/>
              </w:rPr>
              <w:t>expenditure</w:t>
            </w:r>
            <w:r w:rsidR="004C0D34" w:rsidRPr="004360BF">
              <w:rPr>
                <w:sz w:val="22"/>
                <w:szCs w:val="22"/>
                <w:lang w:val="en-AU"/>
              </w:rPr>
              <w:t>,</w:t>
            </w:r>
            <w:r w:rsidR="00EC14E4" w:rsidRPr="004360BF">
              <w:rPr>
                <w:sz w:val="22"/>
                <w:szCs w:val="22"/>
                <w:lang w:val="en-AU"/>
              </w:rPr>
              <w:t xml:space="preserve"> and demand</w:t>
            </w:r>
            <w:r w:rsidR="004C0D34" w:rsidRPr="004360BF">
              <w:rPr>
                <w:sz w:val="22"/>
                <w:szCs w:val="22"/>
                <w:lang w:val="en-AU"/>
              </w:rPr>
              <w:t xml:space="preserve"> growth</w:t>
            </w:r>
            <w:r w:rsidR="00EC14E4" w:rsidRPr="004360BF">
              <w:rPr>
                <w:sz w:val="22"/>
                <w:szCs w:val="22"/>
                <w:lang w:val="en-AU"/>
              </w:rPr>
              <w:t>.</w:t>
            </w:r>
            <w:r w:rsidR="00CC6CF8" w:rsidRPr="004360BF">
              <w:rPr>
                <w:sz w:val="22"/>
                <w:szCs w:val="22"/>
                <w:lang w:val="en-AU"/>
              </w:rPr>
              <w:t xml:space="preserve"> </w:t>
            </w:r>
            <w:r w:rsidR="00EC14E4" w:rsidRPr="004360BF">
              <w:rPr>
                <w:sz w:val="22"/>
                <w:szCs w:val="22"/>
                <w:lang w:val="en-AU"/>
              </w:rPr>
              <w:t>This calculation is contained in Power Networks’ Cost of Supply Model described in Attachment A</w:t>
            </w:r>
            <w:r w:rsidR="00BF3427" w:rsidRPr="004360BF">
              <w:rPr>
                <w:sz w:val="22"/>
                <w:szCs w:val="22"/>
                <w:lang w:val="en-AU"/>
              </w:rPr>
              <w:t>2</w:t>
            </w:r>
            <w:r w:rsidR="004D6CAC" w:rsidRPr="004360BF">
              <w:rPr>
                <w:sz w:val="22"/>
                <w:szCs w:val="22"/>
                <w:lang w:val="en-AU"/>
              </w:rPr>
              <w:t>.6</w:t>
            </w:r>
            <w:r w:rsidR="006D1DEF" w:rsidRPr="004360BF">
              <w:rPr>
                <w:sz w:val="22"/>
                <w:szCs w:val="22"/>
                <w:lang w:val="en-AU"/>
              </w:rPr>
              <w:t>.</w:t>
            </w:r>
            <w:r w:rsidR="00CC6CF8" w:rsidRPr="004360BF">
              <w:rPr>
                <w:sz w:val="22"/>
                <w:szCs w:val="22"/>
                <w:lang w:val="en-AU"/>
              </w:rPr>
              <w:t xml:space="preserve"> </w:t>
            </w:r>
          </w:p>
          <w:p w14:paraId="3ED653D1" w14:textId="765E560D" w:rsidR="006D1DEF" w:rsidRPr="004360BF" w:rsidRDefault="006D1DEF" w:rsidP="009D0181">
            <w:pPr>
              <w:rPr>
                <w:sz w:val="22"/>
                <w:szCs w:val="22"/>
                <w:lang w:val="en-AU"/>
              </w:rPr>
            </w:pPr>
            <w:r w:rsidRPr="004360BF">
              <w:rPr>
                <w:sz w:val="22"/>
                <w:szCs w:val="22"/>
                <w:lang w:val="en-AU"/>
              </w:rPr>
              <w:t>S</w:t>
            </w:r>
            <w:r w:rsidR="00EC14E4" w:rsidRPr="004360BF">
              <w:rPr>
                <w:sz w:val="22"/>
                <w:szCs w:val="22"/>
                <w:lang w:val="en-AU"/>
              </w:rPr>
              <w:t xml:space="preserve">ection </w:t>
            </w:r>
            <w:r w:rsidR="009D0181" w:rsidRPr="004360BF">
              <w:rPr>
                <w:sz w:val="22"/>
                <w:szCs w:val="22"/>
                <w:lang w:val="en-AU"/>
              </w:rPr>
              <w:fldChar w:fldCharType="begin"/>
            </w:r>
            <w:r w:rsidR="009D0181" w:rsidRPr="004360BF">
              <w:rPr>
                <w:sz w:val="22"/>
                <w:szCs w:val="22"/>
                <w:lang w:val="en-AU"/>
              </w:rPr>
              <w:instrText xml:space="preserve"> REF _Ref385856305 \r \h </w:instrText>
            </w:r>
            <w:r w:rsidR="009D0181" w:rsidRPr="004360BF">
              <w:rPr>
                <w:sz w:val="22"/>
                <w:szCs w:val="22"/>
                <w:lang w:val="en-AU"/>
              </w:rPr>
            </w:r>
            <w:r w:rsidR="009D0181" w:rsidRPr="004360BF">
              <w:rPr>
                <w:sz w:val="22"/>
                <w:szCs w:val="22"/>
                <w:lang w:val="en-AU"/>
              </w:rPr>
              <w:fldChar w:fldCharType="separate"/>
            </w:r>
            <w:r w:rsidR="008D3215">
              <w:rPr>
                <w:sz w:val="22"/>
                <w:szCs w:val="22"/>
                <w:lang w:val="en-AU"/>
              </w:rPr>
              <w:t>13.3.1</w:t>
            </w:r>
            <w:r w:rsidR="009D0181" w:rsidRPr="004360BF">
              <w:rPr>
                <w:sz w:val="22"/>
                <w:szCs w:val="22"/>
                <w:lang w:val="en-AU"/>
              </w:rPr>
              <w:fldChar w:fldCharType="end"/>
            </w:r>
            <w:r w:rsidRPr="004360BF">
              <w:rPr>
                <w:sz w:val="22"/>
                <w:szCs w:val="22"/>
                <w:lang w:val="en-AU"/>
              </w:rPr>
              <w:t xml:space="preserve"> </w:t>
            </w:r>
            <w:r w:rsidR="004E2C9A" w:rsidRPr="004360BF">
              <w:rPr>
                <w:sz w:val="22"/>
                <w:szCs w:val="22"/>
                <w:lang w:val="en-AU"/>
              </w:rPr>
              <w:t>of Power Networks’ 201</w:t>
            </w:r>
            <w:r w:rsidR="009E5CA0" w:rsidRPr="004360BF">
              <w:rPr>
                <w:sz w:val="22"/>
                <w:szCs w:val="22"/>
                <w:lang w:val="en-AU"/>
              </w:rPr>
              <w:t>5</w:t>
            </w:r>
            <w:r w:rsidR="004E2C9A" w:rsidRPr="004360BF">
              <w:rPr>
                <w:sz w:val="22"/>
                <w:szCs w:val="22"/>
                <w:lang w:val="en-AU"/>
              </w:rPr>
              <w:t>/1</w:t>
            </w:r>
            <w:r w:rsidR="009E5CA0" w:rsidRPr="004360BF">
              <w:rPr>
                <w:sz w:val="22"/>
                <w:szCs w:val="22"/>
                <w:lang w:val="en-AU"/>
              </w:rPr>
              <w:t>6</w:t>
            </w:r>
            <w:r w:rsidR="004E2C9A" w:rsidRPr="004360BF">
              <w:rPr>
                <w:sz w:val="22"/>
                <w:szCs w:val="22"/>
                <w:lang w:val="en-AU"/>
              </w:rPr>
              <w:t xml:space="preserve"> Network Pricing Proposal (Part B) </w:t>
            </w:r>
            <w:r w:rsidRPr="004360BF">
              <w:rPr>
                <w:sz w:val="22"/>
                <w:szCs w:val="22"/>
                <w:lang w:val="en-AU"/>
              </w:rPr>
              <w:t>describes the way in which Power Networks has taken into account the LRMC in setting the charging parameters of individual tariffs.</w:t>
            </w:r>
          </w:p>
        </w:tc>
      </w:tr>
      <w:tr w:rsidR="008B4D5E" w:rsidRPr="004360BF" w14:paraId="6FB5F672" w14:textId="77777777" w:rsidTr="009A19FD">
        <w:trPr>
          <w:cantSplit/>
          <w:trHeight w:val="4026"/>
        </w:trPr>
        <w:tc>
          <w:tcPr>
            <w:tcW w:w="2835" w:type="dxa"/>
          </w:tcPr>
          <w:p w14:paraId="05E9C91B" w14:textId="77777777" w:rsidR="008B4D5E" w:rsidRPr="004360BF" w:rsidRDefault="008B4D5E" w:rsidP="00EE7AA1">
            <w:pPr>
              <w:keepNext/>
              <w:numPr>
                <w:ilvl w:val="0"/>
                <w:numId w:val="10"/>
              </w:numPr>
              <w:spacing w:before="40" w:after="40"/>
              <w:ind w:left="567" w:right="17" w:hanging="567"/>
              <w:rPr>
                <w:sz w:val="22"/>
                <w:szCs w:val="22"/>
                <w:lang w:val="en-AU"/>
              </w:rPr>
            </w:pPr>
            <w:r w:rsidRPr="004360BF">
              <w:rPr>
                <w:rFonts w:cs="Tahoma"/>
                <w:sz w:val="22"/>
                <w:szCs w:val="22"/>
                <w:lang w:val="en-AU"/>
              </w:rPr>
              <w:t>had regard to:</w:t>
            </w:r>
          </w:p>
          <w:p w14:paraId="74D4BCCA" w14:textId="77777777" w:rsidR="008B4D5E" w:rsidRPr="004360BF" w:rsidRDefault="008B4D5E" w:rsidP="00EC14E4">
            <w:pPr>
              <w:spacing w:before="40" w:after="40"/>
              <w:ind w:left="994" w:right="18" w:hanging="426"/>
              <w:rPr>
                <w:rFonts w:cs="Tahoma"/>
                <w:sz w:val="22"/>
                <w:szCs w:val="22"/>
                <w:lang w:val="en-AU"/>
              </w:rPr>
            </w:pPr>
            <w:r w:rsidRPr="004360BF">
              <w:rPr>
                <w:rFonts w:cs="Tahoma"/>
                <w:sz w:val="22"/>
                <w:szCs w:val="22"/>
                <w:lang w:val="en-AU"/>
              </w:rPr>
              <w:t>(</w:t>
            </w:r>
            <w:proofErr w:type="spellStart"/>
            <w:r w:rsidRPr="004360BF">
              <w:rPr>
                <w:rFonts w:cs="Tahoma"/>
                <w:sz w:val="22"/>
                <w:szCs w:val="22"/>
                <w:lang w:val="en-AU"/>
              </w:rPr>
              <w:t>i</w:t>
            </w:r>
            <w:proofErr w:type="spellEnd"/>
            <w:r w:rsidRPr="004360BF">
              <w:rPr>
                <w:rFonts w:cs="Tahoma"/>
                <w:sz w:val="22"/>
                <w:szCs w:val="22"/>
                <w:lang w:val="en-AU"/>
              </w:rPr>
              <w:t>)</w:t>
            </w:r>
            <w:r w:rsidRPr="004360BF">
              <w:rPr>
                <w:rFonts w:cs="Tahoma"/>
                <w:sz w:val="22"/>
                <w:szCs w:val="22"/>
                <w:lang w:val="en-AU"/>
              </w:rPr>
              <w:tab/>
              <w:t>transaction costs associated with the tariff or each charging parameter; and</w:t>
            </w:r>
          </w:p>
          <w:p w14:paraId="205B8320" w14:textId="77777777" w:rsidR="008B4D5E" w:rsidRPr="004360BF" w:rsidRDefault="008B4D5E" w:rsidP="00EC14E4">
            <w:pPr>
              <w:spacing w:before="40" w:after="40"/>
              <w:ind w:left="994" w:right="18" w:hanging="426"/>
              <w:rPr>
                <w:sz w:val="22"/>
                <w:szCs w:val="22"/>
                <w:lang w:val="en-AU"/>
              </w:rPr>
            </w:pPr>
            <w:r w:rsidRPr="004360BF">
              <w:rPr>
                <w:rFonts w:cs="Tahoma"/>
                <w:sz w:val="22"/>
                <w:szCs w:val="22"/>
                <w:lang w:val="en-AU"/>
              </w:rPr>
              <w:t xml:space="preserve">(ii) </w:t>
            </w:r>
            <w:r w:rsidRPr="004360BF">
              <w:rPr>
                <w:rFonts w:cs="Tahoma"/>
                <w:sz w:val="22"/>
                <w:szCs w:val="22"/>
                <w:lang w:val="en-AU"/>
              </w:rPr>
              <w:tab/>
            </w:r>
            <w:proofErr w:type="gramStart"/>
            <w:r w:rsidRPr="004360BF">
              <w:rPr>
                <w:rFonts w:cs="Tahoma"/>
                <w:sz w:val="22"/>
                <w:szCs w:val="22"/>
                <w:lang w:val="en-AU"/>
              </w:rPr>
              <w:t>whether</w:t>
            </w:r>
            <w:proofErr w:type="gramEnd"/>
            <w:r w:rsidRPr="004360BF">
              <w:rPr>
                <w:rFonts w:cs="Tahoma"/>
                <w:sz w:val="22"/>
                <w:szCs w:val="22"/>
                <w:lang w:val="en-AU"/>
              </w:rPr>
              <w:t xml:space="preserve"> customers of the relevant tariff class are able or likely to respond to price signals.</w:t>
            </w:r>
          </w:p>
        </w:tc>
        <w:tc>
          <w:tcPr>
            <w:tcW w:w="6299" w:type="dxa"/>
          </w:tcPr>
          <w:p w14:paraId="71C23245" w14:textId="49604AE1" w:rsidR="008B4D5E" w:rsidRPr="004360BF" w:rsidRDefault="008B4D5E" w:rsidP="008B4D5E">
            <w:pPr>
              <w:spacing w:before="40" w:after="40"/>
              <w:rPr>
                <w:sz w:val="22"/>
                <w:szCs w:val="22"/>
                <w:lang w:val="en-AU"/>
              </w:rPr>
            </w:pPr>
            <w:r w:rsidRPr="004360BF">
              <w:rPr>
                <w:sz w:val="22"/>
                <w:szCs w:val="22"/>
                <w:lang w:val="en-AU"/>
              </w:rPr>
              <w:t xml:space="preserve">Power Networks </w:t>
            </w:r>
            <w:r w:rsidR="00537415" w:rsidRPr="004360BF">
              <w:rPr>
                <w:sz w:val="22"/>
                <w:szCs w:val="22"/>
                <w:lang w:val="en-AU"/>
              </w:rPr>
              <w:t>is simplifying</w:t>
            </w:r>
            <w:r w:rsidRPr="004360BF">
              <w:rPr>
                <w:sz w:val="22"/>
                <w:szCs w:val="22"/>
                <w:lang w:val="en-AU"/>
              </w:rPr>
              <w:t xml:space="preserve"> the tariffs of larger (annual consumption greater than 750 </w:t>
            </w:r>
            <w:proofErr w:type="spellStart"/>
            <w:r w:rsidRPr="004360BF">
              <w:rPr>
                <w:sz w:val="22"/>
                <w:szCs w:val="22"/>
                <w:lang w:val="en-AU"/>
              </w:rPr>
              <w:t>MWh</w:t>
            </w:r>
            <w:proofErr w:type="spellEnd"/>
            <w:r w:rsidRPr="004360BF">
              <w:rPr>
                <w:sz w:val="22"/>
                <w:szCs w:val="22"/>
                <w:lang w:val="en-AU"/>
              </w:rPr>
              <w:t>) commercial customers, by progressively reducing the number of energy and demand blocks</w:t>
            </w:r>
            <w:r w:rsidR="00537415" w:rsidRPr="004360BF">
              <w:rPr>
                <w:sz w:val="22"/>
                <w:szCs w:val="22"/>
                <w:lang w:val="en-AU"/>
              </w:rPr>
              <w:t xml:space="preserve"> for </w:t>
            </w:r>
            <w:r w:rsidR="007B1D27" w:rsidRPr="004360BF">
              <w:rPr>
                <w:sz w:val="22"/>
                <w:szCs w:val="22"/>
                <w:lang w:val="en-AU"/>
              </w:rPr>
              <w:t>k</w:t>
            </w:r>
            <w:r w:rsidR="00537415" w:rsidRPr="004360BF">
              <w:rPr>
                <w:sz w:val="22"/>
                <w:szCs w:val="22"/>
                <w:lang w:val="en-AU"/>
              </w:rPr>
              <w:t xml:space="preserve">VA and </w:t>
            </w:r>
            <w:r w:rsidR="007B1D27" w:rsidRPr="004360BF">
              <w:rPr>
                <w:sz w:val="22"/>
                <w:szCs w:val="22"/>
                <w:lang w:val="en-AU"/>
              </w:rPr>
              <w:t>k</w:t>
            </w:r>
            <w:r w:rsidR="00537415" w:rsidRPr="004360BF">
              <w:rPr>
                <w:sz w:val="22"/>
                <w:szCs w:val="22"/>
                <w:lang w:val="en-AU"/>
              </w:rPr>
              <w:t xml:space="preserve">Wh customers down to three </w:t>
            </w:r>
            <w:r w:rsidR="007B1D27" w:rsidRPr="004360BF">
              <w:rPr>
                <w:sz w:val="22"/>
                <w:szCs w:val="22"/>
                <w:lang w:val="en-AU"/>
              </w:rPr>
              <w:t xml:space="preserve">in 2015/16 </w:t>
            </w:r>
            <w:r w:rsidR="00537415" w:rsidRPr="004360BF">
              <w:rPr>
                <w:sz w:val="22"/>
                <w:szCs w:val="22"/>
                <w:lang w:val="en-AU"/>
              </w:rPr>
              <w:t xml:space="preserve">from </w:t>
            </w:r>
            <w:r w:rsidR="007B1D27" w:rsidRPr="004360BF">
              <w:rPr>
                <w:sz w:val="22"/>
                <w:szCs w:val="22"/>
                <w:lang w:val="en-AU"/>
              </w:rPr>
              <w:t>five in the previous year</w:t>
            </w:r>
            <w:r w:rsidR="00537415" w:rsidRPr="004360BF">
              <w:rPr>
                <w:sz w:val="22"/>
                <w:szCs w:val="22"/>
                <w:lang w:val="en-AU"/>
              </w:rPr>
              <w:t>.</w:t>
            </w:r>
          </w:p>
          <w:p w14:paraId="420F847E" w14:textId="6445666F" w:rsidR="008B4D5E" w:rsidRPr="004360BF" w:rsidRDefault="008B4D5E" w:rsidP="00C210A9">
            <w:pPr>
              <w:spacing w:before="40" w:after="40"/>
              <w:rPr>
                <w:sz w:val="22"/>
                <w:szCs w:val="22"/>
                <w:lang w:val="en-AU"/>
              </w:rPr>
            </w:pPr>
            <w:r w:rsidRPr="004360BF">
              <w:rPr>
                <w:sz w:val="22"/>
                <w:szCs w:val="22"/>
                <w:lang w:val="en-AU"/>
              </w:rPr>
              <w:t xml:space="preserve">This matter is addressed in more detail in section </w:t>
            </w:r>
            <w:r w:rsidR="009D0181" w:rsidRPr="004360BF">
              <w:rPr>
                <w:sz w:val="22"/>
                <w:szCs w:val="22"/>
                <w:lang w:val="en-AU"/>
              </w:rPr>
              <w:fldChar w:fldCharType="begin"/>
            </w:r>
            <w:r w:rsidR="009D0181" w:rsidRPr="004360BF">
              <w:rPr>
                <w:sz w:val="22"/>
                <w:szCs w:val="22"/>
                <w:lang w:val="en-AU"/>
              </w:rPr>
              <w:instrText xml:space="preserve"> REF _Ref260825638 \r \h </w:instrText>
            </w:r>
            <w:r w:rsidR="009D0181" w:rsidRPr="004360BF">
              <w:rPr>
                <w:sz w:val="22"/>
                <w:szCs w:val="22"/>
                <w:lang w:val="en-AU"/>
              </w:rPr>
            </w:r>
            <w:r w:rsidR="009D0181" w:rsidRPr="004360BF">
              <w:rPr>
                <w:sz w:val="22"/>
                <w:szCs w:val="22"/>
                <w:lang w:val="en-AU"/>
              </w:rPr>
              <w:fldChar w:fldCharType="separate"/>
            </w:r>
            <w:r w:rsidR="008D3215">
              <w:rPr>
                <w:sz w:val="22"/>
                <w:szCs w:val="22"/>
                <w:lang w:val="en-AU"/>
              </w:rPr>
              <w:t>13.4</w:t>
            </w:r>
            <w:r w:rsidR="009D0181" w:rsidRPr="004360BF">
              <w:rPr>
                <w:sz w:val="22"/>
                <w:szCs w:val="22"/>
                <w:lang w:val="en-AU"/>
              </w:rPr>
              <w:fldChar w:fldCharType="end"/>
            </w:r>
            <w:r w:rsidRPr="004360BF">
              <w:rPr>
                <w:sz w:val="22"/>
                <w:szCs w:val="22"/>
                <w:lang w:val="en-AU"/>
              </w:rPr>
              <w:t>.</w:t>
            </w:r>
          </w:p>
          <w:p w14:paraId="685AA053" w14:textId="77777777" w:rsidR="008B4D5E" w:rsidRPr="004360BF" w:rsidRDefault="008B4D5E" w:rsidP="00B3586A">
            <w:pPr>
              <w:spacing w:before="40" w:after="40"/>
              <w:rPr>
                <w:sz w:val="22"/>
                <w:szCs w:val="22"/>
                <w:lang w:val="en-AU"/>
              </w:rPr>
            </w:pPr>
            <w:r w:rsidRPr="004360BF">
              <w:rPr>
                <w:sz w:val="22"/>
                <w:szCs w:val="22"/>
                <w:lang w:val="en-AU"/>
              </w:rPr>
              <w:t xml:space="preserve">The price signals embodied in Power Networks’ tariffs are subject to many considerations. They have been aligned </w:t>
            </w:r>
            <w:r w:rsidR="002422AC" w:rsidRPr="004360BF">
              <w:rPr>
                <w:sz w:val="22"/>
                <w:szCs w:val="22"/>
                <w:lang w:val="en-AU"/>
              </w:rPr>
              <w:t xml:space="preserve">to the maximum extent practical </w:t>
            </w:r>
            <w:r w:rsidRPr="004360BF">
              <w:rPr>
                <w:sz w:val="22"/>
                <w:szCs w:val="22"/>
                <w:lang w:val="en-AU"/>
              </w:rPr>
              <w:t xml:space="preserve">with the LRMC for the network, with the express intention of minimising distortionary pricing arrangements. In this way, the probability of customers responding in a way that will mitigate demand growth is maximised. </w:t>
            </w:r>
          </w:p>
          <w:p w14:paraId="77C58616" w14:textId="675DCF05" w:rsidR="008B4D5E" w:rsidRPr="004360BF" w:rsidRDefault="008B4D5E" w:rsidP="008F47C9">
            <w:pPr>
              <w:spacing w:before="40" w:after="40"/>
              <w:rPr>
                <w:sz w:val="22"/>
                <w:szCs w:val="22"/>
                <w:lang w:val="en-AU"/>
              </w:rPr>
            </w:pPr>
            <w:r w:rsidRPr="004360BF">
              <w:rPr>
                <w:sz w:val="22"/>
                <w:szCs w:val="22"/>
                <w:lang w:val="en-AU"/>
              </w:rPr>
              <w:t xml:space="preserve">This matter is addressed in more detail in section </w:t>
            </w:r>
            <w:r w:rsidR="009D0181" w:rsidRPr="004360BF">
              <w:rPr>
                <w:sz w:val="22"/>
                <w:szCs w:val="22"/>
                <w:lang w:val="en-AU"/>
              </w:rPr>
              <w:fldChar w:fldCharType="begin"/>
            </w:r>
            <w:r w:rsidR="009D0181" w:rsidRPr="004360BF">
              <w:rPr>
                <w:sz w:val="22"/>
                <w:szCs w:val="22"/>
                <w:lang w:val="en-AU"/>
              </w:rPr>
              <w:instrText xml:space="preserve"> REF _Ref292367291 \r \h </w:instrText>
            </w:r>
            <w:r w:rsidR="009D0181" w:rsidRPr="004360BF">
              <w:rPr>
                <w:sz w:val="22"/>
                <w:szCs w:val="22"/>
                <w:lang w:val="en-AU"/>
              </w:rPr>
            </w:r>
            <w:r w:rsidR="009D0181" w:rsidRPr="004360BF">
              <w:rPr>
                <w:sz w:val="22"/>
                <w:szCs w:val="22"/>
                <w:lang w:val="en-AU"/>
              </w:rPr>
              <w:fldChar w:fldCharType="separate"/>
            </w:r>
            <w:r w:rsidR="008D3215">
              <w:rPr>
                <w:sz w:val="22"/>
                <w:szCs w:val="22"/>
                <w:lang w:val="en-AU"/>
              </w:rPr>
              <w:t>13.5</w:t>
            </w:r>
            <w:r w:rsidR="009D0181" w:rsidRPr="004360BF">
              <w:rPr>
                <w:sz w:val="22"/>
                <w:szCs w:val="22"/>
                <w:lang w:val="en-AU"/>
              </w:rPr>
              <w:fldChar w:fldCharType="end"/>
            </w:r>
            <w:r w:rsidRPr="004360BF">
              <w:rPr>
                <w:sz w:val="22"/>
                <w:szCs w:val="22"/>
                <w:lang w:val="en-AU"/>
              </w:rPr>
              <w:t>.</w:t>
            </w:r>
          </w:p>
        </w:tc>
      </w:tr>
    </w:tbl>
    <w:p w14:paraId="0F03B46A" w14:textId="77777777" w:rsidR="00B01442" w:rsidRPr="004360BF" w:rsidRDefault="00B01442" w:rsidP="00B01442">
      <w:pPr>
        <w:spacing w:after="0"/>
        <w:rPr>
          <w:lang w:val="en-AU"/>
        </w:rPr>
      </w:pPr>
      <w:bookmarkStart w:id="229" w:name="_Ref260820411"/>
      <w:bookmarkStart w:id="230" w:name="_Ref260820580"/>
      <w:bookmarkStart w:id="231" w:name="_Toc417291247"/>
      <w:bookmarkStart w:id="232" w:name="_Toc417291747"/>
      <w:bookmarkStart w:id="233" w:name="_Toc417292515"/>
      <w:bookmarkStart w:id="234" w:name="_Toc291262236"/>
    </w:p>
    <w:p w14:paraId="32BC6861" w14:textId="77777777" w:rsidR="00DB4B69" w:rsidRPr="004360BF" w:rsidRDefault="00DB4B69" w:rsidP="00B30BF6">
      <w:pPr>
        <w:pStyle w:val="Heading1"/>
      </w:pPr>
      <w:bookmarkStart w:id="235" w:name="_Toc417458010"/>
      <w:bookmarkStart w:id="236" w:name="_Toc418608679"/>
      <w:r w:rsidRPr="004360BF">
        <w:t xml:space="preserve">Price </w:t>
      </w:r>
      <w:r w:rsidR="00D66923" w:rsidRPr="004360BF">
        <w:t>M</w:t>
      </w:r>
      <w:r w:rsidRPr="004360BF">
        <w:t>odelling</w:t>
      </w:r>
      <w:bookmarkEnd w:id="229"/>
      <w:bookmarkEnd w:id="230"/>
      <w:bookmarkEnd w:id="231"/>
      <w:bookmarkEnd w:id="232"/>
      <w:bookmarkEnd w:id="233"/>
      <w:bookmarkEnd w:id="234"/>
      <w:bookmarkEnd w:id="235"/>
      <w:bookmarkEnd w:id="236"/>
    </w:p>
    <w:p w14:paraId="00FD198C" w14:textId="77777777" w:rsidR="00DB4B69" w:rsidRPr="004360BF" w:rsidRDefault="00CB6416" w:rsidP="007B1D27">
      <w:pPr>
        <w:rPr>
          <w:lang w:val="en-AU"/>
        </w:rPr>
      </w:pPr>
      <w:r w:rsidRPr="004360BF">
        <w:rPr>
          <w:lang w:val="en-AU"/>
        </w:rPr>
        <w:t xml:space="preserve">As per clause 16.5 of the RIN, </w:t>
      </w:r>
      <w:r w:rsidR="00DB4B69" w:rsidRPr="004360BF">
        <w:rPr>
          <w:lang w:val="en-AU"/>
        </w:rPr>
        <w:t xml:space="preserve">Power </w:t>
      </w:r>
      <w:r w:rsidR="008D4D7D" w:rsidRPr="004360BF">
        <w:rPr>
          <w:lang w:val="en-AU"/>
        </w:rPr>
        <w:t>N</w:t>
      </w:r>
      <w:r w:rsidR="00DB4B69" w:rsidRPr="004360BF">
        <w:rPr>
          <w:lang w:val="en-AU"/>
        </w:rPr>
        <w:t xml:space="preserve">etworks has provided its Cost of Supply Model </w:t>
      </w:r>
      <w:r w:rsidR="00D54AFE" w:rsidRPr="004360BF">
        <w:rPr>
          <w:lang w:val="en-AU"/>
        </w:rPr>
        <w:t>(201</w:t>
      </w:r>
      <w:r w:rsidR="006417E8" w:rsidRPr="004360BF">
        <w:rPr>
          <w:lang w:val="en-AU"/>
        </w:rPr>
        <w:t>5</w:t>
      </w:r>
      <w:r w:rsidR="006B3299" w:rsidRPr="004360BF">
        <w:rPr>
          <w:lang w:val="en-AU"/>
        </w:rPr>
        <w:t>/</w:t>
      </w:r>
      <w:r w:rsidR="00D54AFE" w:rsidRPr="004360BF">
        <w:rPr>
          <w:lang w:val="en-AU"/>
        </w:rPr>
        <w:t>1</w:t>
      </w:r>
      <w:r w:rsidR="006417E8" w:rsidRPr="004360BF">
        <w:rPr>
          <w:lang w:val="en-AU"/>
        </w:rPr>
        <w:t>6</w:t>
      </w:r>
      <w:r w:rsidR="00D54AFE" w:rsidRPr="004360BF">
        <w:rPr>
          <w:lang w:val="en-AU"/>
        </w:rPr>
        <w:t xml:space="preserve"> Pricing Proposal Model) </w:t>
      </w:r>
      <w:r w:rsidR="00DB4B69" w:rsidRPr="004360BF">
        <w:rPr>
          <w:lang w:val="en-AU"/>
        </w:rPr>
        <w:t xml:space="preserve">to the Commission as </w:t>
      </w:r>
      <w:r w:rsidR="00BA4609" w:rsidRPr="004360BF">
        <w:rPr>
          <w:lang w:val="en-AU"/>
        </w:rPr>
        <w:t xml:space="preserve">Confidential </w:t>
      </w:r>
      <w:r w:rsidR="00DB4B69" w:rsidRPr="004360BF">
        <w:rPr>
          <w:lang w:val="en-AU"/>
        </w:rPr>
        <w:t xml:space="preserve">Attachment </w:t>
      </w:r>
      <w:r w:rsidR="00BF3427" w:rsidRPr="004360BF">
        <w:rPr>
          <w:lang w:val="en-AU"/>
        </w:rPr>
        <w:t>6</w:t>
      </w:r>
      <w:r w:rsidR="00DB4B69" w:rsidRPr="004360BF">
        <w:rPr>
          <w:lang w:val="en-AU"/>
        </w:rPr>
        <w:t xml:space="preserve"> to this Proposal.</w:t>
      </w:r>
      <w:r w:rsidR="00CC6CF8" w:rsidRPr="004360BF">
        <w:rPr>
          <w:lang w:val="en-AU"/>
        </w:rPr>
        <w:t xml:space="preserve"> </w:t>
      </w:r>
      <w:r w:rsidR="009A4982" w:rsidRPr="004360BF">
        <w:rPr>
          <w:lang w:val="en-AU"/>
        </w:rPr>
        <w:t xml:space="preserve">This is a </w:t>
      </w:r>
      <w:r w:rsidR="003E03AA" w:rsidRPr="004360BF">
        <w:rPr>
          <w:lang w:val="en-AU"/>
        </w:rPr>
        <w:t xml:space="preserve">commercial-in-confidence </w:t>
      </w:r>
      <w:r w:rsidR="009A4982" w:rsidRPr="004360BF">
        <w:rPr>
          <w:lang w:val="en-AU"/>
        </w:rPr>
        <w:t xml:space="preserve">attachment </w:t>
      </w:r>
      <w:r w:rsidR="003E03AA" w:rsidRPr="004360BF">
        <w:rPr>
          <w:lang w:val="en-AU"/>
        </w:rPr>
        <w:t xml:space="preserve">as </w:t>
      </w:r>
      <w:r w:rsidR="009A4982" w:rsidRPr="004360BF">
        <w:rPr>
          <w:lang w:val="en-AU"/>
        </w:rPr>
        <w:t>the model</w:t>
      </w:r>
      <w:r w:rsidR="003E03AA" w:rsidRPr="004360BF">
        <w:rPr>
          <w:lang w:val="en-AU"/>
        </w:rPr>
        <w:t xml:space="preserve"> contains information on individual customers</w:t>
      </w:r>
      <w:r w:rsidR="008F656A" w:rsidRPr="004360BF">
        <w:rPr>
          <w:lang w:val="en-AU"/>
        </w:rPr>
        <w:t xml:space="preserve">. </w:t>
      </w:r>
    </w:p>
    <w:p w14:paraId="08C9CE34" w14:textId="5D67E7F4" w:rsidR="005B4F24" w:rsidRPr="004360BF" w:rsidRDefault="005B4F24" w:rsidP="007B1D27">
      <w:pPr>
        <w:rPr>
          <w:lang w:val="en-AU"/>
        </w:rPr>
      </w:pPr>
      <w:r w:rsidRPr="004360BF">
        <w:rPr>
          <w:lang w:val="en-AU"/>
        </w:rPr>
        <w:t xml:space="preserve">The purpose of the Cost of Supply Model is to enable the comparison of proposed tariffs with the cost reflective outcome. It enables the changes in individual tariffs and their </w:t>
      </w:r>
      <w:r w:rsidR="00112A4E" w:rsidRPr="004360BF">
        <w:rPr>
          <w:lang w:val="en-AU"/>
        </w:rPr>
        <w:t xml:space="preserve">charging parameters </w:t>
      </w:r>
      <w:r w:rsidRPr="004360BF">
        <w:rPr>
          <w:lang w:val="en-AU"/>
        </w:rPr>
        <w:t>to be managed so as to improve their overall cost reflectivity, whilst also ensuring that Power Networks complies with the requirements of the Commission’s</w:t>
      </w:r>
      <w:r w:rsidR="003D5078">
        <w:rPr>
          <w:lang w:val="en-AU"/>
        </w:rPr>
        <w:t xml:space="preserve"> 2014 NPD Final Determination.</w:t>
      </w:r>
    </w:p>
    <w:p w14:paraId="40F8592A" w14:textId="790A7B5F" w:rsidR="00EC6F00" w:rsidRPr="004360BF" w:rsidRDefault="005B4F24" w:rsidP="007B1D27">
      <w:pPr>
        <w:rPr>
          <w:lang w:val="en-AU"/>
        </w:rPr>
      </w:pPr>
      <w:r w:rsidRPr="004360BF">
        <w:rPr>
          <w:lang w:val="en-AU"/>
        </w:rPr>
        <w:lastRenderedPageBreak/>
        <w:t xml:space="preserve">The </w:t>
      </w:r>
      <w:r w:rsidR="009A4982" w:rsidRPr="004360BF">
        <w:rPr>
          <w:lang w:val="en-AU"/>
        </w:rPr>
        <w:t>m</w:t>
      </w:r>
      <w:r w:rsidRPr="004360BF">
        <w:rPr>
          <w:lang w:val="en-AU"/>
        </w:rPr>
        <w:t>odel does this by calculating the cost of supplying customers in 201</w:t>
      </w:r>
      <w:r w:rsidR="008D6C35" w:rsidRPr="004360BF">
        <w:rPr>
          <w:lang w:val="en-AU"/>
        </w:rPr>
        <w:t>5</w:t>
      </w:r>
      <w:r w:rsidRPr="004360BF">
        <w:rPr>
          <w:lang w:val="en-AU"/>
        </w:rPr>
        <w:t>/1</w:t>
      </w:r>
      <w:r w:rsidR="008D6C35" w:rsidRPr="004360BF">
        <w:rPr>
          <w:lang w:val="en-AU"/>
        </w:rPr>
        <w:t>6</w:t>
      </w:r>
      <w:r w:rsidR="00B01442" w:rsidRPr="004360BF">
        <w:rPr>
          <w:lang w:val="en-AU"/>
        </w:rPr>
        <w:t xml:space="preserve">.  </w:t>
      </w:r>
      <w:r w:rsidRPr="004360BF">
        <w:rPr>
          <w:lang w:val="en-AU"/>
        </w:rPr>
        <w:t xml:space="preserve">It compares this with the revenue </w:t>
      </w:r>
      <w:r w:rsidR="00AB0C38" w:rsidRPr="004360BF">
        <w:rPr>
          <w:lang w:val="en-AU"/>
        </w:rPr>
        <w:t>forecast</w:t>
      </w:r>
      <w:r w:rsidRPr="004360BF">
        <w:rPr>
          <w:lang w:val="en-AU"/>
        </w:rPr>
        <w:t xml:space="preserve"> through </w:t>
      </w:r>
      <w:r w:rsidR="00AB0C38" w:rsidRPr="004360BF">
        <w:rPr>
          <w:lang w:val="en-AU"/>
        </w:rPr>
        <w:t xml:space="preserve">proposed </w:t>
      </w:r>
      <w:r w:rsidRPr="004360BF">
        <w:rPr>
          <w:lang w:val="en-AU"/>
        </w:rPr>
        <w:t xml:space="preserve">tariffs at the individual </w:t>
      </w:r>
      <w:r w:rsidR="009A4982" w:rsidRPr="004360BF">
        <w:rPr>
          <w:lang w:val="en-AU"/>
        </w:rPr>
        <w:t xml:space="preserve">large </w:t>
      </w:r>
      <w:r w:rsidRPr="004360BF">
        <w:rPr>
          <w:lang w:val="en-AU"/>
        </w:rPr>
        <w:t>customer</w:t>
      </w:r>
      <w:r w:rsidR="009A4982" w:rsidRPr="004360BF">
        <w:rPr>
          <w:lang w:val="en-AU"/>
        </w:rPr>
        <w:t>, tariff</w:t>
      </w:r>
      <w:r w:rsidRPr="004360BF">
        <w:rPr>
          <w:lang w:val="en-AU"/>
        </w:rPr>
        <w:t xml:space="preserve"> and tariff class level. The </w:t>
      </w:r>
      <w:r w:rsidR="009A4982" w:rsidRPr="004360BF">
        <w:rPr>
          <w:lang w:val="en-AU"/>
        </w:rPr>
        <w:t>c</w:t>
      </w:r>
      <w:r w:rsidRPr="004360BF">
        <w:rPr>
          <w:lang w:val="en-AU"/>
        </w:rPr>
        <w:t xml:space="preserve">ost of </w:t>
      </w:r>
      <w:r w:rsidR="009A4982" w:rsidRPr="004360BF">
        <w:rPr>
          <w:lang w:val="en-AU"/>
        </w:rPr>
        <w:t>s</w:t>
      </w:r>
      <w:r w:rsidRPr="004360BF">
        <w:rPr>
          <w:lang w:val="en-AU"/>
        </w:rPr>
        <w:t>upply is an allocation of the network cost to each tariff on the basis of i</w:t>
      </w:r>
      <w:r w:rsidR="00B01442" w:rsidRPr="004360BF">
        <w:rPr>
          <w:lang w:val="en-AU"/>
        </w:rPr>
        <w:t xml:space="preserve">ts cost impact on the network.  </w:t>
      </w:r>
      <w:r w:rsidRPr="004360BF">
        <w:rPr>
          <w:lang w:val="en-AU"/>
        </w:rPr>
        <w:t>The network costs are apportioned into cost pools and then allocated to the tariffs that use those pools.</w:t>
      </w:r>
    </w:p>
    <w:p w14:paraId="12816F0C" w14:textId="77777777" w:rsidR="00DB4B69" w:rsidRPr="004360BF" w:rsidRDefault="00DB4B69" w:rsidP="007B1D27">
      <w:pPr>
        <w:pStyle w:val="Heading1"/>
        <w:pageBreakBefore/>
        <w:numPr>
          <w:ilvl w:val="0"/>
          <w:numId w:val="0"/>
        </w:numPr>
      </w:pPr>
      <w:bookmarkStart w:id="237" w:name="_Ref260820416"/>
      <w:bookmarkStart w:id="238" w:name="_Toc417291248"/>
      <w:bookmarkStart w:id="239" w:name="_Toc417291748"/>
      <w:bookmarkStart w:id="240" w:name="_Toc417292516"/>
      <w:bookmarkStart w:id="241" w:name="_Toc291262237"/>
      <w:bookmarkStart w:id="242" w:name="_Toc417458011"/>
      <w:bookmarkStart w:id="243" w:name="_Toc418608680"/>
      <w:r w:rsidRPr="004360BF">
        <w:lastRenderedPageBreak/>
        <w:t>Part B:</w:t>
      </w:r>
      <w:r w:rsidR="00CC6CF8" w:rsidRPr="004360BF">
        <w:t xml:space="preserve"> </w:t>
      </w:r>
      <w:r w:rsidR="007417F6" w:rsidRPr="004360BF">
        <w:t xml:space="preserve"> </w:t>
      </w:r>
      <w:r w:rsidR="00DC715C" w:rsidRPr="004360BF">
        <w:t>201</w:t>
      </w:r>
      <w:r w:rsidR="006417E8" w:rsidRPr="004360BF">
        <w:t>5</w:t>
      </w:r>
      <w:r w:rsidR="006B3299" w:rsidRPr="004360BF">
        <w:t>/</w:t>
      </w:r>
      <w:r w:rsidR="00DC715C" w:rsidRPr="004360BF">
        <w:t>1</w:t>
      </w:r>
      <w:r w:rsidR="006417E8" w:rsidRPr="004360BF">
        <w:t>6</w:t>
      </w:r>
      <w:r w:rsidR="00DC715C" w:rsidRPr="004360BF">
        <w:t xml:space="preserve"> </w:t>
      </w:r>
      <w:r w:rsidR="001C4250" w:rsidRPr="004360BF">
        <w:t xml:space="preserve">Network </w:t>
      </w:r>
      <w:r w:rsidRPr="004360BF">
        <w:t>Pricing Proposal</w:t>
      </w:r>
      <w:bookmarkEnd w:id="237"/>
      <w:bookmarkEnd w:id="238"/>
      <w:bookmarkEnd w:id="239"/>
      <w:bookmarkEnd w:id="240"/>
      <w:bookmarkEnd w:id="241"/>
      <w:bookmarkEnd w:id="242"/>
      <w:bookmarkEnd w:id="243"/>
    </w:p>
    <w:p w14:paraId="0A8DE5CC" w14:textId="77777777" w:rsidR="003E03AA" w:rsidRPr="004360BF" w:rsidRDefault="003E03AA" w:rsidP="007B1D27">
      <w:pPr>
        <w:rPr>
          <w:lang w:val="en-AU"/>
        </w:rPr>
      </w:pPr>
      <w:r w:rsidRPr="004360BF">
        <w:rPr>
          <w:lang w:val="en-AU"/>
        </w:rPr>
        <w:t>The following chapters of Part B of this document address the Commission’s requirements for an indicative Network Pricing Proposal and Tariff Schedules, set out in clause 18</w:t>
      </w:r>
      <w:r w:rsidR="00CB6416" w:rsidRPr="004360BF">
        <w:rPr>
          <w:lang w:val="en-AU"/>
        </w:rPr>
        <w:t xml:space="preserve"> </w:t>
      </w:r>
      <w:r w:rsidRPr="004360BF">
        <w:rPr>
          <w:lang w:val="en-AU"/>
        </w:rPr>
        <w:t>of the RIN</w:t>
      </w:r>
      <w:r w:rsidRPr="004360BF">
        <w:rPr>
          <w:rStyle w:val="FootnoteReference"/>
          <w:lang w:val="en-AU"/>
        </w:rPr>
        <w:footnoteReference w:id="22"/>
      </w:r>
      <w:r w:rsidR="006E19C5" w:rsidRPr="004360BF">
        <w:rPr>
          <w:lang w:val="en-AU"/>
        </w:rPr>
        <w:t xml:space="preserve"> and clauses 78(1) and (2) of the TPA Code</w:t>
      </w:r>
      <w:r w:rsidR="00C04B02" w:rsidRPr="004360BF">
        <w:rPr>
          <w:rStyle w:val="FootnoteReference"/>
          <w:lang w:val="en-AU"/>
        </w:rPr>
        <w:footnoteReference w:id="23"/>
      </w:r>
      <w:r w:rsidRPr="004360BF">
        <w:rPr>
          <w:lang w:val="en-AU"/>
        </w:rPr>
        <w:t>.</w:t>
      </w:r>
      <w:r w:rsidR="00723A21" w:rsidRPr="004360BF">
        <w:rPr>
          <w:lang w:val="en-AU"/>
        </w:rPr>
        <w:t xml:space="preserve"> </w:t>
      </w:r>
    </w:p>
    <w:p w14:paraId="00B56CB3" w14:textId="77777777" w:rsidR="008145B7" w:rsidRPr="004360BF" w:rsidRDefault="00CD5DF2" w:rsidP="00B30BF6">
      <w:pPr>
        <w:pStyle w:val="Heading1"/>
      </w:pPr>
      <w:bookmarkStart w:id="244" w:name="_Toc387149783"/>
      <w:bookmarkStart w:id="245" w:name="_Toc387221127"/>
      <w:bookmarkStart w:id="246" w:name="_Ref258680630"/>
      <w:bookmarkStart w:id="247" w:name="_Ref258680712"/>
      <w:bookmarkStart w:id="248" w:name="_Toc417291249"/>
      <w:bookmarkStart w:id="249" w:name="_Toc417291749"/>
      <w:bookmarkStart w:id="250" w:name="_Toc417292517"/>
      <w:bookmarkStart w:id="251" w:name="_Toc291262238"/>
      <w:bookmarkStart w:id="252" w:name="_Toc417458012"/>
      <w:bookmarkStart w:id="253" w:name="_Toc418608681"/>
      <w:bookmarkEnd w:id="244"/>
      <w:bookmarkEnd w:id="245"/>
      <w:r w:rsidRPr="004360BF">
        <w:t xml:space="preserve">Power </w:t>
      </w:r>
      <w:r w:rsidR="008145B7" w:rsidRPr="004360BF">
        <w:t>Network</w:t>
      </w:r>
      <w:r w:rsidRPr="004360BF">
        <w:t>s’</w:t>
      </w:r>
      <w:r w:rsidR="008145B7" w:rsidRPr="004360BF">
        <w:t xml:space="preserve"> </w:t>
      </w:r>
      <w:r w:rsidR="00D66923" w:rsidRPr="004360BF">
        <w:t>T</w:t>
      </w:r>
      <w:r w:rsidR="00967999" w:rsidRPr="004360BF">
        <w:t xml:space="preserve">ariff </w:t>
      </w:r>
      <w:r w:rsidR="00D66923" w:rsidRPr="004360BF">
        <w:t>S</w:t>
      </w:r>
      <w:r w:rsidR="00967999" w:rsidRPr="004360BF">
        <w:t>trategy</w:t>
      </w:r>
      <w:bookmarkEnd w:id="203"/>
      <w:bookmarkEnd w:id="204"/>
      <w:bookmarkEnd w:id="246"/>
      <w:bookmarkEnd w:id="247"/>
      <w:bookmarkEnd w:id="248"/>
      <w:bookmarkEnd w:id="249"/>
      <w:bookmarkEnd w:id="250"/>
      <w:bookmarkEnd w:id="251"/>
      <w:bookmarkEnd w:id="252"/>
      <w:bookmarkEnd w:id="253"/>
    </w:p>
    <w:p w14:paraId="4B17BB3C" w14:textId="6485C607" w:rsidR="00967999" w:rsidRPr="004360BF" w:rsidRDefault="00967999" w:rsidP="007B1D27">
      <w:pPr>
        <w:rPr>
          <w:lang w:val="en-AU"/>
        </w:rPr>
      </w:pPr>
      <w:r w:rsidRPr="004360BF">
        <w:rPr>
          <w:lang w:val="en-AU"/>
        </w:rPr>
        <w:t xml:space="preserve">This </w:t>
      </w:r>
      <w:r w:rsidR="002C7069" w:rsidRPr="004360BF">
        <w:rPr>
          <w:lang w:val="en-AU"/>
        </w:rPr>
        <w:t>chapter</w:t>
      </w:r>
      <w:r w:rsidRPr="004360BF">
        <w:rPr>
          <w:lang w:val="en-AU"/>
        </w:rPr>
        <w:t xml:space="preserve"> presents the high level framework that Power Networks has applied to the development of its network tariff strategy</w:t>
      </w:r>
      <w:r w:rsidR="00C909CD" w:rsidRPr="004360BF">
        <w:rPr>
          <w:lang w:val="en-AU"/>
        </w:rPr>
        <w:t>, which remains consisten</w:t>
      </w:r>
      <w:r w:rsidR="00AB0C38" w:rsidRPr="004360BF">
        <w:rPr>
          <w:lang w:val="en-AU"/>
        </w:rPr>
        <w:t>t with that approved in 2014/15</w:t>
      </w:r>
      <w:r w:rsidRPr="004360BF">
        <w:rPr>
          <w:lang w:val="en-AU"/>
        </w:rPr>
        <w:t>.</w:t>
      </w:r>
    </w:p>
    <w:p w14:paraId="6876CD14" w14:textId="77777777" w:rsidR="00CD5DF2" w:rsidRPr="004360BF" w:rsidRDefault="00CD5DF2" w:rsidP="00B30BF6">
      <w:pPr>
        <w:pStyle w:val="Heading2"/>
      </w:pPr>
      <w:bookmarkStart w:id="254" w:name="_Ref258688032"/>
      <w:bookmarkStart w:id="255" w:name="_Toc417291250"/>
      <w:bookmarkStart w:id="256" w:name="_Toc417291750"/>
      <w:bookmarkStart w:id="257" w:name="_Toc417292518"/>
      <w:bookmarkStart w:id="258" w:name="_Toc291262239"/>
      <w:bookmarkStart w:id="259" w:name="_Toc417458013"/>
      <w:bookmarkStart w:id="260" w:name="_Toc418608682"/>
      <w:bookmarkEnd w:id="254"/>
      <w:r w:rsidRPr="004360BF">
        <w:t>Network tariff objectives</w:t>
      </w:r>
      <w:bookmarkEnd w:id="255"/>
      <w:bookmarkEnd w:id="256"/>
      <w:bookmarkEnd w:id="257"/>
      <w:bookmarkEnd w:id="258"/>
      <w:bookmarkEnd w:id="259"/>
      <w:bookmarkEnd w:id="260"/>
      <w:r w:rsidRPr="004360BF">
        <w:t xml:space="preserve"> </w:t>
      </w:r>
    </w:p>
    <w:p w14:paraId="30A66D3B" w14:textId="77777777" w:rsidR="006B030D" w:rsidRPr="004360BF" w:rsidRDefault="006B030D" w:rsidP="007B1D27">
      <w:pPr>
        <w:pStyle w:val="Dottop"/>
        <w:rPr>
          <w:lang w:val="en-AU"/>
        </w:rPr>
      </w:pPr>
      <w:r w:rsidRPr="004360BF">
        <w:rPr>
          <w:lang w:val="en-AU"/>
        </w:rPr>
        <w:t xml:space="preserve">The major objectives of network pricing </w:t>
      </w:r>
      <w:r w:rsidR="00C909CD" w:rsidRPr="004360BF">
        <w:rPr>
          <w:lang w:val="en-AU"/>
        </w:rPr>
        <w:t>continue to be</w:t>
      </w:r>
      <w:r w:rsidR="00643C14" w:rsidRPr="004360BF">
        <w:rPr>
          <w:lang w:val="en-AU"/>
        </w:rPr>
        <w:t xml:space="preserve"> as follows: </w:t>
      </w:r>
    </w:p>
    <w:p w14:paraId="7BB938A9" w14:textId="77777777" w:rsidR="006B030D" w:rsidRPr="004360BF" w:rsidRDefault="006B030D" w:rsidP="007B1D27">
      <w:pPr>
        <w:pStyle w:val="Dot"/>
        <w:rPr>
          <w:lang w:val="en-AU"/>
        </w:rPr>
      </w:pPr>
      <w:r w:rsidRPr="004360BF">
        <w:rPr>
          <w:b/>
          <w:i/>
          <w:lang w:val="en-AU"/>
        </w:rPr>
        <w:t>Pricing efficiency</w:t>
      </w:r>
      <w:r w:rsidRPr="004360BF">
        <w:rPr>
          <w:lang w:val="en-AU"/>
        </w:rPr>
        <w:t xml:space="preserve"> </w:t>
      </w:r>
      <w:r w:rsidR="001C11E5" w:rsidRPr="004360BF">
        <w:rPr>
          <w:lang w:val="en-AU"/>
        </w:rPr>
        <w:t>-</w:t>
      </w:r>
      <w:r w:rsidR="00643C14" w:rsidRPr="004360BF">
        <w:rPr>
          <w:lang w:val="en-AU"/>
        </w:rPr>
        <w:t xml:space="preserve"> </w:t>
      </w:r>
      <w:r w:rsidR="001C11E5" w:rsidRPr="004360BF">
        <w:rPr>
          <w:lang w:val="en-AU"/>
        </w:rPr>
        <w:t>an efficient network price is one that signals to the customer their contribution to the cost of providing network services</w:t>
      </w:r>
      <w:r w:rsidR="00967999" w:rsidRPr="004360BF">
        <w:rPr>
          <w:lang w:val="en-AU"/>
        </w:rPr>
        <w:t>;</w:t>
      </w:r>
      <w:r w:rsidRPr="004360BF">
        <w:rPr>
          <w:lang w:val="en-AU"/>
        </w:rPr>
        <w:t xml:space="preserve"> </w:t>
      </w:r>
    </w:p>
    <w:p w14:paraId="0BBFAF7F" w14:textId="77777777" w:rsidR="00643C14" w:rsidRPr="004360BF" w:rsidRDefault="006B030D" w:rsidP="007B1D27">
      <w:pPr>
        <w:pStyle w:val="Dot"/>
        <w:rPr>
          <w:lang w:val="en-AU"/>
        </w:rPr>
      </w:pPr>
      <w:r w:rsidRPr="004360BF">
        <w:rPr>
          <w:b/>
          <w:i/>
          <w:lang w:val="en-AU"/>
        </w:rPr>
        <w:t>Customer equity</w:t>
      </w:r>
      <w:r w:rsidRPr="004360BF">
        <w:rPr>
          <w:lang w:val="en-AU"/>
        </w:rPr>
        <w:t xml:space="preserve"> - customers should pay a reasonable allocated share of costs</w:t>
      </w:r>
      <w:r w:rsidR="00E27ED2" w:rsidRPr="004360BF">
        <w:rPr>
          <w:lang w:val="en-AU"/>
        </w:rPr>
        <w:t>,</w:t>
      </w:r>
      <w:r w:rsidRPr="004360BF">
        <w:rPr>
          <w:lang w:val="en-AU"/>
        </w:rPr>
        <w:t xml:space="preserve"> </w:t>
      </w:r>
      <w:r w:rsidR="00C909CD" w:rsidRPr="004360BF">
        <w:rPr>
          <w:lang w:val="en-AU"/>
        </w:rPr>
        <w:t>while</w:t>
      </w:r>
      <w:r w:rsidRPr="004360BF">
        <w:rPr>
          <w:lang w:val="en-AU"/>
        </w:rPr>
        <w:t xml:space="preserve"> moves towards efficient pricing </w:t>
      </w:r>
      <w:r w:rsidR="00C909CD" w:rsidRPr="004360BF">
        <w:rPr>
          <w:lang w:val="en-AU"/>
        </w:rPr>
        <w:t>are</w:t>
      </w:r>
      <w:r w:rsidRPr="004360BF">
        <w:rPr>
          <w:lang w:val="en-AU"/>
        </w:rPr>
        <w:t xml:space="preserve"> limit</w:t>
      </w:r>
      <w:r w:rsidR="00C909CD" w:rsidRPr="004360BF">
        <w:rPr>
          <w:lang w:val="en-AU"/>
        </w:rPr>
        <w:t>ed to avoid customer price shock</w:t>
      </w:r>
      <w:r w:rsidR="00967999" w:rsidRPr="004360BF">
        <w:rPr>
          <w:lang w:val="en-AU"/>
        </w:rPr>
        <w:t xml:space="preserve">; </w:t>
      </w:r>
    </w:p>
    <w:p w14:paraId="53BC579A" w14:textId="77777777" w:rsidR="006B030D" w:rsidRPr="004360BF" w:rsidRDefault="00643C14" w:rsidP="007B1D27">
      <w:pPr>
        <w:pStyle w:val="Dot"/>
        <w:rPr>
          <w:lang w:val="en-AU"/>
        </w:rPr>
      </w:pPr>
      <w:r w:rsidRPr="004360BF">
        <w:rPr>
          <w:b/>
          <w:i/>
          <w:lang w:val="en-AU"/>
        </w:rPr>
        <w:t>Pricing simplicity</w:t>
      </w:r>
      <w:r w:rsidRPr="004360BF">
        <w:rPr>
          <w:lang w:val="en-AU"/>
        </w:rPr>
        <w:t xml:space="preserve"> - price structures should be understandable, simple and transparent; and</w:t>
      </w:r>
    </w:p>
    <w:p w14:paraId="7B799F2F" w14:textId="77777777" w:rsidR="00643C14" w:rsidRPr="004360BF" w:rsidRDefault="00643C14" w:rsidP="007B1D27">
      <w:pPr>
        <w:pStyle w:val="Dotbot"/>
        <w:rPr>
          <w:lang w:val="en-AU"/>
        </w:rPr>
      </w:pPr>
      <w:r w:rsidRPr="004360BF">
        <w:rPr>
          <w:b/>
          <w:i/>
          <w:lang w:val="en-AU"/>
        </w:rPr>
        <w:t>Revenue sufficiency</w:t>
      </w:r>
      <w:r w:rsidRPr="004360BF">
        <w:rPr>
          <w:lang w:val="en-AU"/>
        </w:rPr>
        <w:t xml:space="preserve"> - prices are formulated to recover the regulated revenue allowance.</w:t>
      </w:r>
    </w:p>
    <w:p w14:paraId="03DCD207" w14:textId="77777777" w:rsidR="006B030D" w:rsidRPr="004360BF" w:rsidRDefault="00967999" w:rsidP="00B30BF6">
      <w:pPr>
        <w:pStyle w:val="Heading2"/>
      </w:pPr>
      <w:bookmarkStart w:id="261" w:name="_Toc417291251"/>
      <w:bookmarkStart w:id="262" w:name="_Toc417291751"/>
      <w:bookmarkStart w:id="263" w:name="_Toc417292519"/>
      <w:bookmarkStart w:id="264" w:name="_Toc291262240"/>
      <w:bookmarkStart w:id="265" w:name="_Toc417458014"/>
      <w:bookmarkStart w:id="266" w:name="_Toc418608683"/>
      <w:r w:rsidRPr="004360BF">
        <w:t>Drivers of</w:t>
      </w:r>
      <w:r w:rsidR="006B030D" w:rsidRPr="004360BF">
        <w:t xml:space="preserve"> tariff reform</w:t>
      </w:r>
      <w:bookmarkEnd w:id="261"/>
      <w:bookmarkEnd w:id="262"/>
      <w:bookmarkEnd w:id="263"/>
      <w:bookmarkEnd w:id="264"/>
      <w:bookmarkEnd w:id="265"/>
      <w:bookmarkEnd w:id="266"/>
      <w:r w:rsidR="006B030D" w:rsidRPr="004360BF">
        <w:t xml:space="preserve"> </w:t>
      </w:r>
    </w:p>
    <w:p w14:paraId="49720513" w14:textId="77777777" w:rsidR="006B030D" w:rsidRPr="004360BF" w:rsidRDefault="00967999" w:rsidP="007B1D27">
      <w:pPr>
        <w:rPr>
          <w:lang w:val="en-AU"/>
        </w:rPr>
      </w:pPr>
      <w:r w:rsidRPr="004360BF">
        <w:rPr>
          <w:lang w:val="en-AU"/>
        </w:rPr>
        <w:t>Power Networks’</w:t>
      </w:r>
      <w:r w:rsidR="006B030D" w:rsidRPr="004360BF">
        <w:rPr>
          <w:lang w:val="en-AU"/>
        </w:rPr>
        <w:t xml:space="preserve"> </w:t>
      </w:r>
      <w:r w:rsidR="00E27210" w:rsidRPr="004360BF">
        <w:rPr>
          <w:lang w:val="en-AU"/>
        </w:rPr>
        <w:t xml:space="preserve">peak </w:t>
      </w:r>
      <w:r w:rsidR="006B030D" w:rsidRPr="004360BF">
        <w:rPr>
          <w:lang w:val="en-AU"/>
        </w:rPr>
        <w:t xml:space="preserve">demand </w:t>
      </w:r>
      <w:r w:rsidR="00E27210" w:rsidRPr="004360BF">
        <w:rPr>
          <w:lang w:val="en-AU"/>
        </w:rPr>
        <w:t xml:space="preserve">occurs in the wet season and </w:t>
      </w:r>
      <w:r w:rsidR="006B030D" w:rsidRPr="004360BF">
        <w:rPr>
          <w:lang w:val="en-AU"/>
        </w:rPr>
        <w:t xml:space="preserve">is </w:t>
      </w:r>
      <w:r w:rsidR="001172C4" w:rsidRPr="004360BF">
        <w:rPr>
          <w:lang w:val="en-AU"/>
        </w:rPr>
        <w:t xml:space="preserve">to a large extent </w:t>
      </w:r>
      <w:r w:rsidR="00E27210" w:rsidRPr="004360BF">
        <w:rPr>
          <w:lang w:val="en-AU"/>
        </w:rPr>
        <w:t>driven by</w:t>
      </w:r>
      <w:r w:rsidR="006B030D" w:rsidRPr="004360BF">
        <w:rPr>
          <w:lang w:val="en-AU"/>
        </w:rPr>
        <w:t xml:space="preserve"> air conditioning </w:t>
      </w:r>
      <w:r w:rsidR="00321645" w:rsidRPr="004360BF">
        <w:rPr>
          <w:lang w:val="en-AU"/>
        </w:rPr>
        <w:t>usage</w:t>
      </w:r>
      <w:r w:rsidR="006B030D" w:rsidRPr="004360BF">
        <w:rPr>
          <w:lang w:val="en-AU"/>
        </w:rPr>
        <w:t>.</w:t>
      </w:r>
      <w:r w:rsidR="00CC6CF8" w:rsidRPr="004360BF">
        <w:rPr>
          <w:lang w:val="en-AU"/>
        </w:rPr>
        <w:t xml:space="preserve"> </w:t>
      </w:r>
      <w:r w:rsidR="00E27210" w:rsidRPr="004360BF">
        <w:rPr>
          <w:lang w:val="en-AU"/>
        </w:rPr>
        <w:t xml:space="preserve">In the </w:t>
      </w:r>
      <w:r w:rsidR="00643C14" w:rsidRPr="004360BF">
        <w:rPr>
          <w:lang w:val="en-AU"/>
        </w:rPr>
        <w:t>n</w:t>
      </w:r>
      <w:r w:rsidR="00E27210" w:rsidRPr="004360BF">
        <w:rPr>
          <w:lang w:val="en-AU"/>
        </w:rPr>
        <w:t>orthern</w:t>
      </w:r>
      <w:r w:rsidR="00643C14" w:rsidRPr="004360BF">
        <w:rPr>
          <w:lang w:val="en-AU"/>
        </w:rPr>
        <w:t xml:space="preserve"> part of the Territory</w:t>
      </w:r>
      <w:r w:rsidR="00321645" w:rsidRPr="004360BF">
        <w:rPr>
          <w:lang w:val="en-AU"/>
        </w:rPr>
        <w:t>,</w:t>
      </w:r>
      <w:r w:rsidR="00E27210" w:rsidRPr="004360BF">
        <w:rPr>
          <w:lang w:val="en-AU"/>
        </w:rPr>
        <w:t xml:space="preserve"> h</w:t>
      </w:r>
      <w:r w:rsidR="006B030D" w:rsidRPr="004360BF">
        <w:rPr>
          <w:lang w:val="en-AU"/>
        </w:rPr>
        <w:t>igh peak demands occur during h</w:t>
      </w:r>
      <w:r w:rsidR="00E27210" w:rsidRPr="004360BF">
        <w:rPr>
          <w:lang w:val="en-AU"/>
        </w:rPr>
        <w:t xml:space="preserve">ot </w:t>
      </w:r>
      <w:r w:rsidR="004E2C9A" w:rsidRPr="004360BF">
        <w:rPr>
          <w:lang w:val="en-AU"/>
        </w:rPr>
        <w:t xml:space="preserve">and </w:t>
      </w:r>
      <w:r w:rsidR="00E27210" w:rsidRPr="004360BF">
        <w:rPr>
          <w:lang w:val="en-AU"/>
        </w:rPr>
        <w:t xml:space="preserve">humid </w:t>
      </w:r>
      <w:r w:rsidR="00643C14" w:rsidRPr="004360BF">
        <w:rPr>
          <w:lang w:val="en-AU"/>
        </w:rPr>
        <w:t>conditions, which correspond</w:t>
      </w:r>
      <w:r w:rsidR="006B030D" w:rsidRPr="004360BF">
        <w:rPr>
          <w:lang w:val="en-AU"/>
        </w:rPr>
        <w:t xml:space="preserve"> with periods when the elements of the system </w:t>
      </w:r>
      <w:r w:rsidR="009D4C94" w:rsidRPr="004360BF">
        <w:rPr>
          <w:lang w:val="en-AU"/>
        </w:rPr>
        <w:t>operate at high</w:t>
      </w:r>
      <w:r w:rsidR="006B030D" w:rsidRPr="004360BF">
        <w:rPr>
          <w:lang w:val="en-AU"/>
        </w:rPr>
        <w:t xml:space="preserve"> capacity and the power factor of loads is poor.</w:t>
      </w:r>
      <w:r w:rsidR="00CC6CF8" w:rsidRPr="004360BF">
        <w:rPr>
          <w:lang w:val="en-AU"/>
        </w:rPr>
        <w:t xml:space="preserve"> </w:t>
      </w:r>
      <w:r w:rsidR="00E27210" w:rsidRPr="004360BF">
        <w:rPr>
          <w:lang w:val="en-AU"/>
        </w:rPr>
        <w:t xml:space="preserve">In inland areas, both summer and winter conditions </w:t>
      </w:r>
      <w:r w:rsidR="00321645" w:rsidRPr="004360BF">
        <w:rPr>
          <w:lang w:val="en-AU"/>
        </w:rPr>
        <w:t xml:space="preserve">can </w:t>
      </w:r>
      <w:r w:rsidR="009D4C94" w:rsidRPr="004360BF">
        <w:rPr>
          <w:lang w:val="en-AU"/>
        </w:rPr>
        <w:t>result in</w:t>
      </w:r>
      <w:r w:rsidR="00E27210" w:rsidRPr="004360BF">
        <w:rPr>
          <w:lang w:val="en-AU"/>
        </w:rPr>
        <w:t xml:space="preserve"> high </w:t>
      </w:r>
      <w:r w:rsidR="009D4C94" w:rsidRPr="004360BF">
        <w:rPr>
          <w:lang w:val="en-AU"/>
        </w:rPr>
        <w:t xml:space="preserve">load </w:t>
      </w:r>
      <w:r w:rsidR="00E27210" w:rsidRPr="004360BF">
        <w:rPr>
          <w:lang w:val="en-AU"/>
        </w:rPr>
        <w:t>demand.</w:t>
      </w:r>
      <w:r w:rsidR="006B030D" w:rsidRPr="004360BF">
        <w:rPr>
          <w:lang w:val="en-AU"/>
        </w:rPr>
        <w:t xml:space="preserve"> </w:t>
      </w:r>
    </w:p>
    <w:p w14:paraId="36397C06" w14:textId="77777777" w:rsidR="006B030D" w:rsidRPr="004360BF" w:rsidRDefault="00321645" w:rsidP="007B1D27">
      <w:pPr>
        <w:rPr>
          <w:lang w:val="en-AU"/>
        </w:rPr>
      </w:pPr>
      <w:r w:rsidRPr="004360BF">
        <w:rPr>
          <w:lang w:val="en-AU"/>
        </w:rPr>
        <w:t xml:space="preserve">A </w:t>
      </w:r>
      <w:r w:rsidR="00643C14" w:rsidRPr="004360BF">
        <w:rPr>
          <w:lang w:val="en-AU"/>
        </w:rPr>
        <w:t xml:space="preserve">considerable </w:t>
      </w:r>
      <w:r w:rsidRPr="004360BF">
        <w:rPr>
          <w:lang w:val="en-AU"/>
        </w:rPr>
        <w:t xml:space="preserve">proportion of </w:t>
      </w:r>
      <w:r w:rsidR="005262F3" w:rsidRPr="004360BF">
        <w:rPr>
          <w:lang w:val="en-AU"/>
        </w:rPr>
        <w:t>P</w:t>
      </w:r>
      <w:r w:rsidRPr="004360BF">
        <w:rPr>
          <w:lang w:val="en-AU"/>
        </w:rPr>
        <w:t xml:space="preserve">ower Networks’ </w:t>
      </w:r>
      <w:r w:rsidR="005262F3" w:rsidRPr="004360BF">
        <w:rPr>
          <w:lang w:val="en-AU"/>
        </w:rPr>
        <w:t xml:space="preserve">capital </w:t>
      </w:r>
      <w:r w:rsidR="006B030D" w:rsidRPr="004360BF">
        <w:rPr>
          <w:lang w:val="en-AU"/>
        </w:rPr>
        <w:t xml:space="preserve">expenditure on </w:t>
      </w:r>
      <w:r w:rsidRPr="004360BF">
        <w:rPr>
          <w:lang w:val="en-AU"/>
        </w:rPr>
        <w:t>the network during the 2014-19</w:t>
      </w:r>
      <w:r w:rsidR="006B030D" w:rsidRPr="004360BF">
        <w:rPr>
          <w:lang w:val="en-AU"/>
        </w:rPr>
        <w:t xml:space="preserve"> regulatory control </w:t>
      </w:r>
      <w:proofErr w:type="gramStart"/>
      <w:r w:rsidR="006B030D" w:rsidRPr="004360BF">
        <w:rPr>
          <w:lang w:val="en-AU"/>
        </w:rPr>
        <w:t>period</w:t>
      </w:r>
      <w:proofErr w:type="gramEnd"/>
      <w:r w:rsidR="006B030D" w:rsidRPr="004360BF">
        <w:rPr>
          <w:lang w:val="en-AU"/>
        </w:rPr>
        <w:t xml:space="preserve"> is </w:t>
      </w:r>
      <w:r w:rsidR="005262F3" w:rsidRPr="004360BF">
        <w:rPr>
          <w:lang w:val="en-AU"/>
        </w:rPr>
        <w:t xml:space="preserve">demand </w:t>
      </w:r>
      <w:r w:rsidR="006B030D" w:rsidRPr="004360BF">
        <w:rPr>
          <w:lang w:val="en-AU"/>
        </w:rPr>
        <w:t>related. T</w:t>
      </w:r>
      <w:r w:rsidRPr="004360BF">
        <w:rPr>
          <w:lang w:val="en-AU"/>
        </w:rPr>
        <w:t>hat</w:t>
      </w:r>
      <w:r w:rsidR="006B030D" w:rsidRPr="004360BF">
        <w:rPr>
          <w:lang w:val="en-AU"/>
        </w:rPr>
        <w:t xml:space="preserve"> expenditure is driven by the need to augment and expand the network to adequately meet peak demand and provide for the connection of new customers. </w:t>
      </w:r>
    </w:p>
    <w:p w14:paraId="5657CF04" w14:textId="37867A81" w:rsidR="006B030D" w:rsidRPr="004360BF" w:rsidRDefault="00321645" w:rsidP="007B1D27">
      <w:pPr>
        <w:rPr>
          <w:lang w:val="en-AU"/>
        </w:rPr>
      </w:pPr>
      <w:r w:rsidRPr="004360BF">
        <w:rPr>
          <w:lang w:val="en-AU"/>
        </w:rPr>
        <w:t>Managing peak</w:t>
      </w:r>
      <w:r w:rsidR="006B030D" w:rsidRPr="004360BF">
        <w:rPr>
          <w:lang w:val="en-AU"/>
        </w:rPr>
        <w:t xml:space="preserve"> demand </w:t>
      </w:r>
      <w:r w:rsidRPr="004360BF">
        <w:rPr>
          <w:lang w:val="en-AU"/>
        </w:rPr>
        <w:t>is thus a</w:t>
      </w:r>
      <w:r w:rsidR="006B030D" w:rsidRPr="004360BF">
        <w:rPr>
          <w:lang w:val="en-AU"/>
        </w:rPr>
        <w:t xml:space="preserve"> priority </w:t>
      </w:r>
      <w:r w:rsidRPr="004360BF">
        <w:rPr>
          <w:lang w:val="en-AU"/>
        </w:rPr>
        <w:t>for Power Networks’</w:t>
      </w:r>
      <w:r w:rsidR="006B030D" w:rsidRPr="004360BF">
        <w:rPr>
          <w:lang w:val="en-AU"/>
        </w:rPr>
        <w:t xml:space="preserve"> tariff strategies. This leads to an emphasis on providing network price signals that will encourage both </w:t>
      </w:r>
      <w:r w:rsidR="0081381C" w:rsidRPr="004360BF">
        <w:rPr>
          <w:lang w:val="en-AU"/>
        </w:rPr>
        <w:t xml:space="preserve">domestic </w:t>
      </w:r>
      <w:r w:rsidR="006B030D" w:rsidRPr="004360BF">
        <w:rPr>
          <w:lang w:val="en-AU"/>
        </w:rPr>
        <w:t xml:space="preserve">and </w:t>
      </w:r>
      <w:r w:rsidR="005262F3" w:rsidRPr="004360BF">
        <w:rPr>
          <w:lang w:val="en-AU"/>
        </w:rPr>
        <w:t xml:space="preserve">commercial </w:t>
      </w:r>
      <w:r w:rsidR="006B030D" w:rsidRPr="004360BF">
        <w:rPr>
          <w:lang w:val="en-AU"/>
        </w:rPr>
        <w:t>customers to moderate their consumption</w:t>
      </w:r>
      <w:r w:rsidRPr="004360BF">
        <w:rPr>
          <w:lang w:val="en-AU"/>
        </w:rPr>
        <w:t xml:space="preserve"> during periods of high demand</w:t>
      </w:r>
      <w:r w:rsidR="003D5078">
        <w:rPr>
          <w:lang w:val="en-AU"/>
        </w:rPr>
        <w:t>.</w:t>
      </w:r>
    </w:p>
    <w:p w14:paraId="01ADA852" w14:textId="77777777" w:rsidR="00B10A56" w:rsidRPr="004360BF" w:rsidRDefault="00B10A56" w:rsidP="007B1D27">
      <w:pPr>
        <w:pStyle w:val="Dottop"/>
        <w:rPr>
          <w:lang w:val="en-AU"/>
        </w:rPr>
      </w:pPr>
      <w:r w:rsidRPr="004360BF">
        <w:rPr>
          <w:lang w:val="en-AU"/>
        </w:rPr>
        <w:lastRenderedPageBreak/>
        <w:t xml:space="preserve">The tariff </w:t>
      </w:r>
      <w:r w:rsidR="00C909CD" w:rsidRPr="004360BF">
        <w:rPr>
          <w:lang w:val="en-AU"/>
        </w:rPr>
        <w:t xml:space="preserve">reform program being implemented over the </w:t>
      </w:r>
      <w:r w:rsidRPr="004360BF">
        <w:rPr>
          <w:lang w:val="en-AU"/>
        </w:rPr>
        <w:t>2014-19 regulatory control period are described in this section.</w:t>
      </w:r>
      <w:r w:rsidR="00CC6CF8" w:rsidRPr="004360BF">
        <w:rPr>
          <w:lang w:val="en-AU"/>
        </w:rPr>
        <w:t xml:space="preserve"> </w:t>
      </w:r>
      <w:r w:rsidRPr="004360BF">
        <w:rPr>
          <w:lang w:val="en-AU"/>
        </w:rPr>
        <w:t xml:space="preserve">All tariff changes </w:t>
      </w:r>
      <w:r w:rsidR="00B841EB" w:rsidRPr="004360BF">
        <w:rPr>
          <w:lang w:val="en-AU"/>
        </w:rPr>
        <w:t>are</w:t>
      </w:r>
      <w:r w:rsidRPr="004360BF">
        <w:rPr>
          <w:lang w:val="en-AU"/>
        </w:rPr>
        <w:t xml:space="preserve"> initiated so as to:</w:t>
      </w:r>
    </w:p>
    <w:p w14:paraId="7E1EF96C" w14:textId="77777777" w:rsidR="00B10A56" w:rsidRPr="004360BF" w:rsidRDefault="00B10A56" w:rsidP="007B1D27">
      <w:pPr>
        <w:pStyle w:val="Dot"/>
        <w:rPr>
          <w:lang w:val="en-AU"/>
        </w:rPr>
      </w:pPr>
      <w:r w:rsidRPr="004360BF">
        <w:rPr>
          <w:lang w:val="en-AU"/>
        </w:rPr>
        <w:t>Improve the cost reflectivity of the tariffs concerned;</w:t>
      </w:r>
    </w:p>
    <w:p w14:paraId="0553A7D1" w14:textId="77777777" w:rsidR="00B10A56" w:rsidRPr="004360BF" w:rsidRDefault="00B10A56" w:rsidP="007B1D27">
      <w:pPr>
        <w:pStyle w:val="Dot"/>
        <w:rPr>
          <w:lang w:val="en-AU"/>
        </w:rPr>
      </w:pPr>
      <w:r w:rsidRPr="004360BF">
        <w:rPr>
          <w:lang w:val="en-AU"/>
        </w:rPr>
        <w:t>Improve equity between customers;</w:t>
      </w:r>
    </w:p>
    <w:p w14:paraId="75599F9D" w14:textId="77777777" w:rsidR="00B10A56" w:rsidRPr="004360BF" w:rsidRDefault="00B10A56" w:rsidP="007B1D27">
      <w:pPr>
        <w:pStyle w:val="Dot"/>
        <w:rPr>
          <w:lang w:val="en-AU"/>
        </w:rPr>
      </w:pPr>
      <w:r w:rsidRPr="004360BF">
        <w:rPr>
          <w:lang w:val="en-AU"/>
        </w:rPr>
        <w:t>Provide price signals intended to encourage customers to moderate their demand; and</w:t>
      </w:r>
    </w:p>
    <w:p w14:paraId="0A4D4E10" w14:textId="77777777" w:rsidR="00B10A56" w:rsidRPr="004360BF" w:rsidRDefault="00B10A56" w:rsidP="007B1D27">
      <w:pPr>
        <w:pStyle w:val="Dotbot"/>
        <w:rPr>
          <w:lang w:val="en-AU"/>
        </w:rPr>
      </w:pPr>
      <w:r w:rsidRPr="004360BF">
        <w:rPr>
          <w:lang w:val="en-AU"/>
        </w:rPr>
        <w:t xml:space="preserve">In the case of the </w:t>
      </w:r>
      <w:r w:rsidR="00B841EB" w:rsidRPr="004360BF">
        <w:rPr>
          <w:lang w:val="en-AU"/>
        </w:rPr>
        <w:t>tariffs for customers consuming greater than 750</w:t>
      </w:r>
      <w:r w:rsidR="004C78C6" w:rsidRPr="004360BF">
        <w:rPr>
          <w:lang w:val="en-AU"/>
        </w:rPr>
        <w:t xml:space="preserve"> </w:t>
      </w:r>
      <w:proofErr w:type="spellStart"/>
      <w:r w:rsidR="00B841EB" w:rsidRPr="004360BF">
        <w:rPr>
          <w:lang w:val="en-AU"/>
        </w:rPr>
        <w:t>MWh</w:t>
      </w:r>
      <w:proofErr w:type="spellEnd"/>
      <w:r w:rsidR="00B841EB" w:rsidRPr="004360BF">
        <w:rPr>
          <w:lang w:val="en-AU"/>
        </w:rPr>
        <w:t xml:space="preserve"> per annum</w:t>
      </w:r>
      <w:r w:rsidRPr="004360BF">
        <w:rPr>
          <w:lang w:val="en-AU"/>
        </w:rPr>
        <w:t>, simplify their existing structure.</w:t>
      </w:r>
      <w:r w:rsidR="00CC6CF8" w:rsidRPr="004360BF">
        <w:rPr>
          <w:lang w:val="en-AU"/>
        </w:rPr>
        <w:t xml:space="preserve"> </w:t>
      </w:r>
    </w:p>
    <w:p w14:paraId="52B87163" w14:textId="1F67B960" w:rsidR="00B10A56" w:rsidRPr="004360BF" w:rsidRDefault="00B10A56" w:rsidP="007B1D27">
      <w:pPr>
        <w:rPr>
          <w:lang w:val="en-AU"/>
        </w:rPr>
      </w:pPr>
      <w:r w:rsidRPr="004360BF">
        <w:rPr>
          <w:lang w:val="en-AU"/>
        </w:rPr>
        <w:t xml:space="preserve">The tariff changes are </w:t>
      </w:r>
      <w:r w:rsidR="00AB0C38" w:rsidRPr="004360BF">
        <w:rPr>
          <w:lang w:val="en-AU"/>
        </w:rPr>
        <w:t xml:space="preserve">all </w:t>
      </w:r>
      <w:r w:rsidRPr="004360BF">
        <w:rPr>
          <w:lang w:val="en-AU"/>
        </w:rPr>
        <w:t xml:space="preserve">proposed to be implemented progressively, to </w:t>
      </w:r>
      <w:r w:rsidR="004E2C9A" w:rsidRPr="004360BF">
        <w:rPr>
          <w:lang w:val="en-AU"/>
        </w:rPr>
        <w:t xml:space="preserve">limit </w:t>
      </w:r>
      <w:r w:rsidRPr="004360BF">
        <w:rPr>
          <w:lang w:val="en-AU"/>
        </w:rPr>
        <w:t>the annual price changes to customers to within acceptable levels.</w:t>
      </w:r>
    </w:p>
    <w:p w14:paraId="08E2B7F0" w14:textId="77777777" w:rsidR="00B10A56" w:rsidRPr="004360BF" w:rsidRDefault="00B10A56" w:rsidP="007B1D27">
      <w:pPr>
        <w:pStyle w:val="Dottop"/>
        <w:rPr>
          <w:lang w:val="en-AU"/>
        </w:rPr>
      </w:pPr>
      <w:r w:rsidRPr="004360BF">
        <w:rPr>
          <w:lang w:val="en-AU"/>
        </w:rPr>
        <w:t xml:space="preserve">Power Networks’ network tariff strategy </w:t>
      </w:r>
      <w:r w:rsidR="00B841EB" w:rsidRPr="004360BF">
        <w:rPr>
          <w:lang w:val="en-AU"/>
        </w:rPr>
        <w:t xml:space="preserve">for the 2014-19 regulatory control period </w:t>
      </w:r>
      <w:r w:rsidRPr="004360BF">
        <w:rPr>
          <w:lang w:val="en-AU"/>
        </w:rPr>
        <w:t xml:space="preserve">therefore is considered to comply with the </w:t>
      </w:r>
      <w:r w:rsidR="00B841EB" w:rsidRPr="004360BF">
        <w:rPr>
          <w:lang w:val="en-AU"/>
        </w:rPr>
        <w:t>principles set out in Chapter 7 of the TPA Code (RIN clause 18.1(g))</w:t>
      </w:r>
      <w:r w:rsidR="001060E3" w:rsidRPr="004360BF">
        <w:rPr>
          <w:lang w:val="en-AU"/>
        </w:rPr>
        <w:t xml:space="preserve"> and RIN clause 16.3 of the NPPS (RIN c</w:t>
      </w:r>
      <w:r w:rsidR="008640F6" w:rsidRPr="004360BF">
        <w:rPr>
          <w:lang w:val="en-AU"/>
        </w:rPr>
        <w:t>lause 18.1(f))</w:t>
      </w:r>
      <w:r w:rsidRPr="004360BF">
        <w:rPr>
          <w:lang w:val="en-AU"/>
        </w:rPr>
        <w:t>, specifically:</w:t>
      </w:r>
    </w:p>
    <w:p w14:paraId="7CB724E9" w14:textId="77777777" w:rsidR="00B10A56" w:rsidRPr="004360BF" w:rsidRDefault="00B10A56" w:rsidP="007B1D27">
      <w:pPr>
        <w:pStyle w:val="Dot"/>
        <w:rPr>
          <w:lang w:val="en-AU"/>
        </w:rPr>
      </w:pPr>
      <w:r w:rsidRPr="004360BF">
        <w:rPr>
          <w:lang w:val="en-AU"/>
        </w:rPr>
        <w:t>Tariffs better reflect the efficient costs of supply through being based on a cost of supply model that takes into account the cost of providing network standard control services</w:t>
      </w:r>
      <w:r w:rsidR="001C11E5" w:rsidRPr="004360BF">
        <w:rPr>
          <w:lang w:val="en-AU"/>
        </w:rPr>
        <w:t>.</w:t>
      </w:r>
    </w:p>
    <w:p w14:paraId="190FFDBA" w14:textId="77777777" w:rsidR="00B10A56" w:rsidRPr="004360BF" w:rsidRDefault="00B10A56" w:rsidP="007B1D27">
      <w:pPr>
        <w:pStyle w:val="Dot"/>
        <w:keepNext/>
        <w:ind w:left="714" w:hanging="357"/>
        <w:rPr>
          <w:lang w:val="en-AU"/>
        </w:rPr>
      </w:pPr>
      <w:r w:rsidRPr="004360BF">
        <w:rPr>
          <w:lang w:val="en-AU"/>
        </w:rPr>
        <w:t>The tariffs involve a common approach for all network users, with the actual tariff with respect to a particular network access service only differing between users because of:</w:t>
      </w:r>
    </w:p>
    <w:p w14:paraId="15857E72" w14:textId="77777777" w:rsidR="00B10A56" w:rsidRPr="004360BF" w:rsidRDefault="00B10A56" w:rsidP="00EE7AA1">
      <w:pPr>
        <w:numPr>
          <w:ilvl w:val="0"/>
          <w:numId w:val="5"/>
        </w:numPr>
        <w:spacing w:after="120"/>
        <w:ind w:left="1134"/>
        <w:rPr>
          <w:lang w:val="en-AU"/>
        </w:rPr>
      </w:pPr>
      <w:r w:rsidRPr="004360BF">
        <w:rPr>
          <w:lang w:val="en-AU"/>
        </w:rPr>
        <w:t xml:space="preserve">The user’s electrical location, as is the difference between </w:t>
      </w:r>
      <w:r w:rsidR="00B841EB" w:rsidRPr="004360BF">
        <w:rPr>
          <w:lang w:val="en-AU"/>
        </w:rPr>
        <w:t>h</w:t>
      </w:r>
      <w:r w:rsidRPr="004360BF">
        <w:rPr>
          <w:lang w:val="en-AU"/>
        </w:rPr>
        <w:t xml:space="preserve">igh </w:t>
      </w:r>
      <w:r w:rsidR="00B841EB" w:rsidRPr="004360BF">
        <w:rPr>
          <w:lang w:val="en-AU"/>
        </w:rPr>
        <w:t>v</w:t>
      </w:r>
      <w:r w:rsidRPr="004360BF">
        <w:rPr>
          <w:lang w:val="en-AU"/>
        </w:rPr>
        <w:t xml:space="preserve">oltage and </w:t>
      </w:r>
      <w:r w:rsidR="00B841EB" w:rsidRPr="004360BF">
        <w:rPr>
          <w:lang w:val="en-AU"/>
        </w:rPr>
        <w:t>l</w:t>
      </w:r>
      <w:r w:rsidRPr="004360BF">
        <w:rPr>
          <w:lang w:val="en-AU"/>
        </w:rPr>
        <w:t xml:space="preserve">ow </w:t>
      </w:r>
      <w:r w:rsidR="00B841EB" w:rsidRPr="004360BF">
        <w:rPr>
          <w:lang w:val="en-AU"/>
        </w:rPr>
        <w:t>v</w:t>
      </w:r>
      <w:r w:rsidRPr="004360BF">
        <w:rPr>
          <w:lang w:val="en-AU"/>
        </w:rPr>
        <w:t>oltage connected Commercial customers</w:t>
      </w:r>
      <w:r w:rsidR="00275086" w:rsidRPr="004360BF">
        <w:rPr>
          <w:lang w:val="en-AU"/>
        </w:rPr>
        <w:t xml:space="preserve"> with an annual consumption of more </w:t>
      </w:r>
      <w:r w:rsidR="00B841EB" w:rsidRPr="004360BF">
        <w:rPr>
          <w:lang w:val="en-AU"/>
        </w:rPr>
        <w:t>than 750</w:t>
      </w:r>
      <w:r w:rsidR="004C78C6" w:rsidRPr="004360BF">
        <w:rPr>
          <w:lang w:val="en-AU"/>
        </w:rPr>
        <w:t xml:space="preserve"> </w:t>
      </w:r>
      <w:proofErr w:type="spellStart"/>
      <w:r w:rsidR="00B841EB" w:rsidRPr="004360BF">
        <w:rPr>
          <w:lang w:val="en-AU"/>
        </w:rPr>
        <w:t>MWh</w:t>
      </w:r>
      <w:proofErr w:type="spellEnd"/>
      <w:r w:rsidRPr="004360BF">
        <w:rPr>
          <w:lang w:val="en-AU"/>
        </w:rPr>
        <w:t>;</w:t>
      </w:r>
    </w:p>
    <w:p w14:paraId="3D50A5E5" w14:textId="77777777" w:rsidR="00B10A56" w:rsidRPr="004360BF" w:rsidRDefault="00B10A56" w:rsidP="00EE7AA1">
      <w:pPr>
        <w:numPr>
          <w:ilvl w:val="0"/>
          <w:numId w:val="5"/>
        </w:numPr>
        <w:spacing w:after="120"/>
        <w:ind w:left="1134"/>
        <w:rPr>
          <w:lang w:val="en-AU"/>
        </w:rPr>
      </w:pPr>
      <w:r w:rsidRPr="004360BF">
        <w:rPr>
          <w:lang w:val="en-AU"/>
        </w:rPr>
        <w:t xml:space="preserve">The quantities in which the relevant network access service is to be supplied or is supplied, as measured by </w:t>
      </w:r>
      <w:r w:rsidR="00275086" w:rsidRPr="004360BF">
        <w:rPr>
          <w:lang w:val="en-AU"/>
        </w:rPr>
        <w:t>customers’</w:t>
      </w:r>
      <w:r w:rsidRPr="004360BF">
        <w:rPr>
          <w:lang w:val="en-AU"/>
        </w:rPr>
        <w:t xml:space="preserve"> energy consumption or the demand imposed on the network;</w:t>
      </w:r>
    </w:p>
    <w:p w14:paraId="59F90ACC" w14:textId="3C6A65B2" w:rsidR="00275086" w:rsidRPr="004360BF" w:rsidRDefault="00B10A56" w:rsidP="00EE7AA1">
      <w:pPr>
        <w:numPr>
          <w:ilvl w:val="0"/>
          <w:numId w:val="5"/>
        </w:numPr>
        <w:spacing w:after="120"/>
        <w:ind w:left="1134"/>
        <w:rPr>
          <w:lang w:val="en-AU"/>
        </w:rPr>
      </w:pPr>
      <w:r w:rsidRPr="004360BF">
        <w:rPr>
          <w:lang w:val="en-AU"/>
        </w:rPr>
        <w:t xml:space="preserve">The pattern of network usage, as in the case of </w:t>
      </w:r>
      <w:r w:rsidR="00275086" w:rsidRPr="004360BF">
        <w:rPr>
          <w:lang w:val="en-AU"/>
        </w:rPr>
        <w:t xml:space="preserve">time of use </w:t>
      </w:r>
      <w:r w:rsidRPr="004360BF">
        <w:rPr>
          <w:lang w:val="en-AU"/>
        </w:rPr>
        <w:t>energy and demand based tariffs</w:t>
      </w:r>
      <w:r w:rsidR="00275086" w:rsidRPr="004360BF">
        <w:rPr>
          <w:lang w:val="en-AU"/>
        </w:rPr>
        <w:t>,</w:t>
      </w:r>
      <w:r w:rsidRPr="004360BF">
        <w:rPr>
          <w:lang w:val="en-AU"/>
        </w:rPr>
        <w:t xml:space="preserve"> and between the </w:t>
      </w:r>
      <w:r w:rsidR="00275086" w:rsidRPr="004360BF">
        <w:rPr>
          <w:lang w:val="en-AU"/>
        </w:rPr>
        <w:t xml:space="preserve">street lighting and similar </w:t>
      </w:r>
      <w:r w:rsidR="005D1CD5" w:rsidRPr="004360BF">
        <w:rPr>
          <w:lang w:val="en-AU"/>
        </w:rPr>
        <w:t>consumption</w:t>
      </w:r>
      <w:r w:rsidR="00275086" w:rsidRPr="004360BF">
        <w:rPr>
          <w:lang w:val="en-AU"/>
        </w:rPr>
        <w:t xml:space="preserve"> profile</w:t>
      </w:r>
      <w:r w:rsidR="005D1CD5" w:rsidRPr="004360BF">
        <w:rPr>
          <w:lang w:val="en-AU"/>
        </w:rPr>
        <w:t>d</w:t>
      </w:r>
      <w:r w:rsidR="00275086" w:rsidRPr="004360BF">
        <w:rPr>
          <w:lang w:val="en-AU"/>
        </w:rPr>
        <w:t xml:space="preserve"> unmetered supplies, and traffic lights and sim</w:t>
      </w:r>
      <w:r w:rsidR="00284D27" w:rsidRPr="004360BF">
        <w:rPr>
          <w:lang w:val="en-AU"/>
        </w:rPr>
        <w:t>ilar unmetered 24 hour supplies;</w:t>
      </w:r>
    </w:p>
    <w:p w14:paraId="42200E53" w14:textId="77777777" w:rsidR="00750C6D" w:rsidRPr="004360BF" w:rsidRDefault="00750C6D" w:rsidP="00EE7AA1">
      <w:pPr>
        <w:numPr>
          <w:ilvl w:val="0"/>
          <w:numId w:val="5"/>
        </w:numPr>
        <w:spacing w:after="120"/>
        <w:ind w:left="1134"/>
        <w:rPr>
          <w:lang w:val="en-AU"/>
        </w:rPr>
      </w:pPr>
      <w:r w:rsidRPr="004360BF">
        <w:rPr>
          <w:lang w:val="en-AU"/>
        </w:rPr>
        <w:t>The technical characteristics or requirements of the users load or generation</w:t>
      </w:r>
      <w:r w:rsidR="00D604AA" w:rsidRPr="004360BF">
        <w:rPr>
          <w:lang w:val="en-AU"/>
        </w:rPr>
        <w:t xml:space="preserve">, through the implementation of an additional tariff charging </w:t>
      </w:r>
      <w:r w:rsidR="00112A4E" w:rsidRPr="004360BF">
        <w:rPr>
          <w:lang w:val="en-AU"/>
        </w:rPr>
        <w:t xml:space="preserve">parameter </w:t>
      </w:r>
      <w:r w:rsidR="00D604AA" w:rsidRPr="004360BF">
        <w:rPr>
          <w:lang w:val="en-AU"/>
        </w:rPr>
        <w:t>for reactive power consumed in excess of the Network Technical Code provision</w:t>
      </w:r>
      <w:r w:rsidRPr="004360BF">
        <w:rPr>
          <w:lang w:val="en-AU"/>
        </w:rPr>
        <w:t>;</w:t>
      </w:r>
    </w:p>
    <w:p w14:paraId="62D2544D" w14:textId="58CC3002" w:rsidR="00B10A56" w:rsidRPr="004360BF" w:rsidRDefault="00B10A56" w:rsidP="00EE7AA1">
      <w:pPr>
        <w:numPr>
          <w:ilvl w:val="0"/>
          <w:numId w:val="5"/>
        </w:numPr>
        <w:spacing w:after="120"/>
        <w:ind w:left="1134"/>
        <w:rPr>
          <w:lang w:val="en-AU"/>
        </w:rPr>
      </w:pPr>
      <w:r w:rsidRPr="004360BF">
        <w:rPr>
          <w:lang w:val="en-AU"/>
        </w:rPr>
        <w:t xml:space="preserve">The nature of the plant or equipment required to provide the network access service, such as in the difference between </w:t>
      </w:r>
      <w:r w:rsidR="00275086" w:rsidRPr="004360BF">
        <w:rPr>
          <w:lang w:val="en-AU"/>
        </w:rPr>
        <w:t>h</w:t>
      </w:r>
      <w:r w:rsidRPr="004360BF">
        <w:rPr>
          <w:lang w:val="en-AU"/>
        </w:rPr>
        <w:t xml:space="preserve">igh </w:t>
      </w:r>
      <w:r w:rsidR="00275086" w:rsidRPr="004360BF">
        <w:rPr>
          <w:lang w:val="en-AU"/>
        </w:rPr>
        <w:t>v</w:t>
      </w:r>
      <w:r w:rsidRPr="004360BF">
        <w:rPr>
          <w:lang w:val="en-AU"/>
        </w:rPr>
        <w:t xml:space="preserve">oltage and </w:t>
      </w:r>
      <w:r w:rsidR="00275086" w:rsidRPr="004360BF">
        <w:rPr>
          <w:lang w:val="en-AU"/>
        </w:rPr>
        <w:t>l</w:t>
      </w:r>
      <w:r w:rsidRPr="004360BF">
        <w:rPr>
          <w:lang w:val="en-AU"/>
        </w:rPr>
        <w:t xml:space="preserve">ow </w:t>
      </w:r>
      <w:r w:rsidR="00275086" w:rsidRPr="004360BF">
        <w:rPr>
          <w:lang w:val="en-AU"/>
        </w:rPr>
        <w:t>v</w:t>
      </w:r>
      <w:r w:rsidRPr="004360BF">
        <w:rPr>
          <w:lang w:val="en-AU"/>
        </w:rPr>
        <w:t>oltage Commercial customers</w:t>
      </w:r>
      <w:r w:rsidR="00275086" w:rsidRPr="004360BF">
        <w:rPr>
          <w:lang w:val="en-AU"/>
        </w:rPr>
        <w:t xml:space="preserve"> with an annual consumption of more than 750</w:t>
      </w:r>
      <w:r w:rsidR="004C78C6" w:rsidRPr="004360BF">
        <w:rPr>
          <w:lang w:val="en-AU"/>
        </w:rPr>
        <w:t xml:space="preserve"> </w:t>
      </w:r>
      <w:proofErr w:type="spellStart"/>
      <w:r w:rsidR="00275086" w:rsidRPr="004360BF">
        <w:rPr>
          <w:lang w:val="en-AU"/>
        </w:rPr>
        <w:t>MWh</w:t>
      </w:r>
      <w:proofErr w:type="spellEnd"/>
      <w:r w:rsidRPr="004360BF">
        <w:rPr>
          <w:lang w:val="en-AU"/>
        </w:rPr>
        <w:t xml:space="preserve">; </w:t>
      </w:r>
    </w:p>
    <w:p w14:paraId="39F8F91F" w14:textId="1F49799F" w:rsidR="00B10A56" w:rsidRPr="004360BF" w:rsidRDefault="00B10A56" w:rsidP="00EE7AA1">
      <w:pPr>
        <w:numPr>
          <w:ilvl w:val="0"/>
          <w:numId w:val="5"/>
        </w:numPr>
        <w:spacing w:after="120"/>
        <w:ind w:left="1134"/>
        <w:rPr>
          <w:lang w:val="en-AU"/>
        </w:rPr>
      </w:pPr>
      <w:r w:rsidRPr="004360BF">
        <w:rPr>
          <w:lang w:val="en-AU"/>
        </w:rPr>
        <w:t xml:space="preserve">The periods for which the network access service is expected to be supplied, in the case of all </w:t>
      </w:r>
      <w:r w:rsidR="00C677A1" w:rsidRPr="004360BF">
        <w:rPr>
          <w:lang w:val="en-AU"/>
        </w:rPr>
        <w:t xml:space="preserve">time of use </w:t>
      </w:r>
      <w:r w:rsidRPr="004360BF">
        <w:rPr>
          <w:lang w:val="en-AU"/>
        </w:rPr>
        <w:t xml:space="preserve">based tariffs and the </w:t>
      </w:r>
      <w:r w:rsidR="00C677A1" w:rsidRPr="004360BF">
        <w:rPr>
          <w:lang w:val="en-AU"/>
        </w:rPr>
        <w:t xml:space="preserve">tariffs for street lighting and similar </w:t>
      </w:r>
      <w:r w:rsidR="005D1CD5" w:rsidRPr="004360BF">
        <w:rPr>
          <w:lang w:val="en-AU"/>
        </w:rPr>
        <w:t>consumption</w:t>
      </w:r>
      <w:r w:rsidR="00C677A1" w:rsidRPr="004360BF">
        <w:rPr>
          <w:lang w:val="en-AU"/>
        </w:rPr>
        <w:t xml:space="preserve"> profile</w:t>
      </w:r>
      <w:r w:rsidR="005D1CD5" w:rsidRPr="004360BF">
        <w:rPr>
          <w:lang w:val="en-AU"/>
        </w:rPr>
        <w:t>d</w:t>
      </w:r>
      <w:r w:rsidR="00C677A1" w:rsidRPr="004360BF">
        <w:rPr>
          <w:lang w:val="en-AU"/>
        </w:rPr>
        <w:t xml:space="preserve"> unmetered supplies, and traffic lights and similar unmetered 24 hour supplies</w:t>
      </w:r>
      <w:r w:rsidR="003D5078">
        <w:rPr>
          <w:lang w:val="en-AU"/>
        </w:rPr>
        <w:t>;</w:t>
      </w:r>
    </w:p>
    <w:p w14:paraId="1F79EA5D" w14:textId="2DE40118" w:rsidR="00750C6D" w:rsidRPr="004360BF" w:rsidRDefault="00B10A56" w:rsidP="00EE7AA1">
      <w:pPr>
        <w:numPr>
          <w:ilvl w:val="0"/>
          <w:numId w:val="1"/>
        </w:numPr>
        <w:spacing w:after="120"/>
        <w:rPr>
          <w:lang w:val="en-AU"/>
        </w:rPr>
      </w:pPr>
      <w:r w:rsidRPr="004360BF">
        <w:rPr>
          <w:lang w:val="en-AU"/>
        </w:rPr>
        <w:lastRenderedPageBreak/>
        <w:t>Tariffs are transparent and will be published, as will the 201</w:t>
      </w:r>
      <w:r w:rsidR="00F41DEA" w:rsidRPr="004360BF">
        <w:rPr>
          <w:lang w:val="en-AU"/>
        </w:rPr>
        <w:t>5</w:t>
      </w:r>
      <w:r w:rsidR="006B3299" w:rsidRPr="004360BF">
        <w:rPr>
          <w:lang w:val="en-AU"/>
        </w:rPr>
        <w:t>/</w:t>
      </w:r>
      <w:r w:rsidR="00072F0A" w:rsidRPr="004360BF">
        <w:rPr>
          <w:lang w:val="en-AU"/>
        </w:rPr>
        <w:t>1</w:t>
      </w:r>
      <w:r w:rsidR="00F41DEA" w:rsidRPr="004360BF">
        <w:rPr>
          <w:lang w:val="en-AU"/>
        </w:rPr>
        <w:t>6</w:t>
      </w:r>
      <w:r w:rsidR="00072F0A" w:rsidRPr="004360BF">
        <w:rPr>
          <w:lang w:val="en-AU"/>
        </w:rPr>
        <w:t xml:space="preserve"> Network </w:t>
      </w:r>
      <w:r w:rsidRPr="004360BF">
        <w:rPr>
          <w:lang w:val="en-AU"/>
        </w:rPr>
        <w:t>Pricing Proposal</w:t>
      </w:r>
      <w:r w:rsidR="00072F0A" w:rsidRPr="004360BF">
        <w:rPr>
          <w:lang w:val="en-AU"/>
        </w:rPr>
        <w:t>,</w:t>
      </w:r>
      <w:r w:rsidRPr="004360BF">
        <w:rPr>
          <w:lang w:val="en-AU"/>
        </w:rPr>
        <w:t xml:space="preserve"> which explain</w:t>
      </w:r>
      <w:r w:rsidR="00F72289" w:rsidRPr="004360BF">
        <w:rPr>
          <w:lang w:val="en-AU"/>
        </w:rPr>
        <w:t>s</w:t>
      </w:r>
      <w:r w:rsidRPr="004360BF">
        <w:rPr>
          <w:lang w:val="en-AU"/>
        </w:rPr>
        <w:t xml:space="preserve"> their development and future tariff movements</w:t>
      </w:r>
      <w:r w:rsidR="00284D27" w:rsidRPr="004360BF">
        <w:rPr>
          <w:lang w:val="en-AU"/>
        </w:rPr>
        <w:t>; and</w:t>
      </w:r>
    </w:p>
    <w:p w14:paraId="2320ABEE" w14:textId="77777777" w:rsidR="00B10A56" w:rsidRPr="004360BF" w:rsidRDefault="00750C6D" w:rsidP="00EE7AA1">
      <w:pPr>
        <w:numPr>
          <w:ilvl w:val="0"/>
          <w:numId w:val="1"/>
        </w:numPr>
        <w:ind w:left="714" w:hanging="357"/>
        <w:rPr>
          <w:lang w:val="en-AU"/>
        </w:rPr>
      </w:pPr>
      <w:r w:rsidRPr="004360BF">
        <w:rPr>
          <w:lang w:val="en-AU"/>
        </w:rPr>
        <w:t xml:space="preserve">Tariff changes have been proposed with a view to </w:t>
      </w:r>
      <w:r w:rsidR="00D604AA" w:rsidRPr="004360BF">
        <w:rPr>
          <w:lang w:val="en-AU"/>
        </w:rPr>
        <w:t xml:space="preserve">limiting the rate of change to acceptable levels and thereby </w:t>
      </w:r>
      <w:r w:rsidRPr="004360BF">
        <w:rPr>
          <w:lang w:val="en-AU"/>
        </w:rPr>
        <w:t>promoting price stability</w:t>
      </w:r>
      <w:r w:rsidR="001C11E5" w:rsidRPr="004360BF">
        <w:rPr>
          <w:lang w:val="en-AU"/>
        </w:rPr>
        <w:t>.</w:t>
      </w:r>
    </w:p>
    <w:p w14:paraId="3770A181" w14:textId="77777777" w:rsidR="00B10A56" w:rsidRPr="004360BF" w:rsidRDefault="00B10A56" w:rsidP="007B1D27">
      <w:pPr>
        <w:pStyle w:val="Dottop"/>
        <w:rPr>
          <w:lang w:val="en-AU"/>
        </w:rPr>
      </w:pPr>
      <w:r w:rsidRPr="004360BF">
        <w:rPr>
          <w:lang w:val="en-AU"/>
        </w:rPr>
        <w:t xml:space="preserve">With reference to the </w:t>
      </w:r>
      <w:r w:rsidR="008640F6" w:rsidRPr="004360BF">
        <w:rPr>
          <w:lang w:val="en-AU"/>
        </w:rPr>
        <w:t xml:space="preserve">tariff classes and </w:t>
      </w:r>
      <w:r w:rsidRPr="004360BF">
        <w:rPr>
          <w:lang w:val="en-AU"/>
        </w:rPr>
        <w:t>relevant pricing principles</w:t>
      </w:r>
      <w:r w:rsidR="00126CC9" w:rsidRPr="004360BF">
        <w:rPr>
          <w:lang w:val="en-AU"/>
        </w:rPr>
        <w:t xml:space="preserve"> </w:t>
      </w:r>
      <w:r w:rsidRPr="004360BF">
        <w:rPr>
          <w:lang w:val="en-AU"/>
        </w:rPr>
        <w:t xml:space="preserve">in the </w:t>
      </w:r>
      <w:r w:rsidR="00126CC9" w:rsidRPr="004360BF">
        <w:rPr>
          <w:lang w:val="en-AU"/>
        </w:rPr>
        <w:t>Network Pricing Principles Statement (RIN clause 18.1(f))</w:t>
      </w:r>
      <w:r w:rsidRPr="004360BF">
        <w:rPr>
          <w:lang w:val="en-AU"/>
        </w:rPr>
        <w:t>, Power Networks</w:t>
      </w:r>
      <w:r w:rsidR="00951FCC" w:rsidRPr="004360BF">
        <w:rPr>
          <w:lang w:val="en-AU"/>
        </w:rPr>
        <w:t>’ proposed tariffs comply with the following</w:t>
      </w:r>
      <w:r w:rsidRPr="004360BF">
        <w:rPr>
          <w:lang w:val="en-AU"/>
        </w:rPr>
        <w:t>:</w:t>
      </w:r>
    </w:p>
    <w:p w14:paraId="76F095BF" w14:textId="77777777" w:rsidR="008640F6" w:rsidRPr="004360BF" w:rsidRDefault="008640F6" w:rsidP="007B1D27">
      <w:pPr>
        <w:pStyle w:val="Dot"/>
        <w:rPr>
          <w:lang w:val="en-AU"/>
        </w:rPr>
      </w:pPr>
      <w:r w:rsidRPr="004360BF">
        <w:rPr>
          <w:lang w:val="en-AU"/>
        </w:rPr>
        <w:t>Tariff classes have been constituted on an economically efficient basis and in such a way as to minimise transaction costs as shown in chapter 5;</w:t>
      </w:r>
    </w:p>
    <w:p w14:paraId="06ADAFF5" w14:textId="77777777" w:rsidR="00B10A56" w:rsidRPr="004360BF" w:rsidRDefault="00F72289" w:rsidP="007B1D27">
      <w:pPr>
        <w:pStyle w:val="Dot"/>
        <w:rPr>
          <w:lang w:val="en-AU"/>
        </w:rPr>
      </w:pPr>
      <w:r w:rsidRPr="004360BF">
        <w:rPr>
          <w:lang w:val="en-AU"/>
        </w:rPr>
        <w:t>E</w:t>
      </w:r>
      <w:r w:rsidR="00B10A56" w:rsidRPr="004360BF">
        <w:rPr>
          <w:lang w:val="en-AU"/>
        </w:rPr>
        <w:t xml:space="preserve">ach tariff and tariff charging </w:t>
      </w:r>
      <w:r w:rsidR="00112A4E" w:rsidRPr="004360BF">
        <w:rPr>
          <w:lang w:val="en-AU"/>
        </w:rPr>
        <w:t>parameter</w:t>
      </w:r>
      <w:r w:rsidR="00B10A56" w:rsidRPr="004360BF">
        <w:rPr>
          <w:lang w:val="en-AU"/>
        </w:rPr>
        <w:t xml:space="preserve"> </w:t>
      </w:r>
      <w:r w:rsidR="00951FCC" w:rsidRPr="004360BF">
        <w:rPr>
          <w:lang w:val="en-AU"/>
        </w:rPr>
        <w:t>have been</w:t>
      </w:r>
      <w:r w:rsidR="00B10A56" w:rsidRPr="004360BF">
        <w:rPr>
          <w:lang w:val="en-AU"/>
        </w:rPr>
        <w:t xml:space="preserve"> established having regard to the LRMC of supply</w:t>
      </w:r>
      <w:r w:rsidR="00951FCC" w:rsidRPr="004360BF">
        <w:rPr>
          <w:lang w:val="en-AU"/>
        </w:rPr>
        <w:t xml:space="preserve">, as shown in </w:t>
      </w:r>
      <w:r w:rsidR="00CE7DC9" w:rsidRPr="004360BF">
        <w:rPr>
          <w:lang w:val="en-AU"/>
        </w:rPr>
        <w:t>section 14.3</w:t>
      </w:r>
      <w:r w:rsidR="00B10A56" w:rsidRPr="004360BF">
        <w:rPr>
          <w:lang w:val="en-AU"/>
        </w:rPr>
        <w:t>;</w:t>
      </w:r>
    </w:p>
    <w:p w14:paraId="50440F50" w14:textId="77777777" w:rsidR="00B10A56" w:rsidRPr="004360BF" w:rsidRDefault="00F72289" w:rsidP="007B1D27">
      <w:pPr>
        <w:pStyle w:val="Dot"/>
        <w:rPr>
          <w:lang w:val="en-AU"/>
        </w:rPr>
      </w:pPr>
      <w:r w:rsidRPr="004360BF">
        <w:rPr>
          <w:lang w:val="en-AU"/>
        </w:rPr>
        <w:t>D</w:t>
      </w:r>
      <w:r w:rsidR="00B10A56" w:rsidRPr="004360BF">
        <w:rPr>
          <w:lang w:val="en-AU"/>
        </w:rPr>
        <w:t xml:space="preserve">ue regard </w:t>
      </w:r>
      <w:r w:rsidR="00951FCC" w:rsidRPr="004360BF">
        <w:rPr>
          <w:lang w:val="en-AU"/>
        </w:rPr>
        <w:t xml:space="preserve">has been </w:t>
      </w:r>
      <w:r w:rsidR="00B10A56" w:rsidRPr="004360BF">
        <w:rPr>
          <w:lang w:val="en-AU"/>
        </w:rPr>
        <w:t xml:space="preserve">given to the tariff transaction costs, by keeping the structure of tariffs and their charging </w:t>
      </w:r>
      <w:r w:rsidR="00112A4E" w:rsidRPr="004360BF">
        <w:rPr>
          <w:lang w:val="en-AU"/>
        </w:rPr>
        <w:t xml:space="preserve">parameters </w:t>
      </w:r>
      <w:r w:rsidR="00B10A56" w:rsidRPr="004360BF">
        <w:rPr>
          <w:lang w:val="en-AU"/>
        </w:rPr>
        <w:t>as simple as reasonably possible</w:t>
      </w:r>
      <w:r w:rsidR="00CE7DC9" w:rsidRPr="004360BF">
        <w:rPr>
          <w:lang w:val="en-AU"/>
        </w:rPr>
        <w:t>, as shown in section 14.4</w:t>
      </w:r>
      <w:r w:rsidR="00B10A56" w:rsidRPr="004360BF">
        <w:rPr>
          <w:lang w:val="en-AU"/>
        </w:rPr>
        <w:t>; and</w:t>
      </w:r>
    </w:p>
    <w:p w14:paraId="5E0C4A93" w14:textId="7B2E651D" w:rsidR="00B10A56" w:rsidRPr="004360BF" w:rsidRDefault="00F72289" w:rsidP="007B1D27">
      <w:pPr>
        <w:pStyle w:val="Dotbot"/>
        <w:rPr>
          <w:lang w:val="en-AU"/>
        </w:rPr>
      </w:pPr>
      <w:r w:rsidRPr="004360BF">
        <w:rPr>
          <w:lang w:val="en-AU"/>
        </w:rPr>
        <w:t>D</w:t>
      </w:r>
      <w:r w:rsidR="00B10A56" w:rsidRPr="004360BF">
        <w:rPr>
          <w:lang w:val="en-AU"/>
        </w:rPr>
        <w:t xml:space="preserve">ue regard </w:t>
      </w:r>
      <w:r w:rsidR="00951FCC" w:rsidRPr="004360BF">
        <w:rPr>
          <w:lang w:val="en-AU"/>
        </w:rPr>
        <w:t>has been</w:t>
      </w:r>
      <w:r w:rsidR="00B10A56" w:rsidRPr="004360BF">
        <w:rPr>
          <w:lang w:val="en-AU"/>
        </w:rPr>
        <w:t xml:space="preserve"> given, in structuring</w:t>
      </w:r>
      <w:r w:rsidR="00CC6CF8" w:rsidRPr="004360BF">
        <w:rPr>
          <w:lang w:val="en-AU"/>
        </w:rPr>
        <w:t xml:space="preserve"> </w:t>
      </w:r>
      <w:r w:rsidR="00B10A56" w:rsidRPr="004360BF">
        <w:rPr>
          <w:lang w:val="en-AU"/>
        </w:rPr>
        <w:t xml:space="preserve">tariffs, as to whether </w:t>
      </w:r>
      <w:r w:rsidR="00B10A56" w:rsidRPr="004360BF">
        <w:rPr>
          <w:iCs/>
          <w:lang w:val="en-AU"/>
        </w:rPr>
        <w:t xml:space="preserve">customers </w:t>
      </w:r>
      <w:r w:rsidR="00B10A56" w:rsidRPr="004360BF">
        <w:rPr>
          <w:lang w:val="en-AU"/>
        </w:rPr>
        <w:t xml:space="preserve">of the relevant </w:t>
      </w:r>
      <w:r w:rsidR="00263D11" w:rsidRPr="004360BF">
        <w:rPr>
          <w:iCs/>
          <w:lang w:val="en-AU"/>
        </w:rPr>
        <w:t>tariff class</w:t>
      </w:r>
      <w:r w:rsidR="00B10A56" w:rsidRPr="004360BF">
        <w:rPr>
          <w:i/>
          <w:iCs/>
          <w:lang w:val="en-AU"/>
        </w:rPr>
        <w:t xml:space="preserve"> </w:t>
      </w:r>
      <w:r w:rsidR="00B10A56" w:rsidRPr="004360BF">
        <w:rPr>
          <w:lang w:val="en-AU"/>
        </w:rPr>
        <w:t>are able or likely to respond to price signals</w:t>
      </w:r>
      <w:r w:rsidR="00284D27" w:rsidRPr="004360BF">
        <w:rPr>
          <w:lang w:val="en-AU"/>
        </w:rPr>
        <w:t>,</w:t>
      </w:r>
      <w:r w:rsidR="00951FCC" w:rsidRPr="004360BF">
        <w:rPr>
          <w:lang w:val="en-AU"/>
        </w:rPr>
        <w:t xml:space="preserve"> as shown in </w:t>
      </w:r>
      <w:r w:rsidR="00CE7DC9" w:rsidRPr="004360BF">
        <w:rPr>
          <w:lang w:val="en-AU"/>
        </w:rPr>
        <w:t>section 14.5</w:t>
      </w:r>
      <w:r w:rsidR="00B10A56" w:rsidRPr="004360BF">
        <w:rPr>
          <w:lang w:val="en-AU"/>
        </w:rPr>
        <w:t>.</w:t>
      </w:r>
    </w:p>
    <w:p w14:paraId="1895D36E" w14:textId="77777777" w:rsidR="00236CEA" w:rsidRPr="004360BF" w:rsidRDefault="00236CEA" w:rsidP="007B1D27">
      <w:pPr>
        <w:rPr>
          <w:lang w:val="en-AU"/>
        </w:rPr>
      </w:pPr>
      <w:r w:rsidRPr="004360BF">
        <w:rPr>
          <w:lang w:val="en-AU"/>
        </w:rPr>
        <w:t xml:space="preserve">Power Networks therefore </w:t>
      </w:r>
      <w:r w:rsidR="002422AC" w:rsidRPr="004360BF">
        <w:rPr>
          <w:lang w:val="en-AU"/>
        </w:rPr>
        <w:t>considers that</w:t>
      </w:r>
      <w:r w:rsidRPr="004360BF">
        <w:rPr>
          <w:lang w:val="en-AU"/>
        </w:rPr>
        <w:t xml:space="preserve"> its tariff changes in 201</w:t>
      </w:r>
      <w:r w:rsidR="00726727" w:rsidRPr="004360BF">
        <w:rPr>
          <w:lang w:val="en-AU"/>
        </w:rPr>
        <w:t>5</w:t>
      </w:r>
      <w:r w:rsidRPr="004360BF">
        <w:rPr>
          <w:lang w:val="en-AU"/>
        </w:rPr>
        <w:t>/1</w:t>
      </w:r>
      <w:r w:rsidR="00726727" w:rsidRPr="004360BF">
        <w:rPr>
          <w:lang w:val="en-AU"/>
        </w:rPr>
        <w:t>6</w:t>
      </w:r>
      <w:r w:rsidRPr="004360BF">
        <w:rPr>
          <w:lang w:val="en-AU"/>
        </w:rPr>
        <w:t xml:space="preserve"> are compliant with the requirements of the TPA Code and the RIN. </w:t>
      </w:r>
    </w:p>
    <w:p w14:paraId="46DCD743" w14:textId="37740E59" w:rsidR="0081381C" w:rsidRPr="004360BF" w:rsidRDefault="0081381C" w:rsidP="007B1D27">
      <w:pPr>
        <w:rPr>
          <w:lang w:val="en-AU"/>
        </w:rPr>
      </w:pPr>
      <w:r w:rsidRPr="004360BF">
        <w:rPr>
          <w:lang w:val="en-AU"/>
        </w:rPr>
        <w:t>In addition, for the 201</w:t>
      </w:r>
      <w:r w:rsidR="00726727" w:rsidRPr="004360BF">
        <w:rPr>
          <w:lang w:val="en-AU"/>
        </w:rPr>
        <w:t>5</w:t>
      </w:r>
      <w:r w:rsidRPr="004360BF">
        <w:rPr>
          <w:lang w:val="en-AU"/>
        </w:rPr>
        <w:t>/1</w:t>
      </w:r>
      <w:r w:rsidR="00726727" w:rsidRPr="004360BF">
        <w:rPr>
          <w:lang w:val="en-AU"/>
        </w:rPr>
        <w:t>6</w:t>
      </w:r>
      <w:r w:rsidRPr="004360BF">
        <w:rPr>
          <w:lang w:val="en-AU"/>
        </w:rPr>
        <w:t xml:space="preserve"> regulatory year, Power Networks has demonstrated</w:t>
      </w:r>
      <w:r w:rsidR="00BA4609" w:rsidRPr="004360BF">
        <w:rPr>
          <w:lang w:val="en-AU"/>
        </w:rPr>
        <w:t xml:space="preserve"> </w:t>
      </w:r>
      <w:r w:rsidR="007B30DE" w:rsidRPr="004360BF">
        <w:rPr>
          <w:lang w:val="en-AU"/>
        </w:rPr>
        <w:t>that</w:t>
      </w:r>
      <w:r w:rsidR="00BA4609" w:rsidRPr="004360BF">
        <w:rPr>
          <w:lang w:val="en-AU"/>
        </w:rPr>
        <w:t>, in accordance with clause 6.18.5(a) of the Rules,</w:t>
      </w:r>
      <w:r w:rsidRPr="004360BF">
        <w:rPr>
          <w:lang w:val="en-AU"/>
        </w:rPr>
        <w:t xml:space="preserve"> the revenue from its proposed tariff classes lies between the stand-alone and avoidable costs of supply</w:t>
      </w:r>
      <w:r w:rsidR="00951FCC" w:rsidRPr="004360BF">
        <w:rPr>
          <w:lang w:val="en-AU"/>
        </w:rPr>
        <w:t xml:space="preserve">, </w:t>
      </w:r>
      <w:r w:rsidR="00CE7DC9" w:rsidRPr="004360BF">
        <w:rPr>
          <w:lang w:val="en-AU"/>
        </w:rPr>
        <w:t>as shown in</w:t>
      </w:r>
      <w:r w:rsidR="001C11E5" w:rsidRPr="004360BF">
        <w:rPr>
          <w:lang w:val="en-AU"/>
        </w:rPr>
        <w:t xml:space="preserve"> </w:t>
      </w:r>
      <w:r w:rsidR="00AC43C6" w:rsidRPr="004360BF">
        <w:rPr>
          <w:lang w:val="en-AU"/>
        </w:rPr>
        <w:t xml:space="preserve">section </w:t>
      </w:r>
      <w:r w:rsidR="009D0181" w:rsidRPr="004360BF">
        <w:rPr>
          <w:lang w:val="en-AU"/>
        </w:rPr>
        <w:fldChar w:fldCharType="begin"/>
      </w:r>
      <w:r w:rsidR="009D0181" w:rsidRPr="004360BF">
        <w:rPr>
          <w:lang w:val="en-AU"/>
        </w:rPr>
        <w:instrText xml:space="preserve"> REF _Ref258684036 \r \h </w:instrText>
      </w:r>
      <w:r w:rsidR="009D0181" w:rsidRPr="004360BF">
        <w:rPr>
          <w:lang w:val="en-AU"/>
        </w:rPr>
      </w:r>
      <w:r w:rsidR="009D0181" w:rsidRPr="004360BF">
        <w:rPr>
          <w:lang w:val="en-AU"/>
        </w:rPr>
        <w:fldChar w:fldCharType="separate"/>
      </w:r>
      <w:r w:rsidR="008D3215">
        <w:rPr>
          <w:lang w:val="en-AU"/>
        </w:rPr>
        <w:t>13.3</w:t>
      </w:r>
      <w:r w:rsidR="009D0181" w:rsidRPr="004360BF">
        <w:rPr>
          <w:lang w:val="en-AU"/>
        </w:rPr>
        <w:fldChar w:fldCharType="end"/>
      </w:r>
      <w:r w:rsidR="00CE7DC9" w:rsidRPr="004360BF">
        <w:rPr>
          <w:lang w:val="en-AU"/>
        </w:rPr>
        <w:t>.</w:t>
      </w:r>
    </w:p>
    <w:p w14:paraId="213AF6F0" w14:textId="00B5FCF6" w:rsidR="00175542" w:rsidRPr="004360BF" w:rsidRDefault="00CD5DF2" w:rsidP="007B1D27">
      <w:pPr>
        <w:rPr>
          <w:lang w:val="en-AU"/>
        </w:rPr>
      </w:pPr>
      <w:r w:rsidRPr="004360BF">
        <w:rPr>
          <w:lang w:val="en-AU"/>
        </w:rPr>
        <w:t xml:space="preserve">In line with the above considerations, </w:t>
      </w:r>
      <w:r w:rsidR="00175542" w:rsidRPr="004360BF">
        <w:rPr>
          <w:lang w:val="en-AU"/>
        </w:rPr>
        <w:t xml:space="preserve">Power Networks has developed a strategy for each of its existing network tariffs and will be giving consideration to the introduction of new tariffs during the 2014-19 regulatory control </w:t>
      </w:r>
      <w:proofErr w:type="gramStart"/>
      <w:r w:rsidR="00175542" w:rsidRPr="004360BF">
        <w:rPr>
          <w:lang w:val="en-AU"/>
        </w:rPr>
        <w:t>period</w:t>
      </w:r>
      <w:proofErr w:type="gramEnd"/>
      <w:r w:rsidR="00175542" w:rsidRPr="004360BF">
        <w:rPr>
          <w:lang w:val="en-AU"/>
        </w:rPr>
        <w:t>.</w:t>
      </w:r>
      <w:r w:rsidR="00CC6CF8" w:rsidRPr="004360BF">
        <w:rPr>
          <w:lang w:val="en-AU"/>
        </w:rPr>
        <w:t xml:space="preserve"> </w:t>
      </w:r>
      <w:r w:rsidR="00175542" w:rsidRPr="004360BF">
        <w:rPr>
          <w:lang w:val="en-AU"/>
        </w:rPr>
        <w:t xml:space="preserve">These proposed developments are set out in </w:t>
      </w:r>
      <w:r w:rsidR="00F72289" w:rsidRPr="004360BF">
        <w:rPr>
          <w:lang w:val="en-AU"/>
        </w:rPr>
        <w:t>s</w:t>
      </w:r>
      <w:r w:rsidR="00175542" w:rsidRPr="004360BF">
        <w:rPr>
          <w:lang w:val="en-AU"/>
        </w:rPr>
        <w:t xml:space="preserve">ections </w:t>
      </w:r>
      <w:r w:rsidR="009D0181" w:rsidRPr="004360BF">
        <w:rPr>
          <w:lang w:val="en-AU"/>
        </w:rPr>
        <w:fldChar w:fldCharType="begin"/>
      </w:r>
      <w:r w:rsidR="009D0181" w:rsidRPr="004360BF">
        <w:rPr>
          <w:lang w:val="en-AU"/>
        </w:rPr>
        <w:instrText xml:space="preserve"> REF _Ref240537222 \r \h </w:instrText>
      </w:r>
      <w:r w:rsidR="009D0181" w:rsidRPr="004360BF">
        <w:rPr>
          <w:lang w:val="en-AU"/>
        </w:rPr>
      </w:r>
      <w:r w:rsidR="009D0181" w:rsidRPr="004360BF">
        <w:rPr>
          <w:lang w:val="en-AU"/>
        </w:rPr>
        <w:fldChar w:fldCharType="separate"/>
      </w:r>
      <w:r w:rsidR="008D3215">
        <w:rPr>
          <w:lang w:val="en-AU"/>
        </w:rPr>
        <w:t>9.3.1</w:t>
      </w:r>
      <w:r w:rsidR="009D0181" w:rsidRPr="004360BF">
        <w:rPr>
          <w:lang w:val="en-AU"/>
        </w:rPr>
        <w:fldChar w:fldCharType="end"/>
      </w:r>
      <w:r w:rsidR="009D0181" w:rsidRPr="004360BF">
        <w:rPr>
          <w:lang w:val="en-AU"/>
        </w:rPr>
        <w:t xml:space="preserve"> to </w:t>
      </w:r>
      <w:r w:rsidR="009D0181" w:rsidRPr="004360BF">
        <w:rPr>
          <w:lang w:val="en-AU"/>
        </w:rPr>
        <w:fldChar w:fldCharType="begin"/>
      </w:r>
      <w:r w:rsidR="009D0181" w:rsidRPr="004360BF">
        <w:rPr>
          <w:lang w:val="en-AU"/>
        </w:rPr>
        <w:instrText xml:space="preserve"> REF _Ref240537226 \r \h </w:instrText>
      </w:r>
      <w:r w:rsidR="009D0181" w:rsidRPr="004360BF">
        <w:rPr>
          <w:lang w:val="en-AU"/>
        </w:rPr>
      </w:r>
      <w:r w:rsidR="009D0181" w:rsidRPr="004360BF">
        <w:rPr>
          <w:lang w:val="en-AU"/>
        </w:rPr>
        <w:fldChar w:fldCharType="separate"/>
      </w:r>
      <w:r w:rsidR="008D3215">
        <w:rPr>
          <w:lang w:val="en-AU"/>
        </w:rPr>
        <w:t>9.3.4</w:t>
      </w:r>
      <w:r w:rsidR="009D0181" w:rsidRPr="004360BF">
        <w:rPr>
          <w:lang w:val="en-AU"/>
        </w:rPr>
        <w:fldChar w:fldCharType="end"/>
      </w:r>
      <w:r w:rsidR="009D0181" w:rsidRPr="004360BF">
        <w:rPr>
          <w:lang w:val="en-AU"/>
        </w:rPr>
        <w:t>,</w:t>
      </w:r>
      <w:r w:rsidR="00175542" w:rsidRPr="004360BF">
        <w:rPr>
          <w:lang w:val="en-AU"/>
        </w:rPr>
        <w:t xml:space="preserve"> </w:t>
      </w:r>
      <w:r w:rsidR="00F72289" w:rsidRPr="004360BF">
        <w:rPr>
          <w:lang w:val="en-AU"/>
        </w:rPr>
        <w:t>for</w:t>
      </w:r>
      <w:r w:rsidR="00175542" w:rsidRPr="004360BF">
        <w:rPr>
          <w:lang w:val="en-AU"/>
        </w:rPr>
        <w:t xml:space="preserve"> standard control </w:t>
      </w:r>
      <w:r w:rsidR="00BA4609" w:rsidRPr="004360BF">
        <w:rPr>
          <w:lang w:val="en-AU"/>
        </w:rPr>
        <w:t>network</w:t>
      </w:r>
      <w:r w:rsidR="00175542" w:rsidRPr="004360BF">
        <w:rPr>
          <w:lang w:val="en-AU"/>
        </w:rPr>
        <w:t xml:space="preserve"> tariffs. </w:t>
      </w:r>
    </w:p>
    <w:p w14:paraId="6E20279B" w14:textId="77777777" w:rsidR="00501EB1" w:rsidRPr="004360BF" w:rsidRDefault="00501EB1" w:rsidP="00B30BF6">
      <w:pPr>
        <w:pStyle w:val="Heading2"/>
      </w:pPr>
      <w:bookmarkStart w:id="267" w:name="_Ref258681967"/>
      <w:bookmarkStart w:id="268" w:name="_Toc417291252"/>
      <w:bookmarkStart w:id="269" w:name="_Toc417291752"/>
      <w:bookmarkStart w:id="270" w:name="_Toc417292520"/>
      <w:bookmarkStart w:id="271" w:name="_Toc291262241"/>
      <w:bookmarkStart w:id="272" w:name="_Toc417458015"/>
      <w:bookmarkStart w:id="273" w:name="_Toc418608684"/>
      <w:r w:rsidRPr="004360BF">
        <w:t>Tariff strategies</w:t>
      </w:r>
      <w:bookmarkEnd w:id="267"/>
      <w:bookmarkEnd w:id="268"/>
      <w:bookmarkEnd w:id="269"/>
      <w:bookmarkEnd w:id="270"/>
      <w:bookmarkEnd w:id="271"/>
      <w:bookmarkEnd w:id="272"/>
      <w:bookmarkEnd w:id="273"/>
    </w:p>
    <w:p w14:paraId="629C5E04" w14:textId="77777777" w:rsidR="00501EB1" w:rsidRPr="004360BF" w:rsidRDefault="00501EB1" w:rsidP="007B1D27">
      <w:pPr>
        <w:rPr>
          <w:lang w:val="en-AU"/>
        </w:rPr>
      </w:pPr>
      <w:r w:rsidRPr="004360BF">
        <w:rPr>
          <w:lang w:val="en-AU"/>
        </w:rPr>
        <w:t xml:space="preserve">The strategies for each of Power Networks’ tariffs </w:t>
      </w:r>
      <w:r w:rsidR="007B0895" w:rsidRPr="004360BF">
        <w:rPr>
          <w:lang w:val="en-AU"/>
        </w:rPr>
        <w:t xml:space="preserve">over the 2014-19 regulatory control </w:t>
      </w:r>
      <w:proofErr w:type="gramStart"/>
      <w:r w:rsidR="007B0895" w:rsidRPr="004360BF">
        <w:rPr>
          <w:lang w:val="en-AU"/>
        </w:rPr>
        <w:t>period</w:t>
      </w:r>
      <w:proofErr w:type="gramEnd"/>
      <w:r w:rsidR="007B0895" w:rsidRPr="004360BF">
        <w:rPr>
          <w:lang w:val="en-AU"/>
        </w:rPr>
        <w:t xml:space="preserve"> </w:t>
      </w:r>
      <w:r w:rsidRPr="004360BF">
        <w:rPr>
          <w:lang w:val="en-AU"/>
        </w:rPr>
        <w:t>are discussed below.</w:t>
      </w:r>
    </w:p>
    <w:p w14:paraId="23CFB145" w14:textId="77777777" w:rsidR="00175542" w:rsidRPr="004360BF" w:rsidRDefault="00175542" w:rsidP="00EE7AA1">
      <w:pPr>
        <w:pStyle w:val="Heading3"/>
      </w:pPr>
      <w:bookmarkStart w:id="274" w:name="_Ref240537222"/>
      <w:bookmarkStart w:id="275" w:name="_Toc417291753"/>
      <w:bookmarkStart w:id="276" w:name="_Toc417292521"/>
      <w:bookmarkStart w:id="277" w:name="_Toc291262242"/>
      <w:bookmarkStart w:id="278" w:name="_Ref240536979"/>
      <w:r w:rsidRPr="004360BF">
        <w:t>Domestic (</w:t>
      </w:r>
      <w:r w:rsidR="00757721" w:rsidRPr="004360BF">
        <w:t>D</w:t>
      </w:r>
      <w:r w:rsidRPr="004360BF">
        <w:t xml:space="preserve">omestic </w:t>
      </w:r>
      <w:r w:rsidR="00263D11" w:rsidRPr="004360BF">
        <w:t>tariff class</w:t>
      </w:r>
      <w:r w:rsidRPr="004360BF">
        <w:t>)</w:t>
      </w:r>
      <w:bookmarkEnd w:id="274"/>
      <w:bookmarkEnd w:id="275"/>
      <w:bookmarkEnd w:id="276"/>
      <w:bookmarkEnd w:id="277"/>
    </w:p>
    <w:bookmarkEnd w:id="278"/>
    <w:p w14:paraId="71D07A88" w14:textId="77777777" w:rsidR="00175542" w:rsidRPr="004360BF" w:rsidRDefault="00175542" w:rsidP="007B1D27">
      <w:pPr>
        <w:rPr>
          <w:lang w:val="en-AU"/>
        </w:rPr>
      </w:pPr>
      <w:r w:rsidRPr="004360BF">
        <w:rPr>
          <w:lang w:val="en-AU"/>
        </w:rPr>
        <w:t xml:space="preserve">Domestic customers </w:t>
      </w:r>
      <w:r w:rsidR="002F21EC" w:rsidRPr="004360BF">
        <w:rPr>
          <w:lang w:val="en-AU"/>
        </w:rPr>
        <w:t xml:space="preserve">generally </w:t>
      </w:r>
      <w:r w:rsidRPr="004360BF">
        <w:rPr>
          <w:lang w:val="en-AU"/>
        </w:rPr>
        <w:t>have accumulation meters, which limits the available options for tariff reform.</w:t>
      </w:r>
    </w:p>
    <w:p w14:paraId="65F9A4C5" w14:textId="77777777" w:rsidR="00175542" w:rsidRPr="004360BF" w:rsidRDefault="00175542" w:rsidP="007B1D27">
      <w:pPr>
        <w:pStyle w:val="Dottop"/>
        <w:rPr>
          <w:lang w:val="en-AU"/>
        </w:rPr>
      </w:pPr>
      <w:r w:rsidRPr="004360BF">
        <w:rPr>
          <w:lang w:val="en-AU"/>
        </w:rPr>
        <w:lastRenderedPageBreak/>
        <w:t xml:space="preserve">Nevertheless, the existing declining block </w:t>
      </w:r>
      <w:r w:rsidR="001F4F78" w:rsidRPr="004360BF">
        <w:rPr>
          <w:lang w:val="en-AU"/>
        </w:rPr>
        <w:t xml:space="preserve">energy </w:t>
      </w:r>
      <w:r w:rsidRPr="004360BF">
        <w:rPr>
          <w:lang w:val="en-AU"/>
        </w:rPr>
        <w:t xml:space="preserve">tariff structure for domestic customers is out of step with </w:t>
      </w:r>
      <w:r w:rsidR="00F72289" w:rsidRPr="004360BF">
        <w:rPr>
          <w:lang w:val="en-AU"/>
        </w:rPr>
        <w:t xml:space="preserve">many </w:t>
      </w:r>
      <w:r w:rsidRPr="004360BF">
        <w:rPr>
          <w:lang w:val="en-AU"/>
        </w:rPr>
        <w:t>other Australian distributors.</w:t>
      </w:r>
      <w:r w:rsidR="00CC6CF8" w:rsidRPr="004360BF">
        <w:rPr>
          <w:lang w:val="en-AU"/>
        </w:rPr>
        <w:t xml:space="preserve"> </w:t>
      </w:r>
      <w:r w:rsidRPr="004360BF">
        <w:rPr>
          <w:lang w:val="en-AU"/>
        </w:rPr>
        <w:t>Many utilities have now implemented inclining block tariff (IBT) structures for small customers.</w:t>
      </w:r>
      <w:r w:rsidR="00CC6CF8" w:rsidRPr="004360BF">
        <w:rPr>
          <w:lang w:val="en-AU"/>
        </w:rPr>
        <w:t xml:space="preserve"> </w:t>
      </w:r>
      <w:r w:rsidRPr="004360BF">
        <w:rPr>
          <w:lang w:val="en-AU"/>
        </w:rPr>
        <w:t>An inclining block structure has the following features:</w:t>
      </w:r>
    </w:p>
    <w:p w14:paraId="35331307" w14:textId="77777777" w:rsidR="00175542" w:rsidRPr="004360BF" w:rsidRDefault="00175542" w:rsidP="007B1D27">
      <w:pPr>
        <w:pStyle w:val="Dot"/>
        <w:rPr>
          <w:lang w:val="en-AU"/>
        </w:rPr>
      </w:pPr>
      <w:r w:rsidRPr="004360BF">
        <w:rPr>
          <w:lang w:val="en-AU"/>
        </w:rPr>
        <w:t>It provide</w:t>
      </w:r>
      <w:r w:rsidR="009D4C94" w:rsidRPr="004360BF">
        <w:rPr>
          <w:lang w:val="en-AU"/>
        </w:rPr>
        <w:t>s</w:t>
      </w:r>
      <w:r w:rsidRPr="004360BF">
        <w:rPr>
          <w:lang w:val="en-AU"/>
        </w:rPr>
        <w:t xml:space="preserve"> more cost reflective pricing for customers with large consumption levels.</w:t>
      </w:r>
      <w:r w:rsidR="00CC6CF8" w:rsidRPr="004360BF">
        <w:rPr>
          <w:lang w:val="en-AU"/>
        </w:rPr>
        <w:t xml:space="preserve"> </w:t>
      </w:r>
      <w:r w:rsidRPr="004360BF">
        <w:rPr>
          <w:lang w:val="en-AU"/>
        </w:rPr>
        <w:t>Larger customers generally have greater discretion in appliance usage and the demand they place on the network, which is manifested in a poorer average load factor.</w:t>
      </w:r>
      <w:r w:rsidR="00CC6CF8" w:rsidRPr="004360BF">
        <w:rPr>
          <w:lang w:val="en-AU"/>
        </w:rPr>
        <w:t xml:space="preserve"> </w:t>
      </w:r>
      <w:r w:rsidRPr="004360BF">
        <w:rPr>
          <w:lang w:val="en-AU"/>
        </w:rPr>
        <w:t xml:space="preserve">Large customers </w:t>
      </w:r>
      <w:r w:rsidR="009D4C94" w:rsidRPr="004360BF">
        <w:rPr>
          <w:lang w:val="en-AU"/>
        </w:rPr>
        <w:t xml:space="preserve">also </w:t>
      </w:r>
      <w:r w:rsidRPr="004360BF">
        <w:rPr>
          <w:lang w:val="en-AU"/>
        </w:rPr>
        <w:t>tend to place a disproportionately high demand on the network;</w:t>
      </w:r>
    </w:p>
    <w:p w14:paraId="036DB7E2" w14:textId="77777777" w:rsidR="00175542" w:rsidRPr="004360BF" w:rsidRDefault="00175542" w:rsidP="007B1D27">
      <w:pPr>
        <w:pStyle w:val="Dot"/>
        <w:rPr>
          <w:lang w:val="en-AU"/>
        </w:rPr>
      </w:pPr>
      <w:r w:rsidRPr="004360BF">
        <w:rPr>
          <w:lang w:val="en-AU"/>
        </w:rPr>
        <w:t>The IBT aligns the network pricing signals with government energy efficiency and carbon emissions policies;</w:t>
      </w:r>
    </w:p>
    <w:p w14:paraId="2333FF64" w14:textId="77777777" w:rsidR="00175542" w:rsidRPr="004360BF" w:rsidRDefault="00175542" w:rsidP="007B1D27">
      <w:pPr>
        <w:pStyle w:val="Dot"/>
        <w:rPr>
          <w:lang w:val="en-AU"/>
        </w:rPr>
      </w:pPr>
      <w:r w:rsidRPr="004360BF">
        <w:rPr>
          <w:lang w:val="en-AU"/>
        </w:rPr>
        <w:t>By enabling a relative reduction in the overall price for low consumption customers, the IBT may also align with government social objectives; and</w:t>
      </w:r>
    </w:p>
    <w:p w14:paraId="1CD97234" w14:textId="77777777" w:rsidR="00501D42" w:rsidRPr="004360BF" w:rsidRDefault="00175542" w:rsidP="007B1D27">
      <w:pPr>
        <w:pStyle w:val="Dotbot"/>
        <w:rPr>
          <w:lang w:val="en-AU"/>
        </w:rPr>
      </w:pPr>
      <w:r w:rsidRPr="004360BF">
        <w:rPr>
          <w:lang w:val="en-AU"/>
        </w:rPr>
        <w:t xml:space="preserve">If implemented at the same time as a rollout of </w:t>
      </w:r>
      <w:r w:rsidR="009D4C94" w:rsidRPr="004360BF">
        <w:rPr>
          <w:lang w:val="en-AU"/>
        </w:rPr>
        <w:t xml:space="preserve">time of use </w:t>
      </w:r>
      <w:r w:rsidRPr="004360BF">
        <w:rPr>
          <w:lang w:val="en-AU"/>
        </w:rPr>
        <w:t>or capacity based pricing to larger domestic customers, the IBT provides a means of progressively increasing the incentive for high consumption customers to transfer to more cost reflective tariffs, thereby controlling the pace and maximising the benefit of the rollout.</w:t>
      </w:r>
    </w:p>
    <w:p w14:paraId="1267C156" w14:textId="1C089849" w:rsidR="00EA0F43" w:rsidRPr="004360BF" w:rsidRDefault="00EA0F43" w:rsidP="00EA0F43">
      <w:pPr>
        <w:keepNext/>
        <w:rPr>
          <w:lang w:val="en-AU"/>
        </w:rPr>
      </w:pPr>
      <w:r w:rsidRPr="004360BF">
        <w:rPr>
          <w:lang w:val="en-AU"/>
        </w:rPr>
        <w:t xml:space="preserve">The transition to a flat tariff and potentially to an IBT is illustrated in </w:t>
      </w:r>
      <w:r w:rsidRPr="004360BF">
        <w:rPr>
          <w:lang w:val="en-AU"/>
        </w:rPr>
        <w:fldChar w:fldCharType="begin"/>
      </w:r>
      <w:r w:rsidRPr="004360BF">
        <w:rPr>
          <w:lang w:val="en-AU"/>
        </w:rPr>
        <w:instrText xml:space="preserve"> REF _Ref418503606 \h </w:instrText>
      </w:r>
      <w:r w:rsidRPr="004360BF">
        <w:rPr>
          <w:lang w:val="en-AU"/>
        </w:rPr>
      </w:r>
      <w:r w:rsidRPr="004360BF">
        <w:rPr>
          <w:lang w:val="en-AU"/>
        </w:rPr>
        <w:fldChar w:fldCharType="separate"/>
      </w:r>
      <w:r w:rsidR="008D3215" w:rsidRPr="004360BF">
        <w:rPr>
          <w:lang w:val="en-AU"/>
        </w:rPr>
        <w:t xml:space="preserve">Figure </w:t>
      </w:r>
      <w:r w:rsidR="008D3215">
        <w:rPr>
          <w:noProof/>
          <w:lang w:val="en-AU"/>
        </w:rPr>
        <w:t>3</w:t>
      </w:r>
      <w:r w:rsidRPr="004360BF">
        <w:rPr>
          <w:lang w:val="en-AU"/>
        </w:rPr>
        <w:fldChar w:fldCharType="end"/>
      </w:r>
      <w:r w:rsidRPr="004360BF">
        <w:rPr>
          <w:lang w:val="en-AU"/>
        </w:rPr>
        <w:t>.</w:t>
      </w:r>
    </w:p>
    <w:p w14:paraId="1AD28123" w14:textId="0DE46B62" w:rsidR="00EA0F43" w:rsidRPr="004360BF" w:rsidRDefault="00EA0F43" w:rsidP="00EA0F43">
      <w:pPr>
        <w:pStyle w:val="Caption"/>
        <w:rPr>
          <w:lang w:val="en-AU"/>
        </w:rPr>
      </w:pPr>
      <w:bookmarkStart w:id="279" w:name="_Ref418503606"/>
      <w:r w:rsidRPr="004360BF">
        <w:rPr>
          <w:lang w:val="en-AU"/>
        </w:rPr>
        <w:t xml:space="preserve">Figure </w:t>
      </w:r>
      <w:r w:rsidRPr="004360BF">
        <w:rPr>
          <w:lang w:val="en-AU"/>
        </w:rPr>
        <w:fldChar w:fldCharType="begin"/>
      </w:r>
      <w:r w:rsidRPr="004360BF">
        <w:rPr>
          <w:lang w:val="en-AU"/>
        </w:rPr>
        <w:instrText xml:space="preserve"> SEQ Figure \* ARABIC </w:instrText>
      </w:r>
      <w:r w:rsidRPr="004360BF">
        <w:rPr>
          <w:lang w:val="en-AU"/>
        </w:rPr>
        <w:fldChar w:fldCharType="separate"/>
      </w:r>
      <w:r w:rsidR="008D3215">
        <w:rPr>
          <w:noProof/>
          <w:lang w:val="en-AU"/>
        </w:rPr>
        <w:t>3</w:t>
      </w:r>
      <w:r w:rsidRPr="004360BF">
        <w:rPr>
          <w:lang w:val="en-AU"/>
        </w:rPr>
        <w:fldChar w:fldCharType="end"/>
      </w:r>
      <w:bookmarkEnd w:id="279"/>
      <w:r w:rsidRPr="004360BF">
        <w:rPr>
          <w:lang w:val="en-AU"/>
        </w:rPr>
        <w:t xml:space="preserve"> – Indicative transition </w:t>
      </w:r>
      <w:r w:rsidR="00AB0C38" w:rsidRPr="004360BF">
        <w:rPr>
          <w:lang w:val="en-AU"/>
        </w:rPr>
        <w:t>from declining block tariff</w:t>
      </w:r>
    </w:p>
    <w:p w14:paraId="1EF5C3D4" w14:textId="5B413188" w:rsidR="00EA0F43" w:rsidRPr="004360BF" w:rsidRDefault="00EA0F43" w:rsidP="00EA0F43">
      <w:pPr>
        <w:rPr>
          <w:lang w:val="en-AU"/>
        </w:rPr>
      </w:pPr>
      <w:r w:rsidRPr="004360BF">
        <w:rPr>
          <w:noProof/>
          <w:lang w:val="en-AU" w:eastAsia="en-AU"/>
        </w:rPr>
        <w:drawing>
          <wp:inline distT="0" distB="0" distL="0" distR="0" wp14:anchorId="7140FF30" wp14:editId="6F16186D">
            <wp:extent cx="3987282" cy="2585268"/>
            <wp:effectExtent l="0" t="0" r="0"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0079" cy="2587082"/>
                    </a:xfrm>
                    <a:prstGeom prst="rect">
                      <a:avLst/>
                    </a:prstGeom>
                    <a:noFill/>
                    <a:ln>
                      <a:noFill/>
                    </a:ln>
                  </pic:spPr>
                </pic:pic>
              </a:graphicData>
            </a:graphic>
          </wp:inline>
        </w:drawing>
      </w:r>
    </w:p>
    <w:p w14:paraId="5CFEE452" w14:textId="0EF8490D" w:rsidR="00175542" w:rsidRPr="004360BF" w:rsidRDefault="00175542" w:rsidP="007B1D27">
      <w:pPr>
        <w:pStyle w:val="Dottop"/>
        <w:rPr>
          <w:lang w:val="en-AU"/>
        </w:rPr>
      </w:pPr>
      <w:r w:rsidRPr="004360BF">
        <w:rPr>
          <w:lang w:val="en-AU"/>
        </w:rPr>
        <w:t xml:space="preserve">In light of these </w:t>
      </w:r>
      <w:r w:rsidR="00AB0C38" w:rsidRPr="004360BF">
        <w:rPr>
          <w:lang w:val="en-AU"/>
        </w:rPr>
        <w:t xml:space="preserve">potential </w:t>
      </w:r>
      <w:r w:rsidRPr="004360BF">
        <w:rPr>
          <w:lang w:val="en-AU"/>
        </w:rPr>
        <w:t xml:space="preserve">advantages of the inclining block </w:t>
      </w:r>
      <w:r w:rsidR="001F4F78" w:rsidRPr="004360BF">
        <w:rPr>
          <w:lang w:val="en-AU"/>
        </w:rPr>
        <w:t xml:space="preserve">energy </w:t>
      </w:r>
      <w:r w:rsidRPr="004360BF">
        <w:rPr>
          <w:lang w:val="en-AU"/>
        </w:rPr>
        <w:t xml:space="preserve">tariff, Power Networks </w:t>
      </w:r>
      <w:r w:rsidR="00970747" w:rsidRPr="004360BF">
        <w:rPr>
          <w:lang w:val="en-AU"/>
        </w:rPr>
        <w:t>proposes</w:t>
      </w:r>
      <w:r w:rsidRPr="004360BF">
        <w:rPr>
          <w:lang w:val="en-AU"/>
        </w:rPr>
        <w:t>:</w:t>
      </w:r>
    </w:p>
    <w:p w14:paraId="3989F6CE" w14:textId="60B62BFA" w:rsidR="00175542" w:rsidRPr="004360BF" w:rsidRDefault="00A61D2E" w:rsidP="007B1D27">
      <w:pPr>
        <w:pStyle w:val="Dot"/>
        <w:rPr>
          <w:lang w:val="en-AU"/>
        </w:rPr>
      </w:pPr>
      <w:r w:rsidRPr="004360BF">
        <w:rPr>
          <w:lang w:val="en-AU"/>
        </w:rPr>
        <w:t>I</w:t>
      </w:r>
      <w:r w:rsidR="003423BB" w:rsidRPr="004360BF">
        <w:rPr>
          <w:lang w:val="en-AU"/>
        </w:rPr>
        <w:t xml:space="preserve">n 2015/16, to </w:t>
      </w:r>
      <w:r w:rsidR="00B01442" w:rsidRPr="004360BF">
        <w:rPr>
          <w:lang w:val="en-AU"/>
        </w:rPr>
        <w:t xml:space="preserve">incrementally </w:t>
      </w:r>
      <w:r w:rsidR="00175542" w:rsidRPr="004360BF">
        <w:rPr>
          <w:lang w:val="en-AU"/>
        </w:rPr>
        <w:t>rebalance the existing declining block tariff</w:t>
      </w:r>
      <w:r w:rsidR="001B5D20" w:rsidRPr="004360BF">
        <w:rPr>
          <w:lang w:val="en-AU"/>
        </w:rPr>
        <w:t xml:space="preserve">, </w:t>
      </w:r>
      <w:r w:rsidR="00175542" w:rsidRPr="004360BF">
        <w:rPr>
          <w:lang w:val="en-AU"/>
        </w:rPr>
        <w:t>within pricing side constraints and without causing significant price shocks to customers</w:t>
      </w:r>
      <w:r w:rsidR="001B5D20" w:rsidRPr="004360BF">
        <w:rPr>
          <w:lang w:val="en-AU"/>
        </w:rPr>
        <w:t>; and</w:t>
      </w:r>
    </w:p>
    <w:p w14:paraId="7CCE0E94" w14:textId="5CEED30C" w:rsidR="00175542" w:rsidRPr="004360BF" w:rsidRDefault="00A61D2E" w:rsidP="007B1D27">
      <w:pPr>
        <w:pStyle w:val="Dotbot"/>
        <w:rPr>
          <w:lang w:val="en-AU"/>
        </w:rPr>
      </w:pPr>
      <w:r w:rsidRPr="004360BF">
        <w:rPr>
          <w:lang w:val="en-AU"/>
        </w:rPr>
        <w:t>O</w:t>
      </w:r>
      <w:r w:rsidR="006A54DD" w:rsidRPr="004360BF">
        <w:rPr>
          <w:lang w:val="en-AU"/>
        </w:rPr>
        <w:t xml:space="preserve">nce a flat tariff is achieved, </w:t>
      </w:r>
      <w:r w:rsidRPr="004360BF">
        <w:rPr>
          <w:lang w:val="en-AU"/>
        </w:rPr>
        <w:t xml:space="preserve">subject to analysis of the customer consumption profiles, </w:t>
      </w:r>
      <w:r w:rsidR="00175542" w:rsidRPr="004360BF">
        <w:rPr>
          <w:lang w:val="en-AU"/>
        </w:rPr>
        <w:t>progressively increase the differential in the pricing blocks</w:t>
      </w:r>
      <w:r w:rsidR="006A54DD" w:rsidRPr="004360BF">
        <w:rPr>
          <w:lang w:val="en-AU"/>
        </w:rPr>
        <w:t xml:space="preserve"> to create an inclining block structure</w:t>
      </w:r>
      <w:r w:rsidR="00175542" w:rsidRPr="004360BF">
        <w:rPr>
          <w:lang w:val="en-AU"/>
        </w:rPr>
        <w:t>.</w:t>
      </w:r>
      <w:r w:rsidR="00CC6CF8" w:rsidRPr="004360BF">
        <w:rPr>
          <w:lang w:val="en-AU"/>
        </w:rPr>
        <w:t xml:space="preserve"> </w:t>
      </w:r>
    </w:p>
    <w:p w14:paraId="08124A7E" w14:textId="77777777" w:rsidR="00175542" w:rsidRPr="004360BF" w:rsidRDefault="00757721" w:rsidP="00EE7AA1">
      <w:pPr>
        <w:pStyle w:val="Heading3"/>
      </w:pPr>
      <w:bookmarkStart w:id="280" w:name="_Ref235413217"/>
      <w:bookmarkStart w:id="281" w:name="_Toc417291754"/>
      <w:bookmarkStart w:id="282" w:name="_Toc417292522"/>
      <w:bookmarkStart w:id="283" w:name="_Toc291262243"/>
      <w:r w:rsidRPr="004360BF">
        <w:lastRenderedPageBreak/>
        <w:t xml:space="preserve">&lt;750 </w:t>
      </w:r>
      <w:proofErr w:type="spellStart"/>
      <w:r w:rsidRPr="004360BF">
        <w:t>MWh</w:t>
      </w:r>
      <w:proofErr w:type="spellEnd"/>
      <w:r w:rsidRPr="004360BF">
        <w:t xml:space="preserve"> pa </w:t>
      </w:r>
      <w:r w:rsidR="00175542" w:rsidRPr="004360BF">
        <w:t>Commercial</w:t>
      </w:r>
      <w:bookmarkEnd w:id="280"/>
      <w:r w:rsidR="00175542" w:rsidRPr="004360BF">
        <w:t xml:space="preserve"> (Commercial </w:t>
      </w:r>
      <w:r w:rsidR="00263D11" w:rsidRPr="004360BF">
        <w:t>tariff class</w:t>
      </w:r>
      <w:r w:rsidR="00175542" w:rsidRPr="004360BF">
        <w:t>)</w:t>
      </w:r>
      <w:bookmarkEnd w:id="281"/>
      <w:bookmarkEnd w:id="282"/>
      <w:bookmarkEnd w:id="283"/>
    </w:p>
    <w:p w14:paraId="40C067AA" w14:textId="50868A58" w:rsidR="00175542" w:rsidRPr="004360BF" w:rsidRDefault="001B5D20" w:rsidP="001B5D20">
      <w:pPr>
        <w:rPr>
          <w:lang w:val="en-AU"/>
        </w:rPr>
      </w:pPr>
      <w:r w:rsidRPr="004360BF">
        <w:rPr>
          <w:lang w:val="en-AU"/>
        </w:rPr>
        <w:t>In line with the rationale and strategy for</w:t>
      </w:r>
      <w:r w:rsidR="00175542" w:rsidRPr="004360BF">
        <w:rPr>
          <w:lang w:val="en-AU"/>
        </w:rPr>
        <w:t xml:space="preserve"> domestic </w:t>
      </w:r>
      <w:r w:rsidR="001F4F78" w:rsidRPr="004360BF">
        <w:rPr>
          <w:lang w:val="en-AU"/>
        </w:rPr>
        <w:t xml:space="preserve">energy </w:t>
      </w:r>
      <w:r w:rsidR="00175542" w:rsidRPr="004360BF">
        <w:rPr>
          <w:lang w:val="en-AU"/>
        </w:rPr>
        <w:t>tariff</w:t>
      </w:r>
      <w:r w:rsidRPr="004360BF">
        <w:rPr>
          <w:lang w:val="en-AU"/>
        </w:rPr>
        <w:t>s reform above</w:t>
      </w:r>
      <w:r w:rsidR="00175542" w:rsidRPr="004360BF">
        <w:rPr>
          <w:lang w:val="en-AU"/>
        </w:rPr>
        <w:t>, Power Networks proposes to progressively replace the declining block tariff structure with an inclining block structure over a similar implementation timeframe.</w:t>
      </w:r>
      <w:r w:rsidR="00AB0C38" w:rsidRPr="004360BF">
        <w:rPr>
          <w:lang w:val="en-AU"/>
        </w:rPr>
        <w:t xml:space="preserve">  The </w:t>
      </w:r>
      <w:r w:rsidR="00092DDA" w:rsidRPr="004360BF">
        <w:rPr>
          <w:lang w:val="en-AU"/>
        </w:rPr>
        <w:t xml:space="preserve">commercial </w:t>
      </w:r>
      <w:r w:rsidR="00AB0C38" w:rsidRPr="004360BF">
        <w:rPr>
          <w:lang w:val="en-AU"/>
        </w:rPr>
        <w:t>tariff rates and block levels are different from the domestic tariff, reflecting the different consumption profiles of the tariffs.</w:t>
      </w:r>
      <w:r w:rsidR="00CC6CF8" w:rsidRPr="004360BF">
        <w:rPr>
          <w:lang w:val="en-AU"/>
        </w:rPr>
        <w:t xml:space="preserve"> </w:t>
      </w:r>
    </w:p>
    <w:p w14:paraId="3055BED3" w14:textId="2759DA29" w:rsidR="00175542" w:rsidRPr="004360BF" w:rsidRDefault="00175542" w:rsidP="00A61D2E">
      <w:pPr>
        <w:keepNext/>
        <w:spacing w:after="120"/>
        <w:rPr>
          <w:szCs w:val="22"/>
          <w:lang w:val="en-AU"/>
        </w:rPr>
      </w:pPr>
      <w:r w:rsidRPr="004360BF">
        <w:rPr>
          <w:szCs w:val="22"/>
          <w:lang w:val="en-AU"/>
        </w:rPr>
        <w:t xml:space="preserve">The </w:t>
      </w:r>
      <w:r w:rsidR="00B15C82" w:rsidRPr="004360BF">
        <w:rPr>
          <w:szCs w:val="22"/>
          <w:lang w:val="en-AU"/>
        </w:rPr>
        <w:t xml:space="preserve">&lt;750 </w:t>
      </w:r>
      <w:proofErr w:type="spellStart"/>
      <w:r w:rsidR="00B15C82" w:rsidRPr="004360BF">
        <w:rPr>
          <w:szCs w:val="22"/>
          <w:lang w:val="en-AU"/>
        </w:rPr>
        <w:t>MWh</w:t>
      </w:r>
      <w:proofErr w:type="spellEnd"/>
      <w:r w:rsidR="00B15C82" w:rsidRPr="004360BF">
        <w:rPr>
          <w:szCs w:val="22"/>
          <w:lang w:val="en-AU"/>
        </w:rPr>
        <w:t xml:space="preserve"> per annum </w:t>
      </w:r>
      <w:r w:rsidRPr="004360BF">
        <w:rPr>
          <w:szCs w:val="22"/>
          <w:lang w:val="en-AU"/>
        </w:rPr>
        <w:t>Commercial tariff customer size distribution covers a very wide range, with annual consumption from zero to 750 </w:t>
      </w:r>
      <w:proofErr w:type="spellStart"/>
      <w:r w:rsidRPr="004360BF">
        <w:rPr>
          <w:szCs w:val="22"/>
          <w:lang w:val="en-AU"/>
        </w:rPr>
        <w:t>MWh</w:t>
      </w:r>
      <w:proofErr w:type="spellEnd"/>
      <w:r w:rsidRPr="004360BF">
        <w:rPr>
          <w:szCs w:val="22"/>
          <w:lang w:val="en-AU"/>
        </w:rPr>
        <w:t>.</w:t>
      </w:r>
      <w:r w:rsidR="00CC6CF8" w:rsidRPr="004360BF">
        <w:rPr>
          <w:szCs w:val="22"/>
          <w:lang w:val="en-AU"/>
        </w:rPr>
        <w:t xml:space="preserve"> </w:t>
      </w:r>
      <w:proofErr w:type="gramStart"/>
      <w:r w:rsidRPr="004360BF">
        <w:rPr>
          <w:szCs w:val="22"/>
          <w:lang w:val="en-AU"/>
        </w:rPr>
        <w:t xml:space="preserve">The lower </w:t>
      </w:r>
      <w:r w:rsidR="00EB1D78" w:rsidRPr="004360BF">
        <w:rPr>
          <w:szCs w:val="22"/>
          <w:lang w:val="en-AU"/>
        </w:rPr>
        <w:t>portion</w:t>
      </w:r>
      <w:r w:rsidRPr="004360BF">
        <w:rPr>
          <w:szCs w:val="22"/>
          <w:lang w:val="en-AU"/>
        </w:rPr>
        <w:t xml:space="preserve"> of this distribution in shown in </w:t>
      </w:r>
      <w:r w:rsidR="009350E5" w:rsidRPr="004360BF">
        <w:rPr>
          <w:lang w:val="en-AU"/>
        </w:rPr>
        <w:fldChar w:fldCharType="begin"/>
      </w:r>
      <w:r w:rsidR="009350E5" w:rsidRPr="004360BF">
        <w:rPr>
          <w:szCs w:val="22"/>
          <w:lang w:val="en-AU"/>
        </w:rPr>
        <w:instrText xml:space="preserve"> REF _Ref235331485 \h </w:instrText>
      </w:r>
      <w:r w:rsidR="009350E5" w:rsidRPr="004360BF">
        <w:rPr>
          <w:lang w:val="en-AU"/>
        </w:rPr>
      </w:r>
      <w:r w:rsidR="009350E5" w:rsidRPr="004360BF">
        <w:rPr>
          <w:lang w:val="en-AU"/>
        </w:rPr>
        <w:fldChar w:fldCharType="separate"/>
      </w:r>
      <w:r w:rsidR="008D3215" w:rsidRPr="004360BF">
        <w:rPr>
          <w:lang w:val="en-AU"/>
        </w:rPr>
        <w:t xml:space="preserve">Figure </w:t>
      </w:r>
      <w:r w:rsidR="008D3215">
        <w:rPr>
          <w:noProof/>
          <w:lang w:val="en-AU"/>
        </w:rPr>
        <w:t>4</w:t>
      </w:r>
      <w:r w:rsidR="009350E5" w:rsidRPr="004360BF">
        <w:rPr>
          <w:lang w:val="en-AU"/>
        </w:rPr>
        <w:fldChar w:fldCharType="end"/>
      </w:r>
      <w:r w:rsidRPr="004360BF">
        <w:rPr>
          <w:szCs w:val="22"/>
          <w:lang w:val="en-AU"/>
        </w:rPr>
        <w:t>.</w:t>
      </w:r>
      <w:proofErr w:type="gramEnd"/>
    </w:p>
    <w:p w14:paraId="12D865AE" w14:textId="78D443D8" w:rsidR="00175542" w:rsidRPr="004360BF" w:rsidRDefault="00175542" w:rsidP="00BE7521">
      <w:pPr>
        <w:pStyle w:val="Caption"/>
        <w:rPr>
          <w:lang w:val="en-AU"/>
        </w:rPr>
      </w:pPr>
      <w:bookmarkStart w:id="284" w:name="_Ref235331485"/>
      <w:bookmarkStart w:id="285" w:name="_Ref235331466"/>
      <w:r w:rsidRPr="004360BF">
        <w:rPr>
          <w:lang w:val="en-AU"/>
        </w:rPr>
        <w:t xml:space="preserve">Figure </w:t>
      </w:r>
      <w:r w:rsidR="00EA0F43" w:rsidRPr="004360BF">
        <w:rPr>
          <w:lang w:val="en-AU"/>
        </w:rPr>
        <w:fldChar w:fldCharType="begin"/>
      </w:r>
      <w:r w:rsidR="00EA0F43" w:rsidRPr="004360BF">
        <w:rPr>
          <w:lang w:val="en-AU"/>
        </w:rPr>
        <w:instrText xml:space="preserve"> SEQ Figure \* ARABIC </w:instrText>
      </w:r>
      <w:r w:rsidR="00EA0F43" w:rsidRPr="004360BF">
        <w:rPr>
          <w:lang w:val="en-AU"/>
        </w:rPr>
        <w:fldChar w:fldCharType="separate"/>
      </w:r>
      <w:r w:rsidR="008D3215">
        <w:rPr>
          <w:noProof/>
          <w:lang w:val="en-AU"/>
        </w:rPr>
        <w:t>4</w:t>
      </w:r>
      <w:r w:rsidR="00EA0F43" w:rsidRPr="004360BF">
        <w:rPr>
          <w:lang w:val="en-AU"/>
        </w:rPr>
        <w:fldChar w:fldCharType="end"/>
      </w:r>
      <w:bookmarkEnd w:id="284"/>
      <w:r w:rsidRPr="004360BF">
        <w:rPr>
          <w:lang w:val="en-AU"/>
        </w:rPr>
        <w:t xml:space="preserve"> – </w:t>
      </w:r>
      <w:r w:rsidR="006B7DBD" w:rsidRPr="004360BF">
        <w:rPr>
          <w:lang w:val="en-AU"/>
        </w:rPr>
        <w:t xml:space="preserve">&lt;750 </w:t>
      </w:r>
      <w:proofErr w:type="spellStart"/>
      <w:r w:rsidR="006B7DBD" w:rsidRPr="004360BF">
        <w:rPr>
          <w:lang w:val="en-AU"/>
        </w:rPr>
        <w:t>MWh</w:t>
      </w:r>
      <w:proofErr w:type="spellEnd"/>
      <w:r w:rsidR="006B7DBD" w:rsidRPr="004360BF">
        <w:rPr>
          <w:lang w:val="en-AU"/>
        </w:rPr>
        <w:t xml:space="preserve"> pa </w:t>
      </w:r>
      <w:r w:rsidRPr="004360BF">
        <w:rPr>
          <w:lang w:val="en-AU"/>
        </w:rPr>
        <w:t>Commercial customer size distribution</w:t>
      </w:r>
      <w:bookmarkEnd w:id="285"/>
      <w:r w:rsidR="00EB1D78" w:rsidRPr="004360BF">
        <w:rPr>
          <w:lang w:val="en-AU"/>
        </w:rPr>
        <w:t>, 201</w:t>
      </w:r>
      <w:r w:rsidR="004007A4" w:rsidRPr="004360BF">
        <w:rPr>
          <w:lang w:val="en-AU"/>
        </w:rPr>
        <w:t>3</w:t>
      </w:r>
      <w:r w:rsidR="00EB1D78" w:rsidRPr="004360BF">
        <w:rPr>
          <w:lang w:val="en-AU"/>
        </w:rPr>
        <w:t>/1</w:t>
      </w:r>
      <w:r w:rsidR="004007A4" w:rsidRPr="004360BF">
        <w:rPr>
          <w:lang w:val="en-AU"/>
        </w:rPr>
        <w:t>4</w:t>
      </w:r>
    </w:p>
    <w:p w14:paraId="12C16D33" w14:textId="474921D1" w:rsidR="001B5D20" w:rsidRPr="004360BF" w:rsidRDefault="00593198" w:rsidP="00593198">
      <w:pPr>
        <w:spacing w:after="120"/>
        <w:rPr>
          <w:lang w:val="en-AU"/>
        </w:rPr>
      </w:pPr>
      <w:r w:rsidRPr="004360BF">
        <w:rPr>
          <w:noProof/>
          <w:lang w:val="en-AU" w:eastAsia="en-AU"/>
        </w:rPr>
        <w:drawing>
          <wp:inline distT="0" distB="0" distL="0" distR="0" wp14:anchorId="3093C10A" wp14:editId="1C1F19EC">
            <wp:extent cx="4104000" cy="3045781"/>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4222" cy="3045946"/>
                    </a:xfrm>
                    <a:prstGeom prst="rect">
                      <a:avLst/>
                    </a:prstGeom>
                    <a:noFill/>
                    <a:ln>
                      <a:noFill/>
                    </a:ln>
                  </pic:spPr>
                </pic:pic>
              </a:graphicData>
            </a:graphic>
          </wp:inline>
        </w:drawing>
      </w:r>
    </w:p>
    <w:p w14:paraId="2186FEB8" w14:textId="23D15304" w:rsidR="00175542" w:rsidRPr="004360BF" w:rsidRDefault="00175542" w:rsidP="00AC689A">
      <w:pPr>
        <w:rPr>
          <w:lang w:val="en-AU"/>
        </w:rPr>
      </w:pPr>
      <w:r w:rsidRPr="004360BF">
        <w:rPr>
          <w:lang w:val="en-AU"/>
        </w:rPr>
        <w:t>What is evident from</w:t>
      </w:r>
      <w:r w:rsidRPr="004360BF">
        <w:rPr>
          <w:szCs w:val="22"/>
          <w:lang w:val="en-AU"/>
        </w:rPr>
        <w:t xml:space="preserve"> </w:t>
      </w:r>
      <w:r w:rsidR="009350E5" w:rsidRPr="004360BF">
        <w:rPr>
          <w:lang w:val="en-AU"/>
        </w:rPr>
        <w:fldChar w:fldCharType="begin"/>
      </w:r>
      <w:r w:rsidR="009350E5" w:rsidRPr="004360BF">
        <w:rPr>
          <w:szCs w:val="22"/>
          <w:lang w:val="en-AU"/>
        </w:rPr>
        <w:instrText xml:space="preserve"> REF _Ref235331485 \h </w:instrText>
      </w:r>
      <w:r w:rsidR="009350E5" w:rsidRPr="004360BF">
        <w:rPr>
          <w:lang w:val="en-AU"/>
        </w:rPr>
      </w:r>
      <w:r w:rsidR="009350E5" w:rsidRPr="004360BF">
        <w:rPr>
          <w:lang w:val="en-AU"/>
        </w:rPr>
        <w:fldChar w:fldCharType="separate"/>
      </w:r>
      <w:r w:rsidR="008D3215" w:rsidRPr="004360BF">
        <w:rPr>
          <w:lang w:val="en-AU"/>
        </w:rPr>
        <w:t xml:space="preserve">Figure </w:t>
      </w:r>
      <w:r w:rsidR="008D3215">
        <w:rPr>
          <w:noProof/>
          <w:lang w:val="en-AU"/>
        </w:rPr>
        <w:t>4</w:t>
      </w:r>
      <w:r w:rsidR="009350E5" w:rsidRPr="004360BF">
        <w:rPr>
          <w:lang w:val="en-AU"/>
        </w:rPr>
        <w:fldChar w:fldCharType="end"/>
      </w:r>
      <w:r w:rsidRPr="004360BF">
        <w:rPr>
          <w:szCs w:val="22"/>
          <w:lang w:val="en-AU"/>
        </w:rPr>
        <w:t xml:space="preserve"> is that</w:t>
      </w:r>
      <w:r w:rsidR="00F01DE6" w:rsidRPr="004360BF">
        <w:rPr>
          <w:szCs w:val="22"/>
          <w:lang w:val="en-AU"/>
        </w:rPr>
        <w:t xml:space="preserve"> </w:t>
      </w:r>
      <w:r w:rsidR="006B7DBD" w:rsidRPr="004360BF">
        <w:rPr>
          <w:szCs w:val="22"/>
          <w:lang w:val="en-AU"/>
        </w:rPr>
        <w:t>approximately</w:t>
      </w:r>
      <w:r w:rsidRPr="004360BF">
        <w:rPr>
          <w:szCs w:val="22"/>
          <w:lang w:val="en-AU"/>
        </w:rPr>
        <w:t xml:space="preserve"> </w:t>
      </w:r>
      <w:r w:rsidRPr="004360BF">
        <w:rPr>
          <w:lang w:val="en-AU"/>
        </w:rPr>
        <w:t>2</w:t>
      </w:r>
      <w:r w:rsidR="00A61D2E" w:rsidRPr="004360BF">
        <w:rPr>
          <w:lang w:val="en-AU"/>
        </w:rPr>
        <w:t>3</w:t>
      </w:r>
      <w:r w:rsidR="00F01DE6" w:rsidRPr="004360BF">
        <w:rPr>
          <w:lang w:val="en-AU"/>
        </w:rPr>
        <w:t> per cent</w:t>
      </w:r>
      <w:r w:rsidRPr="004360BF">
        <w:rPr>
          <w:lang w:val="en-AU"/>
        </w:rPr>
        <w:t xml:space="preserve"> of customers have an annual consumption less than 1,</w:t>
      </w:r>
      <w:r w:rsidR="00A61D2E" w:rsidRPr="004360BF">
        <w:rPr>
          <w:lang w:val="en-AU"/>
        </w:rPr>
        <w:t>0</w:t>
      </w:r>
      <w:r w:rsidRPr="004360BF">
        <w:rPr>
          <w:lang w:val="en-AU"/>
        </w:rPr>
        <w:t>00 kWh.</w:t>
      </w:r>
      <w:r w:rsidR="00CC6CF8" w:rsidRPr="004360BF">
        <w:rPr>
          <w:lang w:val="en-AU"/>
        </w:rPr>
        <w:t xml:space="preserve"> </w:t>
      </w:r>
      <w:r w:rsidR="00092DDA" w:rsidRPr="004360BF">
        <w:rPr>
          <w:lang w:val="en-AU"/>
        </w:rPr>
        <w:t>As a</w:t>
      </w:r>
      <w:r w:rsidRPr="004360BF">
        <w:rPr>
          <w:lang w:val="en-AU"/>
        </w:rPr>
        <w:t xml:space="preserve"> result</w:t>
      </w:r>
      <w:r w:rsidR="00092DDA" w:rsidRPr="004360BF">
        <w:rPr>
          <w:lang w:val="en-AU"/>
        </w:rPr>
        <w:t>,</w:t>
      </w:r>
      <w:r w:rsidRPr="004360BF">
        <w:rPr>
          <w:lang w:val="en-AU"/>
        </w:rPr>
        <w:t xml:space="preserve"> a disproportionate number of commercial customers have a very small network charge.</w:t>
      </w:r>
      <w:r w:rsidR="00CC6CF8" w:rsidRPr="004360BF">
        <w:rPr>
          <w:lang w:val="en-AU"/>
        </w:rPr>
        <w:t xml:space="preserve"> </w:t>
      </w:r>
      <w:r w:rsidRPr="004360BF">
        <w:rPr>
          <w:lang w:val="en-AU"/>
        </w:rPr>
        <w:t xml:space="preserve">Whilst the demand of these small customers may be low and the impact on the upstream infrastructure costs small, the per-customer cost associated with the </w:t>
      </w:r>
      <w:r w:rsidR="00A804E6" w:rsidRPr="004360BF">
        <w:rPr>
          <w:lang w:val="en-AU"/>
        </w:rPr>
        <w:t>l</w:t>
      </w:r>
      <w:r w:rsidRPr="004360BF">
        <w:rPr>
          <w:lang w:val="en-AU"/>
        </w:rPr>
        <w:t xml:space="preserve">ow </w:t>
      </w:r>
      <w:r w:rsidR="00A804E6" w:rsidRPr="004360BF">
        <w:rPr>
          <w:lang w:val="en-AU"/>
        </w:rPr>
        <w:t>v</w:t>
      </w:r>
      <w:r w:rsidR="00092DDA" w:rsidRPr="004360BF">
        <w:rPr>
          <w:lang w:val="en-AU"/>
        </w:rPr>
        <w:t>oltage network</w:t>
      </w:r>
      <w:r w:rsidRPr="004360BF">
        <w:rPr>
          <w:lang w:val="en-AU"/>
        </w:rPr>
        <w:t xml:space="preserve"> and metering </w:t>
      </w:r>
      <w:r w:rsidR="00CE7DC9" w:rsidRPr="004360BF">
        <w:rPr>
          <w:lang w:val="en-AU"/>
        </w:rPr>
        <w:t xml:space="preserve">is </w:t>
      </w:r>
      <w:r w:rsidR="001B5D20" w:rsidRPr="004360BF">
        <w:rPr>
          <w:lang w:val="en-AU"/>
        </w:rPr>
        <w:t xml:space="preserve">above </w:t>
      </w:r>
      <w:r w:rsidRPr="004360BF">
        <w:rPr>
          <w:lang w:val="en-AU"/>
        </w:rPr>
        <w:t>the Service Availability Charge</w:t>
      </w:r>
      <w:r w:rsidR="00AA7652" w:rsidRPr="004360BF">
        <w:rPr>
          <w:lang w:val="en-AU"/>
        </w:rPr>
        <w:t xml:space="preserve"> and</w:t>
      </w:r>
      <w:r w:rsidR="00092DDA" w:rsidRPr="004360BF">
        <w:rPr>
          <w:lang w:val="en-AU"/>
        </w:rPr>
        <w:t xml:space="preserve"> is equivalent to 111 ¢/day</w:t>
      </w:r>
      <w:r w:rsidRPr="004360BF">
        <w:rPr>
          <w:lang w:val="en-AU"/>
        </w:rPr>
        <w:t>.</w:t>
      </w:r>
      <w:r w:rsidR="00CC6CF8" w:rsidRPr="004360BF">
        <w:rPr>
          <w:lang w:val="en-AU"/>
        </w:rPr>
        <w:t xml:space="preserve"> </w:t>
      </w:r>
      <w:r w:rsidR="00092DDA" w:rsidRPr="004360BF">
        <w:rPr>
          <w:lang w:val="en-AU"/>
        </w:rPr>
        <w:t xml:space="preserve">After the proposed increase in 2015/16, this component would become 76 ¢/day, or 69% of the cost reflective rate. </w:t>
      </w:r>
    </w:p>
    <w:p w14:paraId="52E68D5E" w14:textId="7C92EEA7" w:rsidR="00175542" w:rsidRPr="004360BF" w:rsidRDefault="00757721" w:rsidP="00AC689A">
      <w:pPr>
        <w:rPr>
          <w:lang w:val="en-AU"/>
        </w:rPr>
      </w:pPr>
      <w:r w:rsidRPr="004360BF">
        <w:rPr>
          <w:lang w:val="en-AU"/>
        </w:rPr>
        <w:t xml:space="preserve">Power Networks </w:t>
      </w:r>
      <w:r w:rsidR="00092DDA" w:rsidRPr="004360BF">
        <w:rPr>
          <w:lang w:val="en-AU"/>
        </w:rPr>
        <w:t>intends to</w:t>
      </w:r>
      <w:r w:rsidRPr="004360BF">
        <w:rPr>
          <w:lang w:val="en-AU"/>
        </w:rPr>
        <w:t xml:space="preserve"> </w:t>
      </w:r>
      <w:r w:rsidR="00175542" w:rsidRPr="004360BF">
        <w:rPr>
          <w:lang w:val="en-AU"/>
        </w:rPr>
        <w:t>progressively increase this charging parameter</w:t>
      </w:r>
      <w:r w:rsidRPr="004360BF">
        <w:rPr>
          <w:lang w:val="en-AU"/>
        </w:rPr>
        <w:t xml:space="preserve"> </w:t>
      </w:r>
      <w:r w:rsidR="00175542" w:rsidRPr="004360BF">
        <w:rPr>
          <w:lang w:val="en-AU"/>
        </w:rPr>
        <w:t xml:space="preserve">throughout the 2014-19 regulatory control </w:t>
      </w:r>
      <w:proofErr w:type="gramStart"/>
      <w:r w:rsidR="00175542" w:rsidRPr="004360BF">
        <w:rPr>
          <w:lang w:val="en-AU"/>
        </w:rPr>
        <w:t>period</w:t>
      </w:r>
      <w:proofErr w:type="gramEnd"/>
      <w:r w:rsidR="00175542" w:rsidRPr="004360BF">
        <w:rPr>
          <w:lang w:val="en-AU"/>
        </w:rPr>
        <w:t xml:space="preserve"> until it reaches a cost reflective level</w:t>
      </w:r>
      <w:r w:rsidR="00F72289" w:rsidRPr="004360BF">
        <w:rPr>
          <w:lang w:val="en-AU"/>
        </w:rPr>
        <w:t xml:space="preserve">, whilst </w:t>
      </w:r>
      <w:r w:rsidR="00055AFD" w:rsidRPr="004360BF">
        <w:rPr>
          <w:lang w:val="en-AU"/>
        </w:rPr>
        <w:t xml:space="preserve">also </w:t>
      </w:r>
      <w:r w:rsidR="00092DDA" w:rsidRPr="004360BF">
        <w:rPr>
          <w:lang w:val="en-AU"/>
        </w:rPr>
        <w:t xml:space="preserve">maintaining </w:t>
      </w:r>
      <w:r w:rsidR="00F72289" w:rsidRPr="004360BF">
        <w:rPr>
          <w:lang w:val="en-AU"/>
        </w:rPr>
        <w:t>regard for the impact on individual customers</w:t>
      </w:r>
      <w:r w:rsidR="00175542" w:rsidRPr="004360BF">
        <w:rPr>
          <w:lang w:val="en-AU"/>
        </w:rPr>
        <w:t>.</w:t>
      </w:r>
    </w:p>
    <w:p w14:paraId="71CA35A6" w14:textId="77777777" w:rsidR="00175542" w:rsidRPr="004360BF" w:rsidRDefault="00757721" w:rsidP="00EE7AA1">
      <w:pPr>
        <w:pStyle w:val="Heading3"/>
      </w:pPr>
      <w:bookmarkStart w:id="286" w:name="_Ref258682471"/>
      <w:bookmarkStart w:id="287" w:name="_Toc417291755"/>
      <w:bookmarkStart w:id="288" w:name="_Toc417292523"/>
      <w:bookmarkStart w:id="289" w:name="_Toc291262244"/>
      <w:r w:rsidRPr="004360BF">
        <w:t xml:space="preserve">Unmetered </w:t>
      </w:r>
      <w:r w:rsidR="00175542" w:rsidRPr="004360BF">
        <w:t xml:space="preserve">(Commercial </w:t>
      </w:r>
      <w:r w:rsidR="00263D11" w:rsidRPr="004360BF">
        <w:t>tariff class</w:t>
      </w:r>
      <w:r w:rsidR="00175542" w:rsidRPr="004360BF">
        <w:t>)</w:t>
      </w:r>
      <w:bookmarkEnd w:id="286"/>
      <w:bookmarkEnd w:id="287"/>
      <w:bookmarkEnd w:id="288"/>
      <w:bookmarkEnd w:id="289"/>
    </w:p>
    <w:p w14:paraId="75790DB9" w14:textId="77777777" w:rsidR="00175542" w:rsidRPr="004360BF" w:rsidRDefault="00C35F11" w:rsidP="005A1FE5">
      <w:pPr>
        <w:rPr>
          <w:lang w:val="en-AU"/>
        </w:rPr>
      </w:pPr>
      <w:r w:rsidRPr="004360BF">
        <w:rPr>
          <w:lang w:val="en-AU"/>
        </w:rPr>
        <w:t xml:space="preserve">Prior to 2014/15 Power Networks had </w:t>
      </w:r>
      <w:r w:rsidR="00175542" w:rsidRPr="004360BF">
        <w:rPr>
          <w:lang w:val="en-AU"/>
        </w:rPr>
        <w:t>an existing single</w:t>
      </w:r>
      <w:r w:rsidRPr="004360BF">
        <w:rPr>
          <w:lang w:val="en-AU"/>
        </w:rPr>
        <w:t xml:space="preserve"> tariff class to specifically include;</w:t>
      </w:r>
      <w:r w:rsidR="00175542" w:rsidRPr="004360BF">
        <w:rPr>
          <w:lang w:val="en-AU"/>
        </w:rPr>
        <w:t xml:space="preserve"> </w:t>
      </w:r>
      <w:r w:rsidR="00811FB4" w:rsidRPr="004360BF">
        <w:rPr>
          <w:lang w:val="en-AU"/>
        </w:rPr>
        <w:t>“</w:t>
      </w:r>
      <w:r w:rsidR="00175542" w:rsidRPr="004360BF">
        <w:rPr>
          <w:lang w:val="en-AU"/>
        </w:rPr>
        <w:t>Street Light and other Unmetered Supplies</w:t>
      </w:r>
      <w:r w:rsidR="00811FB4" w:rsidRPr="004360BF">
        <w:rPr>
          <w:lang w:val="en-AU"/>
        </w:rPr>
        <w:t>”</w:t>
      </w:r>
      <w:r w:rsidR="00175542" w:rsidRPr="004360BF">
        <w:rPr>
          <w:lang w:val="en-AU"/>
        </w:rPr>
        <w:t xml:space="preserve"> </w:t>
      </w:r>
      <w:r w:rsidR="001F4F78" w:rsidRPr="004360BF">
        <w:rPr>
          <w:lang w:val="en-AU"/>
        </w:rPr>
        <w:t xml:space="preserve">energy </w:t>
      </w:r>
      <w:r w:rsidR="00175542" w:rsidRPr="004360BF">
        <w:rPr>
          <w:lang w:val="en-AU"/>
        </w:rPr>
        <w:t xml:space="preserve">tariff that is applied to all unmetered supplies. </w:t>
      </w:r>
      <w:r w:rsidR="001F4F78" w:rsidRPr="004360BF">
        <w:rPr>
          <w:lang w:val="en-AU"/>
        </w:rPr>
        <w:t>It</w:t>
      </w:r>
      <w:r w:rsidR="00175542" w:rsidRPr="004360BF">
        <w:rPr>
          <w:lang w:val="en-AU"/>
        </w:rPr>
        <w:t xml:space="preserve"> </w:t>
      </w:r>
      <w:r w:rsidR="005E4E10" w:rsidRPr="004360BF">
        <w:rPr>
          <w:lang w:val="en-AU"/>
        </w:rPr>
        <w:t xml:space="preserve">was </w:t>
      </w:r>
      <w:r w:rsidR="00175542" w:rsidRPr="004360BF">
        <w:rPr>
          <w:lang w:val="en-AU"/>
        </w:rPr>
        <w:t>an anytime energy rate that is applied to the estimated consumption. There are two principal types of customer that qualify for this tariff: street lights and traffic lights.</w:t>
      </w:r>
      <w:r w:rsidR="00CC6CF8" w:rsidRPr="004360BF">
        <w:rPr>
          <w:lang w:val="en-AU"/>
        </w:rPr>
        <w:t xml:space="preserve"> </w:t>
      </w:r>
    </w:p>
    <w:p w14:paraId="40106C1E" w14:textId="77777777" w:rsidR="00175542" w:rsidRPr="004360BF" w:rsidRDefault="00175542" w:rsidP="00A61D2E">
      <w:pPr>
        <w:pStyle w:val="Dottop"/>
        <w:rPr>
          <w:lang w:val="en-AU"/>
        </w:rPr>
      </w:pPr>
      <w:r w:rsidRPr="004360BF">
        <w:rPr>
          <w:lang w:val="en-AU"/>
        </w:rPr>
        <w:lastRenderedPageBreak/>
        <w:t>The demand profile and hence the contribution to network costs of these two types of loads is very different.</w:t>
      </w:r>
      <w:r w:rsidR="00CC6CF8" w:rsidRPr="004360BF">
        <w:rPr>
          <w:lang w:val="en-AU"/>
        </w:rPr>
        <w:t xml:space="preserve"> </w:t>
      </w:r>
      <w:r w:rsidRPr="004360BF">
        <w:rPr>
          <w:lang w:val="en-AU"/>
        </w:rPr>
        <w:t>The Darwin-Katherine load peaks on wet season afternoons, due to air conditioning demand.</w:t>
      </w:r>
      <w:r w:rsidR="00CC6CF8" w:rsidRPr="004360BF">
        <w:rPr>
          <w:lang w:val="en-AU"/>
        </w:rPr>
        <w:t xml:space="preserve"> </w:t>
      </w:r>
      <w:r w:rsidRPr="004360BF">
        <w:rPr>
          <w:lang w:val="en-AU"/>
        </w:rPr>
        <w:t>The Alice Springs and Tennant Creek loads peak during summer afternoons, although their winter night demand is also significant.</w:t>
      </w:r>
      <w:r w:rsidR="00CC6CF8" w:rsidRPr="004360BF">
        <w:rPr>
          <w:lang w:val="en-AU"/>
        </w:rPr>
        <w:t xml:space="preserve"> </w:t>
      </w:r>
      <w:r w:rsidRPr="004360BF">
        <w:rPr>
          <w:lang w:val="en-AU"/>
        </w:rPr>
        <w:t>This leads to the following situation:</w:t>
      </w:r>
    </w:p>
    <w:p w14:paraId="511082C1" w14:textId="77777777" w:rsidR="00175542" w:rsidRPr="004360BF" w:rsidRDefault="00175542" w:rsidP="00A61D2E">
      <w:pPr>
        <w:pStyle w:val="Dot"/>
        <w:rPr>
          <w:lang w:val="en-AU"/>
        </w:rPr>
      </w:pPr>
      <w:r w:rsidRPr="004360BF">
        <w:rPr>
          <w:b/>
          <w:i/>
          <w:lang w:val="en-AU"/>
        </w:rPr>
        <w:t>Street lights</w:t>
      </w:r>
      <w:r w:rsidRPr="004360BF">
        <w:rPr>
          <w:lang w:val="en-AU"/>
        </w:rPr>
        <w:t xml:space="preserve"> are automatically switched on at dusk and their contribution to the network peak is therefore small in the wet season/summer, but more significant in inland areas during winter.</w:t>
      </w:r>
    </w:p>
    <w:p w14:paraId="01750760" w14:textId="2BDA656B" w:rsidR="00175542" w:rsidRPr="004360BF" w:rsidRDefault="00175542" w:rsidP="00A61D2E">
      <w:pPr>
        <w:pStyle w:val="Dotbot"/>
        <w:rPr>
          <w:lang w:val="en-AU"/>
        </w:rPr>
      </w:pPr>
      <w:r w:rsidRPr="004360BF">
        <w:rPr>
          <w:b/>
          <w:i/>
          <w:lang w:val="en-AU"/>
        </w:rPr>
        <w:t>Traffic lights</w:t>
      </w:r>
      <w:r w:rsidRPr="004360BF">
        <w:rPr>
          <w:lang w:val="en-AU"/>
        </w:rPr>
        <w:t xml:space="preserve"> have an essentially constant demand profile and therefore make a greater relative contribution to the network demand than street lights.</w:t>
      </w:r>
    </w:p>
    <w:p w14:paraId="01A89883" w14:textId="7471914F" w:rsidR="00175542" w:rsidRPr="004360BF" w:rsidRDefault="005E4E10" w:rsidP="00A61D2E">
      <w:pPr>
        <w:rPr>
          <w:lang w:val="en-AU"/>
        </w:rPr>
      </w:pPr>
      <w:r w:rsidRPr="004360BF">
        <w:rPr>
          <w:lang w:val="en-AU"/>
        </w:rPr>
        <w:t xml:space="preserve">In </w:t>
      </w:r>
      <w:r w:rsidR="00175542" w:rsidRPr="004360BF">
        <w:rPr>
          <w:lang w:val="en-AU"/>
        </w:rPr>
        <w:t>2014/15</w:t>
      </w:r>
      <w:r w:rsidR="00790C5F" w:rsidRPr="004360BF">
        <w:rPr>
          <w:lang w:val="en-AU"/>
        </w:rPr>
        <w:t>,</w:t>
      </w:r>
      <w:r w:rsidR="00175542" w:rsidRPr="004360BF">
        <w:rPr>
          <w:lang w:val="en-AU"/>
        </w:rPr>
        <w:t xml:space="preserve"> the </w:t>
      </w:r>
      <w:r w:rsidR="00790C5F" w:rsidRPr="004360BF">
        <w:rPr>
          <w:lang w:val="en-AU"/>
        </w:rPr>
        <w:t xml:space="preserve">street lighting </w:t>
      </w:r>
      <w:r w:rsidRPr="004360BF">
        <w:rPr>
          <w:lang w:val="en-AU"/>
        </w:rPr>
        <w:t xml:space="preserve">and traffic lights tariffs where split with the formation of </w:t>
      </w:r>
      <w:r w:rsidR="00284D27" w:rsidRPr="004360BF">
        <w:rPr>
          <w:lang w:val="en-AU"/>
        </w:rPr>
        <w:t xml:space="preserve">a </w:t>
      </w:r>
      <w:r w:rsidR="00175542" w:rsidRPr="004360BF">
        <w:rPr>
          <w:lang w:val="en-AU"/>
        </w:rPr>
        <w:t xml:space="preserve">new tariff for </w:t>
      </w:r>
      <w:r w:rsidR="00790C5F" w:rsidRPr="004360BF">
        <w:rPr>
          <w:lang w:val="en-AU"/>
        </w:rPr>
        <w:t>traffic lights and similar unmetered 24 hour supplies</w:t>
      </w:r>
      <w:r w:rsidR="00175542" w:rsidRPr="004360BF">
        <w:rPr>
          <w:lang w:val="en-AU"/>
        </w:rPr>
        <w:t>.</w:t>
      </w:r>
      <w:r w:rsidR="00CC6CF8" w:rsidRPr="004360BF">
        <w:rPr>
          <w:lang w:val="en-AU"/>
        </w:rPr>
        <w:t xml:space="preserve"> </w:t>
      </w:r>
      <w:r w:rsidR="00C35F11" w:rsidRPr="004360BF">
        <w:rPr>
          <w:lang w:val="en-AU"/>
        </w:rPr>
        <w:t xml:space="preserve">In 2015/16 the two tariffs have undergone rebalancing as a part of tariff reform to </w:t>
      </w:r>
      <w:r w:rsidR="00B01442" w:rsidRPr="004360BF">
        <w:rPr>
          <w:lang w:val="en-AU"/>
        </w:rPr>
        <w:t>progressively</w:t>
      </w:r>
      <w:r w:rsidR="00C35F11" w:rsidRPr="004360BF">
        <w:rPr>
          <w:lang w:val="en-AU"/>
        </w:rPr>
        <w:t xml:space="preserve"> improve </w:t>
      </w:r>
      <w:r w:rsidR="00B01442" w:rsidRPr="004360BF">
        <w:rPr>
          <w:lang w:val="en-AU"/>
        </w:rPr>
        <w:t xml:space="preserve">their </w:t>
      </w:r>
      <w:r w:rsidR="00C35F11" w:rsidRPr="004360BF">
        <w:rPr>
          <w:lang w:val="en-AU"/>
        </w:rPr>
        <w:t xml:space="preserve">cost reflectivity, now evident with the tariff price differentials presented in this proposal. </w:t>
      </w:r>
    </w:p>
    <w:p w14:paraId="3BEF9AA1" w14:textId="77777777" w:rsidR="00175542" w:rsidRPr="004360BF" w:rsidRDefault="00790C5F" w:rsidP="00EE7AA1">
      <w:pPr>
        <w:pStyle w:val="Heading3"/>
      </w:pPr>
      <w:bookmarkStart w:id="290" w:name="_Ref240537226"/>
      <w:bookmarkStart w:id="291" w:name="_Toc417291756"/>
      <w:bookmarkStart w:id="292" w:name="_Toc417292524"/>
      <w:bookmarkStart w:id="293" w:name="_Toc291262245"/>
      <w:r w:rsidRPr="004360BF">
        <w:t xml:space="preserve">&gt;750 </w:t>
      </w:r>
      <w:proofErr w:type="spellStart"/>
      <w:r w:rsidRPr="004360BF">
        <w:t>MWh</w:t>
      </w:r>
      <w:proofErr w:type="spellEnd"/>
      <w:r w:rsidRPr="004360BF">
        <w:t xml:space="preserve"> pa </w:t>
      </w:r>
      <w:r w:rsidR="00175542" w:rsidRPr="004360BF">
        <w:t xml:space="preserve">Commercial </w:t>
      </w:r>
      <w:r w:rsidR="00055AFD" w:rsidRPr="004360BF">
        <w:t xml:space="preserve">LV </w:t>
      </w:r>
      <w:r w:rsidR="001766E3" w:rsidRPr="004360BF">
        <w:t>and</w:t>
      </w:r>
      <w:r w:rsidR="00055AFD" w:rsidRPr="004360BF">
        <w:t xml:space="preserve"> HV </w:t>
      </w:r>
      <w:r w:rsidR="00175542" w:rsidRPr="004360BF">
        <w:t xml:space="preserve">(Commercial and Commercial HV </w:t>
      </w:r>
      <w:r w:rsidR="00263D11" w:rsidRPr="004360BF">
        <w:t>tariff classes</w:t>
      </w:r>
      <w:r w:rsidR="00175542" w:rsidRPr="004360BF">
        <w:t>)</w:t>
      </w:r>
      <w:bookmarkEnd w:id="290"/>
      <w:bookmarkEnd w:id="291"/>
      <w:bookmarkEnd w:id="292"/>
      <w:bookmarkEnd w:id="293"/>
    </w:p>
    <w:p w14:paraId="720BEAF0" w14:textId="286A5084" w:rsidR="001F4F78" w:rsidRPr="004360BF" w:rsidRDefault="001F4F78" w:rsidP="00942DE7">
      <w:pPr>
        <w:rPr>
          <w:lang w:val="en-AU"/>
        </w:rPr>
      </w:pPr>
      <w:r w:rsidRPr="004360BF">
        <w:rPr>
          <w:lang w:val="en-AU"/>
        </w:rPr>
        <w:t xml:space="preserve">The </w:t>
      </w:r>
      <w:r w:rsidR="00731875" w:rsidRPr="004360BF">
        <w:rPr>
          <w:lang w:val="en-AU"/>
        </w:rPr>
        <w:t xml:space="preserve">existing </w:t>
      </w:r>
      <w:r w:rsidRPr="004360BF">
        <w:rPr>
          <w:lang w:val="en-AU"/>
        </w:rPr>
        <w:t>energy and demand tariff</w:t>
      </w:r>
      <w:r w:rsidR="00055AFD" w:rsidRPr="004360BF">
        <w:rPr>
          <w:lang w:val="en-AU"/>
        </w:rPr>
        <w:t xml:space="preserve"> charging parameter</w:t>
      </w:r>
      <w:r w:rsidRPr="004360BF">
        <w:rPr>
          <w:lang w:val="en-AU"/>
        </w:rPr>
        <w:t xml:space="preserve">s for the </w:t>
      </w:r>
      <w:r w:rsidR="00055AFD" w:rsidRPr="004360BF">
        <w:rPr>
          <w:lang w:val="en-AU"/>
        </w:rPr>
        <w:t xml:space="preserve">current </w:t>
      </w:r>
      <w:r w:rsidRPr="004360BF">
        <w:rPr>
          <w:lang w:val="en-AU"/>
        </w:rPr>
        <w:t>&gt;750</w:t>
      </w:r>
      <w:r w:rsidR="003423BB" w:rsidRPr="004360BF">
        <w:rPr>
          <w:lang w:val="en-AU"/>
        </w:rPr>
        <w:t> </w:t>
      </w:r>
      <w:proofErr w:type="spellStart"/>
      <w:r w:rsidRPr="004360BF">
        <w:rPr>
          <w:lang w:val="en-AU"/>
        </w:rPr>
        <w:t>MWh</w:t>
      </w:r>
      <w:proofErr w:type="spellEnd"/>
      <w:r w:rsidRPr="004360BF">
        <w:rPr>
          <w:lang w:val="en-AU"/>
        </w:rPr>
        <w:t xml:space="preserve"> per annum Commercial tariff</w:t>
      </w:r>
      <w:r w:rsidR="00055AFD" w:rsidRPr="004360BF">
        <w:rPr>
          <w:lang w:val="en-AU"/>
        </w:rPr>
        <w:t xml:space="preserve"> </w:t>
      </w:r>
      <w:r w:rsidR="008A09B6" w:rsidRPr="004360BF">
        <w:rPr>
          <w:lang w:val="en-AU"/>
        </w:rPr>
        <w:t xml:space="preserve">were </w:t>
      </w:r>
      <w:r w:rsidRPr="004360BF">
        <w:rPr>
          <w:lang w:val="en-AU"/>
        </w:rPr>
        <w:t xml:space="preserve">characterised by a </w:t>
      </w:r>
      <w:r w:rsidR="00055AFD" w:rsidRPr="004360BF">
        <w:rPr>
          <w:lang w:val="en-AU"/>
        </w:rPr>
        <w:t xml:space="preserve">five step </w:t>
      </w:r>
      <w:r w:rsidRPr="004360BF">
        <w:rPr>
          <w:lang w:val="en-AU"/>
        </w:rPr>
        <w:t>declining block structure</w:t>
      </w:r>
      <w:r w:rsidR="003423BB" w:rsidRPr="004360BF">
        <w:rPr>
          <w:lang w:val="en-AU"/>
        </w:rPr>
        <w:t xml:space="preserve"> </w:t>
      </w:r>
      <w:r w:rsidR="00A61D2E" w:rsidRPr="004360BF">
        <w:rPr>
          <w:lang w:val="en-AU"/>
        </w:rPr>
        <w:t xml:space="preserve">(it originally had seven steps) </w:t>
      </w:r>
      <w:r w:rsidR="003423BB" w:rsidRPr="004360BF">
        <w:rPr>
          <w:lang w:val="en-AU"/>
        </w:rPr>
        <w:t>plus a</w:t>
      </w:r>
      <w:r w:rsidRPr="004360BF">
        <w:rPr>
          <w:lang w:val="en-AU"/>
        </w:rPr>
        <w:t xml:space="preserve"> fixed daily charge and peak and off peak </w:t>
      </w:r>
      <w:r w:rsidR="00055AFD" w:rsidRPr="004360BF">
        <w:rPr>
          <w:lang w:val="en-AU"/>
        </w:rPr>
        <w:t xml:space="preserve">energy and demand rates. </w:t>
      </w:r>
    </w:p>
    <w:p w14:paraId="4E40DF9D" w14:textId="77777777" w:rsidR="00885936" w:rsidRPr="004360BF" w:rsidRDefault="00175542" w:rsidP="001267A6">
      <w:pPr>
        <w:rPr>
          <w:szCs w:val="22"/>
          <w:lang w:val="en-AU"/>
        </w:rPr>
      </w:pPr>
      <w:r w:rsidRPr="004360BF">
        <w:rPr>
          <w:szCs w:val="22"/>
          <w:lang w:val="en-AU"/>
        </w:rPr>
        <w:t>The existing tariff</w:t>
      </w:r>
      <w:r w:rsidR="00055AFD" w:rsidRPr="004360BF">
        <w:rPr>
          <w:szCs w:val="22"/>
          <w:lang w:val="en-AU"/>
        </w:rPr>
        <w:t xml:space="preserve"> charging parameter</w:t>
      </w:r>
      <w:r w:rsidR="001F4F78" w:rsidRPr="004360BF">
        <w:rPr>
          <w:szCs w:val="22"/>
          <w:lang w:val="en-AU"/>
        </w:rPr>
        <w:t>s are</w:t>
      </w:r>
      <w:r w:rsidRPr="004360BF">
        <w:rPr>
          <w:szCs w:val="22"/>
          <w:lang w:val="en-AU"/>
        </w:rPr>
        <w:t xml:space="preserve"> applied to customers regardless of their voltage of connection.</w:t>
      </w:r>
      <w:r w:rsidR="00CC6CF8" w:rsidRPr="004360BF">
        <w:rPr>
          <w:szCs w:val="22"/>
          <w:lang w:val="en-AU"/>
        </w:rPr>
        <w:t xml:space="preserve"> </w:t>
      </w:r>
      <w:r w:rsidRPr="004360BF">
        <w:rPr>
          <w:szCs w:val="22"/>
          <w:lang w:val="en-AU"/>
        </w:rPr>
        <w:t xml:space="preserve">The declining block structure would ensure that a larger customer, which would be more likely to be connected to the </w:t>
      </w:r>
      <w:r w:rsidR="001F4F78" w:rsidRPr="004360BF">
        <w:rPr>
          <w:szCs w:val="22"/>
          <w:lang w:val="en-AU"/>
        </w:rPr>
        <w:t>h</w:t>
      </w:r>
      <w:r w:rsidRPr="004360BF">
        <w:rPr>
          <w:szCs w:val="22"/>
          <w:lang w:val="en-AU"/>
        </w:rPr>
        <w:t xml:space="preserve">igh </w:t>
      </w:r>
      <w:r w:rsidR="001F4F78" w:rsidRPr="004360BF">
        <w:rPr>
          <w:szCs w:val="22"/>
          <w:lang w:val="en-AU"/>
        </w:rPr>
        <w:t>v</w:t>
      </w:r>
      <w:r w:rsidRPr="004360BF">
        <w:rPr>
          <w:szCs w:val="22"/>
          <w:lang w:val="en-AU"/>
        </w:rPr>
        <w:t>oltage network or at a zone substation, would pay a lower average network rate.</w:t>
      </w:r>
      <w:r w:rsidR="00CC6CF8" w:rsidRPr="004360BF">
        <w:rPr>
          <w:szCs w:val="22"/>
          <w:lang w:val="en-AU"/>
        </w:rPr>
        <w:t xml:space="preserve"> </w:t>
      </w:r>
      <w:r w:rsidRPr="004360BF">
        <w:rPr>
          <w:szCs w:val="22"/>
          <w:lang w:val="en-AU"/>
        </w:rPr>
        <w:t>However, this tariff difference is a poor reflection of the difference in supply costs.</w:t>
      </w:r>
    </w:p>
    <w:p w14:paraId="29CF6F91" w14:textId="7FF3D75C" w:rsidR="00175542" w:rsidRPr="004360BF" w:rsidRDefault="00175542" w:rsidP="00B01442">
      <w:pPr>
        <w:keepNext/>
        <w:rPr>
          <w:lang w:val="en-AU"/>
        </w:rPr>
      </w:pPr>
      <w:r w:rsidRPr="004360BF">
        <w:rPr>
          <w:lang w:val="en-AU"/>
        </w:rPr>
        <w:lastRenderedPageBreak/>
        <w:t xml:space="preserve">The </w:t>
      </w:r>
      <w:r w:rsidR="00374176" w:rsidRPr="004360BF">
        <w:rPr>
          <w:lang w:val="en-AU"/>
        </w:rPr>
        <w:t>201</w:t>
      </w:r>
      <w:r w:rsidR="00A61D2E" w:rsidRPr="004360BF">
        <w:rPr>
          <w:lang w:val="en-AU"/>
        </w:rPr>
        <w:t>4</w:t>
      </w:r>
      <w:r w:rsidR="00374176" w:rsidRPr="004360BF">
        <w:rPr>
          <w:lang w:val="en-AU"/>
        </w:rPr>
        <w:t>/1</w:t>
      </w:r>
      <w:r w:rsidR="00A61D2E" w:rsidRPr="004360BF">
        <w:rPr>
          <w:lang w:val="en-AU"/>
        </w:rPr>
        <w:t>5</w:t>
      </w:r>
      <w:r w:rsidR="00374176" w:rsidRPr="004360BF">
        <w:rPr>
          <w:lang w:val="en-AU"/>
        </w:rPr>
        <w:t xml:space="preserve"> </w:t>
      </w:r>
      <w:r w:rsidRPr="004360BF">
        <w:rPr>
          <w:lang w:val="en-AU"/>
        </w:rPr>
        <w:t xml:space="preserve">price </w:t>
      </w:r>
      <w:r w:rsidR="00146715" w:rsidRPr="004360BF">
        <w:rPr>
          <w:lang w:val="en-AU"/>
        </w:rPr>
        <w:t>change</w:t>
      </w:r>
      <w:r w:rsidR="00F00463" w:rsidRPr="004360BF">
        <w:rPr>
          <w:lang w:val="en-AU"/>
        </w:rPr>
        <w:t>s</w:t>
      </w:r>
      <w:r w:rsidR="00146715" w:rsidRPr="004360BF">
        <w:rPr>
          <w:lang w:val="en-AU"/>
        </w:rPr>
        <w:t xml:space="preserve"> </w:t>
      </w:r>
      <w:r w:rsidRPr="004360BF">
        <w:rPr>
          <w:lang w:val="en-AU"/>
        </w:rPr>
        <w:t xml:space="preserve">for </w:t>
      </w:r>
      <w:r w:rsidR="001F4F78" w:rsidRPr="004360BF">
        <w:rPr>
          <w:lang w:val="en-AU"/>
        </w:rPr>
        <w:t xml:space="preserve">&gt;750 </w:t>
      </w:r>
      <w:proofErr w:type="spellStart"/>
      <w:r w:rsidR="001F4F78" w:rsidRPr="004360BF">
        <w:rPr>
          <w:lang w:val="en-AU"/>
        </w:rPr>
        <w:t>MWh</w:t>
      </w:r>
      <w:proofErr w:type="spellEnd"/>
      <w:r w:rsidR="001F4F78" w:rsidRPr="004360BF">
        <w:rPr>
          <w:lang w:val="en-AU"/>
        </w:rPr>
        <w:t xml:space="preserve"> p</w:t>
      </w:r>
      <w:r w:rsidR="000B5B88" w:rsidRPr="004360BF">
        <w:rPr>
          <w:lang w:val="en-AU"/>
        </w:rPr>
        <w:t xml:space="preserve">er </w:t>
      </w:r>
      <w:r w:rsidR="001F4F78" w:rsidRPr="004360BF">
        <w:rPr>
          <w:lang w:val="en-AU"/>
        </w:rPr>
        <w:t>a</w:t>
      </w:r>
      <w:r w:rsidR="000B5B88" w:rsidRPr="004360BF">
        <w:rPr>
          <w:lang w:val="en-AU"/>
        </w:rPr>
        <w:t>nnum</w:t>
      </w:r>
      <w:r w:rsidR="001F4F78" w:rsidRPr="004360BF">
        <w:rPr>
          <w:lang w:val="en-AU"/>
        </w:rPr>
        <w:t xml:space="preserve"> </w:t>
      </w:r>
      <w:r w:rsidR="00F00463" w:rsidRPr="004360BF">
        <w:rPr>
          <w:lang w:val="en-AU"/>
        </w:rPr>
        <w:t>Commercial customers are</w:t>
      </w:r>
      <w:r w:rsidRPr="004360BF">
        <w:rPr>
          <w:lang w:val="en-AU"/>
        </w:rPr>
        <w:t xml:space="preserve"> shown in </w:t>
      </w:r>
      <w:r w:rsidR="00CC1083" w:rsidRPr="004360BF">
        <w:rPr>
          <w:lang w:val="en-AU"/>
        </w:rPr>
        <w:fldChar w:fldCharType="begin"/>
      </w:r>
      <w:r w:rsidR="00CC1083" w:rsidRPr="004360BF">
        <w:rPr>
          <w:lang w:val="en-AU"/>
        </w:rPr>
        <w:instrText xml:space="preserve"> REF _Ref354828519 \h </w:instrText>
      </w:r>
      <w:r w:rsidR="00CC1083" w:rsidRPr="004360BF">
        <w:rPr>
          <w:lang w:val="en-AU"/>
        </w:rPr>
      </w:r>
      <w:r w:rsidR="00CC1083" w:rsidRPr="004360BF">
        <w:rPr>
          <w:lang w:val="en-AU"/>
        </w:rPr>
        <w:fldChar w:fldCharType="separate"/>
      </w:r>
      <w:r w:rsidR="008D3215" w:rsidRPr="004360BF">
        <w:rPr>
          <w:lang w:val="en-AU"/>
        </w:rPr>
        <w:t xml:space="preserve">Figure </w:t>
      </w:r>
      <w:r w:rsidR="008D3215">
        <w:rPr>
          <w:noProof/>
          <w:lang w:val="en-AU"/>
        </w:rPr>
        <w:t>5</w:t>
      </w:r>
      <w:r w:rsidR="00CC1083" w:rsidRPr="004360BF">
        <w:rPr>
          <w:lang w:val="en-AU"/>
        </w:rPr>
        <w:fldChar w:fldCharType="end"/>
      </w:r>
      <w:r w:rsidRPr="004360BF">
        <w:rPr>
          <w:lang w:val="en-AU"/>
        </w:rPr>
        <w:t>.</w:t>
      </w:r>
      <w:r w:rsidR="00CC6CF8" w:rsidRPr="004360BF">
        <w:rPr>
          <w:lang w:val="en-AU"/>
        </w:rPr>
        <w:t xml:space="preserve"> </w:t>
      </w:r>
      <w:r w:rsidR="00CC6815" w:rsidRPr="004360BF">
        <w:rPr>
          <w:lang w:val="en-AU"/>
        </w:rPr>
        <w:t xml:space="preserve"> </w:t>
      </w:r>
      <w:r w:rsidRPr="004360BF">
        <w:rPr>
          <w:lang w:val="en-AU"/>
        </w:rPr>
        <w:t xml:space="preserve">High </w:t>
      </w:r>
      <w:r w:rsidR="001F4F78" w:rsidRPr="004360BF">
        <w:rPr>
          <w:lang w:val="en-AU"/>
        </w:rPr>
        <w:t>v</w:t>
      </w:r>
      <w:r w:rsidRPr="004360BF">
        <w:rPr>
          <w:lang w:val="en-AU"/>
        </w:rPr>
        <w:t xml:space="preserve">oltage and </w:t>
      </w:r>
      <w:r w:rsidR="001F4F78" w:rsidRPr="004360BF">
        <w:rPr>
          <w:lang w:val="en-AU"/>
        </w:rPr>
        <w:t>l</w:t>
      </w:r>
      <w:r w:rsidRPr="004360BF">
        <w:rPr>
          <w:lang w:val="en-AU"/>
        </w:rPr>
        <w:t xml:space="preserve">ow </w:t>
      </w:r>
      <w:r w:rsidR="001F4F78" w:rsidRPr="004360BF">
        <w:rPr>
          <w:lang w:val="en-AU"/>
        </w:rPr>
        <w:t>v</w:t>
      </w:r>
      <w:r w:rsidRPr="004360BF">
        <w:rPr>
          <w:lang w:val="en-AU"/>
        </w:rPr>
        <w:t>oltage customers have been separately identified, as their utilisation of the network and costs of supply differ.</w:t>
      </w:r>
      <w:r w:rsidR="00CC6CF8" w:rsidRPr="004360BF">
        <w:rPr>
          <w:lang w:val="en-AU"/>
        </w:rPr>
        <w:t xml:space="preserve"> </w:t>
      </w:r>
      <w:r w:rsidRPr="004360BF">
        <w:rPr>
          <w:lang w:val="en-AU"/>
        </w:rPr>
        <w:t xml:space="preserve">The large </w:t>
      </w:r>
      <w:r w:rsidR="00B01442" w:rsidRPr="004360BF">
        <w:rPr>
          <w:lang w:val="en-AU"/>
        </w:rPr>
        <w:t>variations</w:t>
      </w:r>
      <w:r w:rsidRPr="004360BF">
        <w:rPr>
          <w:lang w:val="en-AU"/>
        </w:rPr>
        <w:t xml:space="preserve"> in the average cost of supply in ¢/kWh are due to the tariff reflecting significant differences in the load factor of </w:t>
      </w:r>
      <w:r w:rsidR="00F00463" w:rsidRPr="004360BF">
        <w:rPr>
          <w:lang w:val="en-AU"/>
        </w:rPr>
        <w:t>individual</w:t>
      </w:r>
      <w:r w:rsidRPr="004360BF">
        <w:rPr>
          <w:lang w:val="en-AU"/>
        </w:rPr>
        <w:t xml:space="preserve"> customers and in the ratio of peak to off peak consumption. </w:t>
      </w:r>
      <w:r w:rsidR="00CC6815" w:rsidRPr="004360BF">
        <w:rPr>
          <w:lang w:val="en-AU"/>
        </w:rPr>
        <w:t xml:space="preserve"> </w:t>
      </w:r>
      <w:r w:rsidR="00B01442" w:rsidRPr="004360BF">
        <w:rPr>
          <w:lang w:val="en-AU"/>
        </w:rPr>
        <w:t>The average tariff rates (8.</w:t>
      </w:r>
      <w:r w:rsidR="00D56081">
        <w:rPr>
          <w:lang w:val="en-AU"/>
        </w:rPr>
        <w:t>69</w:t>
      </w:r>
      <w:r w:rsidR="00D56081" w:rsidRPr="004360BF">
        <w:rPr>
          <w:lang w:val="en-AU"/>
        </w:rPr>
        <w:t> </w:t>
      </w:r>
      <w:r w:rsidR="00B01442" w:rsidRPr="004360BF">
        <w:rPr>
          <w:lang w:val="en-AU"/>
        </w:rPr>
        <w:t xml:space="preserve">¢/kWh for low voltage and </w:t>
      </w:r>
      <w:r w:rsidR="00D56081">
        <w:rPr>
          <w:lang w:val="en-AU"/>
        </w:rPr>
        <w:t>4.98</w:t>
      </w:r>
      <w:r w:rsidR="00B01442" w:rsidRPr="004360BF">
        <w:rPr>
          <w:lang w:val="en-AU"/>
        </w:rPr>
        <w:t xml:space="preserve"> ¢/kWh for high voltage) </w:t>
      </w:r>
      <w:r w:rsidR="00F00463" w:rsidRPr="004360BF">
        <w:rPr>
          <w:lang w:val="en-AU"/>
        </w:rPr>
        <w:t xml:space="preserve">are not shown on this chart but </w:t>
      </w:r>
      <w:r w:rsidR="00B01442" w:rsidRPr="004360BF">
        <w:rPr>
          <w:lang w:val="en-AU"/>
        </w:rPr>
        <w:t>reflect the differences in the assets these customers use.</w:t>
      </w:r>
    </w:p>
    <w:p w14:paraId="15F7C5E0" w14:textId="3B3F4F2D" w:rsidR="00175542" w:rsidRPr="004360BF" w:rsidRDefault="00175542" w:rsidP="00DB10CA">
      <w:pPr>
        <w:pStyle w:val="Caption"/>
        <w:rPr>
          <w:lang w:val="en-AU"/>
        </w:rPr>
      </w:pPr>
      <w:bookmarkStart w:id="294" w:name="_Ref354828519"/>
      <w:r w:rsidRPr="004360BF">
        <w:rPr>
          <w:lang w:val="en-AU"/>
        </w:rPr>
        <w:t xml:space="preserve">Figure </w:t>
      </w:r>
      <w:r w:rsidR="00EA0F43" w:rsidRPr="004360BF">
        <w:rPr>
          <w:lang w:val="en-AU"/>
        </w:rPr>
        <w:fldChar w:fldCharType="begin"/>
      </w:r>
      <w:r w:rsidR="00EA0F43" w:rsidRPr="004360BF">
        <w:rPr>
          <w:lang w:val="en-AU"/>
        </w:rPr>
        <w:instrText xml:space="preserve"> SEQ Figure \* ARABIC </w:instrText>
      </w:r>
      <w:r w:rsidR="00EA0F43" w:rsidRPr="004360BF">
        <w:rPr>
          <w:lang w:val="en-AU"/>
        </w:rPr>
        <w:fldChar w:fldCharType="separate"/>
      </w:r>
      <w:r w:rsidR="008D3215">
        <w:rPr>
          <w:noProof/>
          <w:lang w:val="en-AU"/>
        </w:rPr>
        <w:t>5</w:t>
      </w:r>
      <w:r w:rsidR="00EA0F43" w:rsidRPr="004360BF">
        <w:rPr>
          <w:lang w:val="en-AU"/>
        </w:rPr>
        <w:fldChar w:fldCharType="end"/>
      </w:r>
      <w:bookmarkEnd w:id="294"/>
      <w:r w:rsidRPr="004360BF">
        <w:rPr>
          <w:lang w:val="en-AU"/>
        </w:rPr>
        <w:t xml:space="preserve"> – Average price for </w:t>
      </w:r>
      <w:r w:rsidR="000B5B88" w:rsidRPr="004360BF">
        <w:rPr>
          <w:lang w:val="en-AU"/>
        </w:rPr>
        <w:t xml:space="preserve">&gt;750 </w:t>
      </w:r>
      <w:proofErr w:type="spellStart"/>
      <w:r w:rsidR="000B5B88" w:rsidRPr="004360BF">
        <w:rPr>
          <w:lang w:val="en-AU"/>
        </w:rPr>
        <w:t>MWh</w:t>
      </w:r>
      <w:proofErr w:type="spellEnd"/>
      <w:r w:rsidR="000B5B88" w:rsidRPr="004360BF">
        <w:rPr>
          <w:lang w:val="en-AU"/>
        </w:rPr>
        <w:t xml:space="preserve"> per annum</w:t>
      </w:r>
      <w:r w:rsidRPr="004360BF">
        <w:rPr>
          <w:lang w:val="en-AU"/>
        </w:rPr>
        <w:t xml:space="preserve"> customers</w:t>
      </w:r>
    </w:p>
    <w:p w14:paraId="5D6EDEB1" w14:textId="7DD033F1" w:rsidR="00175542" w:rsidRPr="004360BF" w:rsidRDefault="00D56081" w:rsidP="00593198">
      <w:pPr>
        <w:rPr>
          <w:highlight w:val="yellow"/>
          <w:lang w:val="en-AU"/>
        </w:rPr>
      </w:pPr>
      <w:r w:rsidRPr="00D56081">
        <w:rPr>
          <w:noProof/>
          <w:lang w:val="en-AU" w:eastAsia="en-AU"/>
        </w:rPr>
        <w:drawing>
          <wp:inline distT="0" distB="0" distL="0" distR="0" wp14:anchorId="2610A200" wp14:editId="0885FC6D">
            <wp:extent cx="3571200" cy="254606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4039" cy="2548091"/>
                    </a:xfrm>
                    <a:prstGeom prst="rect">
                      <a:avLst/>
                    </a:prstGeom>
                    <a:noFill/>
                    <a:ln>
                      <a:noFill/>
                    </a:ln>
                  </pic:spPr>
                </pic:pic>
              </a:graphicData>
            </a:graphic>
          </wp:inline>
        </w:drawing>
      </w:r>
    </w:p>
    <w:p w14:paraId="01620E9C" w14:textId="77777777" w:rsidR="00175542" w:rsidRPr="004360BF" w:rsidRDefault="007453C0" w:rsidP="00A61D2E">
      <w:pPr>
        <w:pStyle w:val="Dottop"/>
        <w:rPr>
          <w:lang w:val="en-AU"/>
        </w:rPr>
      </w:pPr>
      <w:r w:rsidRPr="004360BF">
        <w:rPr>
          <w:lang w:val="en-AU"/>
        </w:rPr>
        <w:t xml:space="preserve">It is </w:t>
      </w:r>
      <w:r w:rsidR="00175542" w:rsidRPr="004360BF">
        <w:rPr>
          <w:lang w:val="en-AU"/>
        </w:rPr>
        <w:t>propose</w:t>
      </w:r>
      <w:r w:rsidRPr="004360BF">
        <w:rPr>
          <w:lang w:val="en-AU"/>
        </w:rPr>
        <w:t>d</w:t>
      </w:r>
      <w:r w:rsidR="00175542" w:rsidRPr="004360BF">
        <w:rPr>
          <w:lang w:val="en-AU"/>
        </w:rPr>
        <w:t xml:space="preserve"> to modify the tariff</w:t>
      </w:r>
      <w:r w:rsidR="00744970" w:rsidRPr="004360BF">
        <w:rPr>
          <w:lang w:val="en-AU"/>
        </w:rPr>
        <w:t xml:space="preserve">s that apply to &gt;750 </w:t>
      </w:r>
      <w:proofErr w:type="spellStart"/>
      <w:r w:rsidR="00744970" w:rsidRPr="004360BF">
        <w:rPr>
          <w:lang w:val="en-AU"/>
        </w:rPr>
        <w:t>MWh</w:t>
      </w:r>
      <w:proofErr w:type="spellEnd"/>
      <w:r w:rsidR="00744970" w:rsidRPr="004360BF">
        <w:rPr>
          <w:lang w:val="en-AU"/>
        </w:rPr>
        <w:t xml:space="preserve"> pa Commercial customers</w:t>
      </w:r>
      <w:r w:rsidR="00175542" w:rsidRPr="004360BF">
        <w:rPr>
          <w:lang w:val="en-AU"/>
        </w:rPr>
        <w:t>, as follows:</w:t>
      </w:r>
    </w:p>
    <w:p w14:paraId="29D73623" w14:textId="0D31BD75" w:rsidR="00175542" w:rsidRPr="004360BF" w:rsidRDefault="00175542" w:rsidP="00D61985">
      <w:pPr>
        <w:pStyle w:val="Dot"/>
        <w:rPr>
          <w:lang w:val="en-AU"/>
        </w:rPr>
      </w:pPr>
      <w:r w:rsidRPr="004360BF">
        <w:rPr>
          <w:lang w:val="en-AU"/>
        </w:rPr>
        <w:t xml:space="preserve">With the voltage </w:t>
      </w:r>
      <w:r w:rsidR="005936C5" w:rsidRPr="004360BF">
        <w:rPr>
          <w:lang w:val="en-AU"/>
        </w:rPr>
        <w:t xml:space="preserve">distinction </w:t>
      </w:r>
      <w:r w:rsidR="008A09B6" w:rsidRPr="004360BF">
        <w:rPr>
          <w:lang w:val="en-AU"/>
        </w:rPr>
        <w:t xml:space="preserve">now in place </w:t>
      </w:r>
      <w:r w:rsidR="005936C5" w:rsidRPr="004360BF">
        <w:rPr>
          <w:lang w:val="en-AU"/>
        </w:rPr>
        <w:t>(and potentially the</w:t>
      </w:r>
      <w:r w:rsidRPr="004360BF">
        <w:rPr>
          <w:lang w:val="en-AU"/>
        </w:rPr>
        <w:t xml:space="preserve"> locational</w:t>
      </w:r>
      <w:r w:rsidR="005936C5" w:rsidRPr="004360BF">
        <w:rPr>
          <w:lang w:val="en-AU"/>
        </w:rPr>
        <w:t xml:space="preserve"> distinction</w:t>
      </w:r>
      <w:r w:rsidR="00E4142B" w:rsidRPr="004360BF">
        <w:rPr>
          <w:lang w:val="en-AU"/>
        </w:rPr>
        <w:t>, if a zone substation tariff is introduced</w:t>
      </w:r>
      <w:r w:rsidRPr="004360BF">
        <w:rPr>
          <w:lang w:val="en-AU"/>
        </w:rPr>
        <w:t xml:space="preserve">) between </w:t>
      </w:r>
      <w:r w:rsidR="008A09B6" w:rsidRPr="004360BF">
        <w:rPr>
          <w:lang w:val="en-AU"/>
        </w:rPr>
        <w:t xml:space="preserve">HV and LV customers there </w:t>
      </w:r>
      <w:r w:rsidRPr="004360BF">
        <w:rPr>
          <w:lang w:val="en-AU"/>
        </w:rPr>
        <w:t>is no justification for such tariffs to have either an inclining or declining block structure.</w:t>
      </w:r>
      <w:r w:rsidR="00CC6CF8" w:rsidRPr="004360BF">
        <w:rPr>
          <w:lang w:val="en-AU"/>
        </w:rPr>
        <w:t xml:space="preserve"> </w:t>
      </w:r>
      <w:r w:rsidRPr="004360BF">
        <w:rPr>
          <w:lang w:val="en-AU"/>
        </w:rPr>
        <w:t>The existing price structure will be progressively simplified by rebalancing the upper and lower block rates until the block rates become equal, whereupon the block structure will be removed.</w:t>
      </w:r>
      <w:r w:rsidR="00CC6CF8" w:rsidRPr="004360BF">
        <w:rPr>
          <w:lang w:val="en-AU"/>
        </w:rPr>
        <w:t xml:space="preserve"> </w:t>
      </w:r>
    </w:p>
    <w:p w14:paraId="4044B0C9" w14:textId="77777777" w:rsidR="00E408E9" w:rsidRPr="004360BF" w:rsidRDefault="00E408E9" w:rsidP="00D61985">
      <w:pPr>
        <w:pStyle w:val="Dot"/>
        <w:rPr>
          <w:lang w:val="en-AU"/>
        </w:rPr>
      </w:pPr>
      <w:r w:rsidRPr="004360BF">
        <w:rPr>
          <w:lang w:val="en-AU"/>
        </w:rPr>
        <w:t>Rebalancing of the tariff charging parameters to progressively increase the demand charge and reduce energy rates would provide improved cost reflectivity. This will progress throughout the 2014-19 regulatory control period at a pace that recognises the impact on individual customers</w:t>
      </w:r>
      <w:r w:rsidR="00E41270" w:rsidRPr="004360BF">
        <w:rPr>
          <w:lang w:val="en-AU"/>
        </w:rPr>
        <w:t>.</w:t>
      </w:r>
    </w:p>
    <w:p w14:paraId="263EECB8" w14:textId="1D02D5F4" w:rsidR="002C62EF" w:rsidRPr="004360BF" w:rsidRDefault="002C62EF" w:rsidP="00D61985">
      <w:pPr>
        <w:pStyle w:val="Dot"/>
        <w:rPr>
          <w:lang w:val="en-AU"/>
        </w:rPr>
      </w:pPr>
      <w:r w:rsidRPr="004360BF">
        <w:rPr>
          <w:lang w:val="en-AU"/>
        </w:rPr>
        <w:t>The adoption of a kVA capacity charge to replace the monthly re</w:t>
      </w:r>
      <w:r w:rsidR="00A61D2E" w:rsidRPr="004360BF">
        <w:rPr>
          <w:lang w:val="en-AU"/>
        </w:rPr>
        <w:t>set kVA demand charge has some potential</w:t>
      </w:r>
      <w:r w:rsidRPr="004360BF">
        <w:rPr>
          <w:lang w:val="en-AU"/>
        </w:rPr>
        <w:t xml:space="preserve"> advantages:</w:t>
      </w:r>
    </w:p>
    <w:p w14:paraId="570C1AF8" w14:textId="77777777" w:rsidR="002C62EF" w:rsidRPr="004360BF" w:rsidRDefault="002C62EF" w:rsidP="00EE7AA1">
      <w:pPr>
        <w:numPr>
          <w:ilvl w:val="0"/>
          <w:numId w:val="5"/>
        </w:numPr>
        <w:spacing w:after="120"/>
        <w:ind w:left="1134"/>
        <w:rPr>
          <w:szCs w:val="22"/>
          <w:lang w:val="en-AU"/>
        </w:rPr>
      </w:pPr>
      <w:r w:rsidRPr="004360BF">
        <w:rPr>
          <w:szCs w:val="22"/>
          <w:lang w:val="en-AU"/>
        </w:rPr>
        <w:t xml:space="preserve">a customer with a strongly seasonal profile would receive a year-round charge that more closely reflected their utilisation of peak network </w:t>
      </w:r>
      <w:r w:rsidRPr="004360BF">
        <w:rPr>
          <w:lang w:val="en-AU"/>
        </w:rPr>
        <w:t>capacity</w:t>
      </w:r>
      <w:r w:rsidRPr="004360BF">
        <w:rPr>
          <w:szCs w:val="22"/>
          <w:lang w:val="en-AU"/>
        </w:rPr>
        <w:t>; and</w:t>
      </w:r>
    </w:p>
    <w:p w14:paraId="06738AEB" w14:textId="77777777" w:rsidR="002C62EF" w:rsidRPr="004360BF" w:rsidRDefault="002C62EF" w:rsidP="00EE7AA1">
      <w:pPr>
        <w:numPr>
          <w:ilvl w:val="0"/>
          <w:numId w:val="5"/>
        </w:numPr>
        <w:spacing w:after="120"/>
        <w:ind w:left="1134"/>
        <w:rPr>
          <w:szCs w:val="22"/>
          <w:lang w:val="en-AU"/>
        </w:rPr>
      </w:pPr>
      <w:proofErr w:type="gramStart"/>
      <w:r w:rsidRPr="004360BF">
        <w:rPr>
          <w:szCs w:val="22"/>
          <w:lang w:val="en-AU"/>
        </w:rPr>
        <w:t>a</w:t>
      </w:r>
      <w:proofErr w:type="gramEnd"/>
      <w:r w:rsidRPr="004360BF">
        <w:rPr>
          <w:szCs w:val="22"/>
          <w:lang w:val="en-AU"/>
        </w:rPr>
        <w:t xml:space="preserve"> customer that made occasional use of the network for standby purposes would receive a charge that was much better aligned to their impact on the network’s costs in ensuring it could cater for this peak demand.</w:t>
      </w:r>
    </w:p>
    <w:p w14:paraId="19A4FF4A" w14:textId="77777777" w:rsidR="002C62EF" w:rsidRPr="004360BF" w:rsidRDefault="002C62EF" w:rsidP="00D61985">
      <w:pPr>
        <w:pStyle w:val="Dot"/>
        <w:rPr>
          <w:lang w:val="en-AU"/>
        </w:rPr>
      </w:pPr>
      <w:r w:rsidRPr="004360BF">
        <w:rPr>
          <w:lang w:val="en-AU"/>
        </w:rPr>
        <w:lastRenderedPageBreak/>
        <w:t>However, Power Networks has now carried out an assessment of the pricing impact on customers and appreciates that the introduction of the tariff would require a transition period. In addition, as the billing arrangements and the communication of this arrangement to customers require development, Power Networks now proposes that the introduction of the capacity tariff be deferred until the 2019-24 regulatory control period.</w:t>
      </w:r>
    </w:p>
    <w:p w14:paraId="69E269E9" w14:textId="1553BED4" w:rsidR="00175542" w:rsidRPr="004360BF" w:rsidRDefault="00175542" w:rsidP="00D61985">
      <w:pPr>
        <w:pStyle w:val="Dotbot"/>
        <w:rPr>
          <w:lang w:val="en-AU"/>
        </w:rPr>
      </w:pPr>
      <w:r w:rsidRPr="004360BF">
        <w:rPr>
          <w:lang w:val="en-AU"/>
        </w:rPr>
        <w:t xml:space="preserve">Power Networks proposes to introduce a new </w:t>
      </w:r>
      <w:r w:rsidR="008D3D59" w:rsidRPr="004360BF">
        <w:rPr>
          <w:lang w:val="en-AU"/>
        </w:rPr>
        <w:t xml:space="preserve">tariff </w:t>
      </w:r>
      <w:r w:rsidR="00112A4E" w:rsidRPr="004360BF">
        <w:rPr>
          <w:lang w:val="en-AU"/>
        </w:rPr>
        <w:t xml:space="preserve">charging parameter </w:t>
      </w:r>
      <w:r w:rsidRPr="004360BF">
        <w:rPr>
          <w:lang w:val="en-AU"/>
        </w:rPr>
        <w:t xml:space="preserve">to apply to </w:t>
      </w:r>
      <w:r w:rsidR="002C62EF" w:rsidRPr="004360BF">
        <w:rPr>
          <w:lang w:val="en-AU"/>
        </w:rPr>
        <w:t>Commercial</w:t>
      </w:r>
      <w:r w:rsidRPr="004360BF">
        <w:rPr>
          <w:lang w:val="en-AU"/>
        </w:rPr>
        <w:t xml:space="preserve"> customers</w:t>
      </w:r>
      <w:r w:rsidR="002C62EF" w:rsidRPr="004360BF">
        <w:rPr>
          <w:lang w:val="en-AU"/>
        </w:rPr>
        <w:t xml:space="preserve"> with an annual consumption greater than 750</w:t>
      </w:r>
      <w:r w:rsidR="004C78C6" w:rsidRPr="004360BF">
        <w:rPr>
          <w:lang w:val="en-AU"/>
        </w:rPr>
        <w:t> </w:t>
      </w:r>
      <w:proofErr w:type="spellStart"/>
      <w:r w:rsidR="002C62EF" w:rsidRPr="004360BF">
        <w:rPr>
          <w:lang w:val="en-AU"/>
        </w:rPr>
        <w:t>MWh</w:t>
      </w:r>
      <w:proofErr w:type="spellEnd"/>
      <w:r w:rsidR="002C62EF" w:rsidRPr="004360BF">
        <w:rPr>
          <w:lang w:val="en-AU"/>
        </w:rPr>
        <w:t xml:space="preserve"> per annum</w:t>
      </w:r>
      <w:r w:rsidRPr="004360BF">
        <w:rPr>
          <w:lang w:val="en-AU"/>
        </w:rPr>
        <w:t xml:space="preserve">. The Excess </w:t>
      </w:r>
      <w:proofErr w:type="spellStart"/>
      <w:r w:rsidRPr="004360BF">
        <w:rPr>
          <w:lang w:val="en-AU"/>
        </w:rPr>
        <w:t>kVAr</w:t>
      </w:r>
      <w:proofErr w:type="spellEnd"/>
      <w:r w:rsidRPr="004360BF">
        <w:rPr>
          <w:lang w:val="en-AU"/>
        </w:rPr>
        <w:t xml:space="preserve"> charge will supplement the </w:t>
      </w:r>
      <w:r w:rsidR="002C62EF" w:rsidRPr="004360BF">
        <w:rPr>
          <w:lang w:val="en-AU"/>
        </w:rPr>
        <w:t xml:space="preserve">demand </w:t>
      </w:r>
      <w:r w:rsidR="00112A4E" w:rsidRPr="004360BF">
        <w:rPr>
          <w:lang w:val="en-AU"/>
        </w:rPr>
        <w:t xml:space="preserve">charging parameter </w:t>
      </w:r>
      <w:r w:rsidRPr="004360BF">
        <w:rPr>
          <w:lang w:val="en-AU"/>
        </w:rPr>
        <w:t xml:space="preserve">of the tariff and provide significantly greater incentive for customers to compensate their load to achieve </w:t>
      </w:r>
      <w:r w:rsidR="00164D60" w:rsidRPr="004360BF">
        <w:rPr>
          <w:lang w:val="en-AU"/>
        </w:rPr>
        <w:t xml:space="preserve">Network Technical </w:t>
      </w:r>
      <w:r w:rsidRPr="004360BF">
        <w:rPr>
          <w:lang w:val="en-AU"/>
        </w:rPr>
        <w:t>Code compliance.</w:t>
      </w:r>
      <w:r w:rsidR="00CC6CF8" w:rsidRPr="004360BF">
        <w:rPr>
          <w:lang w:val="en-AU"/>
        </w:rPr>
        <w:t xml:space="preserve"> </w:t>
      </w:r>
      <w:r w:rsidRPr="004360BF">
        <w:rPr>
          <w:lang w:val="en-AU"/>
        </w:rPr>
        <w:t>It should be noted that this approach has been successfully deployed by SA Power Networks</w:t>
      </w:r>
      <w:r w:rsidR="00D61985" w:rsidRPr="004360BF">
        <w:rPr>
          <w:lang w:val="en-AU"/>
        </w:rPr>
        <w:t xml:space="preserve"> and will be introduced in 2015/16 by Ergon Energy.</w:t>
      </w:r>
    </w:p>
    <w:p w14:paraId="36564F23" w14:textId="48CC7A38" w:rsidR="00175542" w:rsidRPr="004360BF" w:rsidRDefault="00CE7DC9" w:rsidP="00D61985">
      <w:pPr>
        <w:rPr>
          <w:lang w:val="en-AU"/>
        </w:rPr>
      </w:pPr>
      <w:r w:rsidRPr="004360BF">
        <w:rPr>
          <w:lang w:val="en-AU"/>
        </w:rPr>
        <w:t xml:space="preserve">The implementation of the Excess </w:t>
      </w:r>
      <w:proofErr w:type="spellStart"/>
      <w:r w:rsidRPr="004360BF">
        <w:rPr>
          <w:lang w:val="en-AU"/>
        </w:rPr>
        <w:t>kVAr</w:t>
      </w:r>
      <w:proofErr w:type="spellEnd"/>
      <w:r w:rsidRPr="004360BF">
        <w:rPr>
          <w:lang w:val="en-AU"/>
        </w:rPr>
        <w:t xml:space="preserve"> charge is currently proposed for 201</w:t>
      </w:r>
      <w:r w:rsidR="008A09B6" w:rsidRPr="004360BF">
        <w:rPr>
          <w:lang w:val="en-AU"/>
        </w:rPr>
        <w:t>6</w:t>
      </w:r>
      <w:r w:rsidRPr="004360BF">
        <w:rPr>
          <w:lang w:val="en-AU"/>
        </w:rPr>
        <w:t>/1</w:t>
      </w:r>
      <w:r w:rsidR="008A09B6" w:rsidRPr="004360BF">
        <w:rPr>
          <w:lang w:val="en-AU"/>
        </w:rPr>
        <w:t>7</w:t>
      </w:r>
      <w:r w:rsidRPr="004360BF">
        <w:rPr>
          <w:lang w:val="en-AU"/>
        </w:rPr>
        <w:t xml:space="preserve">, but may be implemented later in the regulatory control period depending on the extent of tariff rebalancing proposed in each year, to ensure compliance with tariff class side constraints. </w:t>
      </w:r>
    </w:p>
    <w:p w14:paraId="2826D512" w14:textId="77777777" w:rsidR="00A47A06" w:rsidRPr="004360BF" w:rsidRDefault="00A47A06" w:rsidP="00B30BF6">
      <w:pPr>
        <w:pStyle w:val="Heading2"/>
      </w:pPr>
      <w:bookmarkStart w:id="295" w:name="_Toc417291254"/>
      <w:bookmarkStart w:id="296" w:name="_Toc417291758"/>
      <w:bookmarkStart w:id="297" w:name="_Toc417292526"/>
      <w:bookmarkStart w:id="298" w:name="_Toc291262246"/>
      <w:bookmarkStart w:id="299" w:name="_Toc417458016"/>
      <w:bookmarkStart w:id="300" w:name="_Toc418608685"/>
      <w:r w:rsidRPr="004360BF">
        <w:t xml:space="preserve">Interval metering and </w:t>
      </w:r>
      <w:r w:rsidR="00B614CC" w:rsidRPr="004360BF">
        <w:t>time of use</w:t>
      </w:r>
      <w:r w:rsidRPr="004360BF">
        <w:t xml:space="preserve"> based tariffs for small customers</w:t>
      </w:r>
      <w:bookmarkEnd w:id="295"/>
      <w:bookmarkEnd w:id="296"/>
      <w:bookmarkEnd w:id="297"/>
      <w:bookmarkEnd w:id="298"/>
      <w:bookmarkEnd w:id="299"/>
      <w:bookmarkEnd w:id="300"/>
    </w:p>
    <w:p w14:paraId="74C8E7D5" w14:textId="77777777" w:rsidR="00A47A06" w:rsidRPr="004360BF" w:rsidRDefault="00A47A06" w:rsidP="001267A6">
      <w:pPr>
        <w:rPr>
          <w:lang w:val="en-AU"/>
        </w:rPr>
      </w:pPr>
      <w:r w:rsidRPr="004360BF">
        <w:rPr>
          <w:lang w:val="en-AU"/>
        </w:rPr>
        <w:t>In other jurisdictions, customers with annual consumption much lower than 750</w:t>
      </w:r>
      <w:r w:rsidR="004C78C6" w:rsidRPr="004360BF">
        <w:rPr>
          <w:lang w:val="en-AU"/>
        </w:rPr>
        <w:t> </w:t>
      </w:r>
      <w:proofErr w:type="spellStart"/>
      <w:r w:rsidRPr="004360BF">
        <w:rPr>
          <w:lang w:val="en-AU"/>
        </w:rPr>
        <w:t>MWh</w:t>
      </w:r>
      <w:proofErr w:type="spellEnd"/>
      <w:r w:rsidRPr="004360BF">
        <w:rPr>
          <w:lang w:val="en-AU"/>
        </w:rPr>
        <w:t xml:space="preserve"> usually have access to a </w:t>
      </w:r>
      <w:r w:rsidR="00B614CC" w:rsidRPr="004360BF">
        <w:rPr>
          <w:lang w:val="en-AU"/>
        </w:rPr>
        <w:t xml:space="preserve">time of use </w:t>
      </w:r>
      <w:r w:rsidRPr="004360BF">
        <w:rPr>
          <w:lang w:val="en-AU"/>
        </w:rPr>
        <w:t>or demand/capacity tariff.</w:t>
      </w:r>
      <w:r w:rsidR="00CC6CF8" w:rsidRPr="004360BF">
        <w:rPr>
          <w:lang w:val="en-AU"/>
        </w:rPr>
        <w:t xml:space="preserve"> </w:t>
      </w:r>
      <w:proofErr w:type="spellStart"/>
      <w:r w:rsidRPr="004360BF">
        <w:rPr>
          <w:lang w:val="en-AU"/>
        </w:rPr>
        <w:t>Ausgrid</w:t>
      </w:r>
      <w:proofErr w:type="spellEnd"/>
      <w:r w:rsidRPr="004360BF">
        <w:rPr>
          <w:lang w:val="en-AU"/>
        </w:rPr>
        <w:t xml:space="preserve"> and some other </w:t>
      </w:r>
      <w:r w:rsidR="00E94C54" w:rsidRPr="004360BF">
        <w:rPr>
          <w:lang w:val="en-AU"/>
        </w:rPr>
        <w:t xml:space="preserve">distribution network service providers offer a time of use </w:t>
      </w:r>
      <w:r w:rsidRPr="004360BF">
        <w:rPr>
          <w:lang w:val="en-AU"/>
        </w:rPr>
        <w:t xml:space="preserve">tariff to all domestic and commercial customers, with no </w:t>
      </w:r>
      <w:r w:rsidR="00A708B7" w:rsidRPr="004360BF">
        <w:rPr>
          <w:lang w:val="en-AU"/>
        </w:rPr>
        <w:t>minimum consumption</w:t>
      </w:r>
      <w:r w:rsidRPr="004360BF">
        <w:rPr>
          <w:lang w:val="en-AU"/>
        </w:rPr>
        <w:t xml:space="preserve"> threshold.</w:t>
      </w:r>
      <w:r w:rsidR="00CC6CF8" w:rsidRPr="004360BF">
        <w:rPr>
          <w:lang w:val="en-AU"/>
        </w:rPr>
        <w:t xml:space="preserve"> </w:t>
      </w:r>
    </w:p>
    <w:p w14:paraId="5A72BD7B" w14:textId="77777777" w:rsidR="007B0895" w:rsidRPr="004360BF" w:rsidRDefault="00A47A06" w:rsidP="001267A6">
      <w:pPr>
        <w:rPr>
          <w:lang w:val="en-AU"/>
        </w:rPr>
      </w:pPr>
      <w:r w:rsidRPr="004360BF">
        <w:rPr>
          <w:lang w:val="en-AU"/>
        </w:rPr>
        <w:t xml:space="preserve">Introducing </w:t>
      </w:r>
      <w:r w:rsidR="007B0895" w:rsidRPr="004360BF">
        <w:rPr>
          <w:lang w:val="en-AU"/>
        </w:rPr>
        <w:t xml:space="preserve">time of use </w:t>
      </w:r>
      <w:r w:rsidRPr="004360BF">
        <w:rPr>
          <w:lang w:val="en-AU"/>
        </w:rPr>
        <w:t>or capacity charges for small customers will require the rollout of interval meters.</w:t>
      </w:r>
      <w:r w:rsidR="00CC6CF8" w:rsidRPr="004360BF">
        <w:rPr>
          <w:lang w:val="en-AU"/>
        </w:rPr>
        <w:t xml:space="preserve"> </w:t>
      </w:r>
    </w:p>
    <w:p w14:paraId="6779A0D1" w14:textId="77777777" w:rsidR="00D61985" w:rsidRPr="004360BF" w:rsidRDefault="007B0895" w:rsidP="00D61985">
      <w:pPr>
        <w:rPr>
          <w:lang w:val="en-AU"/>
        </w:rPr>
      </w:pPr>
      <w:r w:rsidRPr="004360BF">
        <w:rPr>
          <w:lang w:val="en-AU"/>
        </w:rPr>
        <w:t>Over the 2014-19</w:t>
      </w:r>
      <w:r w:rsidR="00E94C54" w:rsidRPr="004360BF">
        <w:rPr>
          <w:lang w:val="en-AU"/>
        </w:rPr>
        <w:t xml:space="preserve"> regulatory control period</w:t>
      </w:r>
      <w:r w:rsidRPr="004360BF">
        <w:rPr>
          <w:lang w:val="en-AU"/>
        </w:rPr>
        <w:t>, Power Networks will progressively rollout interval meters to customers with an ann</w:t>
      </w:r>
      <w:r w:rsidR="004C78C6" w:rsidRPr="004360BF">
        <w:rPr>
          <w:lang w:val="en-AU"/>
        </w:rPr>
        <w:t>ual consumption greater than 40 </w:t>
      </w:r>
      <w:proofErr w:type="spellStart"/>
      <w:r w:rsidRPr="004360BF">
        <w:rPr>
          <w:lang w:val="en-AU"/>
        </w:rPr>
        <w:t>MWh</w:t>
      </w:r>
      <w:proofErr w:type="spellEnd"/>
      <w:r w:rsidRPr="004360BF">
        <w:rPr>
          <w:lang w:val="en-AU"/>
        </w:rPr>
        <w:t xml:space="preserve"> and less than 750 </w:t>
      </w:r>
      <w:proofErr w:type="spellStart"/>
      <w:r w:rsidRPr="004360BF">
        <w:rPr>
          <w:lang w:val="en-AU"/>
        </w:rPr>
        <w:t>MWh</w:t>
      </w:r>
      <w:proofErr w:type="spellEnd"/>
      <w:r w:rsidRPr="004360BF">
        <w:rPr>
          <w:lang w:val="en-AU"/>
        </w:rPr>
        <w:t>. The rollout will be accompanied by the development of a kVA tariff for these customers. Power Networks will also develop a trial for customers with annual consumption in the range of 15 to 40 </w:t>
      </w:r>
      <w:proofErr w:type="spellStart"/>
      <w:r w:rsidRPr="004360BF">
        <w:rPr>
          <w:lang w:val="en-AU"/>
        </w:rPr>
        <w:t>MWh</w:t>
      </w:r>
      <w:proofErr w:type="spellEnd"/>
      <w:r w:rsidRPr="004360BF">
        <w:rPr>
          <w:lang w:val="en-AU"/>
        </w:rPr>
        <w:t xml:space="preserve">, to determine the cost effectiveness of proceeding with a full rollout of interval meters to customers with annual consumption down to 15 </w:t>
      </w:r>
      <w:proofErr w:type="spellStart"/>
      <w:r w:rsidRPr="004360BF">
        <w:rPr>
          <w:lang w:val="en-AU"/>
        </w:rPr>
        <w:t>MWh</w:t>
      </w:r>
      <w:proofErr w:type="spellEnd"/>
      <w:r w:rsidRPr="004360BF">
        <w:rPr>
          <w:lang w:val="en-AU"/>
        </w:rPr>
        <w:t xml:space="preserve"> in the 2019-24 regulatory control </w:t>
      </w:r>
      <w:proofErr w:type="gramStart"/>
      <w:r w:rsidRPr="004360BF">
        <w:rPr>
          <w:lang w:val="en-AU"/>
        </w:rPr>
        <w:t>period</w:t>
      </w:r>
      <w:proofErr w:type="gramEnd"/>
      <w:r w:rsidRPr="004360BF">
        <w:rPr>
          <w:lang w:val="en-AU"/>
        </w:rPr>
        <w:t>.</w:t>
      </w:r>
      <w:bookmarkStart w:id="301" w:name="_Ref240609127"/>
      <w:bookmarkStart w:id="302" w:name="_Ref240613250"/>
      <w:bookmarkStart w:id="303" w:name="_Ref240620635"/>
      <w:bookmarkStart w:id="304" w:name="_Toc417291255"/>
      <w:bookmarkStart w:id="305" w:name="_Toc417291759"/>
      <w:bookmarkStart w:id="306" w:name="_Toc417292527"/>
      <w:bookmarkStart w:id="307" w:name="_Ref238444976"/>
    </w:p>
    <w:p w14:paraId="7EDBEF1F" w14:textId="401B5009" w:rsidR="00175542" w:rsidRPr="004360BF" w:rsidRDefault="00175542" w:rsidP="00B30BF6">
      <w:pPr>
        <w:pStyle w:val="Heading1"/>
      </w:pPr>
      <w:bookmarkStart w:id="308" w:name="_Toc291262247"/>
      <w:bookmarkStart w:id="309" w:name="_Ref291313180"/>
      <w:bookmarkStart w:id="310" w:name="_Ref291313200"/>
      <w:bookmarkStart w:id="311" w:name="_Toc417458017"/>
      <w:bookmarkStart w:id="312" w:name="_Toc418608686"/>
      <w:r w:rsidRPr="004360BF">
        <w:t xml:space="preserve">Tariff </w:t>
      </w:r>
      <w:r w:rsidR="00D66923" w:rsidRPr="004360BF">
        <w:t>C</w:t>
      </w:r>
      <w:r w:rsidRPr="004360BF">
        <w:t xml:space="preserve">harging </w:t>
      </w:r>
      <w:r w:rsidR="00112A4E" w:rsidRPr="004360BF">
        <w:t>Parameters</w:t>
      </w:r>
      <w:bookmarkEnd w:id="301"/>
      <w:bookmarkEnd w:id="302"/>
      <w:bookmarkEnd w:id="303"/>
      <w:r w:rsidR="000D2FE8" w:rsidRPr="004360BF">
        <w:t xml:space="preserve"> – 201</w:t>
      </w:r>
      <w:r w:rsidR="00AE537E" w:rsidRPr="004360BF">
        <w:t>5</w:t>
      </w:r>
      <w:r w:rsidR="000D2FE8" w:rsidRPr="004360BF">
        <w:t>/1</w:t>
      </w:r>
      <w:r w:rsidR="00AE537E" w:rsidRPr="004360BF">
        <w:t>6</w:t>
      </w:r>
      <w:bookmarkEnd w:id="304"/>
      <w:bookmarkEnd w:id="305"/>
      <w:bookmarkEnd w:id="306"/>
      <w:bookmarkEnd w:id="308"/>
      <w:bookmarkEnd w:id="309"/>
      <w:bookmarkEnd w:id="310"/>
      <w:bookmarkEnd w:id="311"/>
      <w:bookmarkEnd w:id="312"/>
      <w:r w:rsidR="000D2FE8" w:rsidRPr="004360BF">
        <w:t xml:space="preserve"> </w:t>
      </w:r>
    </w:p>
    <w:p w14:paraId="5671777D" w14:textId="77777777" w:rsidR="00175542" w:rsidRPr="004360BF" w:rsidRDefault="00175542" w:rsidP="00394304">
      <w:pPr>
        <w:rPr>
          <w:lang w:val="en-AU"/>
        </w:rPr>
      </w:pPr>
      <w:r w:rsidRPr="004360BF">
        <w:rPr>
          <w:lang w:val="en-AU"/>
        </w:rPr>
        <w:t>Power Networks’ existing 201</w:t>
      </w:r>
      <w:r w:rsidR="004F60DE" w:rsidRPr="004360BF">
        <w:rPr>
          <w:lang w:val="en-AU"/>
        </w:rPr>
        <w:t>4</w:t>
      </w:r>
      <w:r w:rsidRPr="004360BF">
        <w:rPr>
          <w:lang w:val="en-AU"/>
        </w:rPr>
        <w:t>/1</w:t>
      </w:r>
      <w:r w:rsidR="004F60DE" w:rsidRPr="004360BF">
        <w:rPr>
          <w:lang w:val="en-AU"/>
        </w:rPr>
        <w:t>5</w:t>
      </w:r>
      <w:r w:rsidRPr="004360BF">
        <w:rPr>
          <w:lang w:val="en-AU"/>
        </w:rPr>
        <w:t xml:space="preserve"> and proposed 201</w:t>
      </w:r>
      <w:r w:rsidR="004F60DE" w:rsidRPr="004360BF">
        <w:rPr>
          <w:lang w:val="en-AU"/>
        </w:rPr>
        <w:t>5</w:t>
      </w:r>
      <w:r w:rsidRPr="004360BF">
        <w:rPr>
          <w:lang w:val="en-AU"/>
        </w:rPr>
        <w:t>/1</w:t>
      </w:r>
      <w:r w:rsidR="004F60DE" w:rsidRPr="004360BF">
        <w:rPr>
          <w:lang w:val="en-AU"/>
        </w:rPr>
        <w:t>6</w:t>
      </w:r>
      <w:r w:rsidRPr="004360BF">
        <w:rPr>
          <w:lang w:val="en-AU"/>
        </w:rPr>
        <w:t xml:space="preserve"> tariffs and their charging </w:t>
      </w:r>
      <w:r w:rsidR="00112A4E" w:rsidRPr="004360BF">
        <w:rPr>
          <w:lang w:val="en-AU"/>
        </w:rPr>
        <w:t>parameters</w:t>
      </w:r>
      <w:r w:rsidR="00527DD8" w:rsidRPr="004360BF">
        <w:rPr>
          <w:lang w:val="en-AU"/>
        </w:rPr>
        <w:t>, and the elements of service to which each charging parameter relates,</w:t>
      </w:r>
      <w:r w:rsidR="00112A4E" w:rsidRPr="004360BF">
        <w:rPr>
          <w:lang w:val="en-AU"/>
        </w:rPr>
        <w:t xml:space="preserve"> </w:t>
      </w:r>
      <w:r w:rsidRPr="004360BF">
        <w:rPr>
          <w:lang w:val="en-AU"/>
        </w:rPr>
        <w:t xml:space="preserve">are described in this </w:t>
      </w:r>
      <w:r w:rsidR="002C7069" w:rsidRPr="004360BF">
        <w:rPr>
          <w:lang w:val="en-AU"/>
        </w:rPr>
        <w:t>chapter</w:t>
      </w:r>
      <w:r w:rsidR="00FB12A0" w:rsidRPr="004360BF">
        <w:rPr>
          <w:lang w:val="en-AU"/>
        </w:rPr>
        <w:t xml:space="preserve">, in accordance with RIN clause 18.1(c). </w:t>
      </w:r>
    </w:p>
    <w:p w14:paraId="5A01E0BB" w14:textId="77777777" w:rsidR="00175542" w:rsidRPr="004360BF" w:rsidRDefault="00175542" w:rsidP="00B30BF6">
      <w:pPr>
        <w:pStyle w:val="Heading2"/>
      </w:pPr>
      <w:bookmarkStart w:id="313" w:name="_Toc417291256"/>
      <w:bookmarkStart w:id="314" w:name="_Toc417291760"/>
      <w:bookmarkStart w:id="315" w:name="_Toc417292528"/>
      <w:bookmarkStart w:id="316" w:name="_Toc291262248"/>
      <w:bookmarkStart w:id="317" w:name="_Toc417458018"/>
      <w:bookmarkStart w:id="318" w:name="_Toc418608687"/>
      <w:r w:rsidRPr="004360BF">
        <w:lastRenderedPageBreak/>
        <w:t>Domestic tariff</w:t>
      </w:r>
      <w:bookmarkEnd w:id="313"/>
      <w:bookmarkEnd w:id="314"/>
      <w:bookmarkEnd w:id="315"/>
      <w:bookmarkEnd w:id="316"/>
      <w:bookmarkEnd w:id="317"/>
      <w:bookmarkEnd w:id="318"/>
    </w:p>
    <w:p w14:paraId="15175C79" w14:textId="541DF1B3" w:rsidR="00175542" w:rsidRPr="004360BF" w:rsidRDefault="00175542" w:rsidP="00D61985">
      <w:pPr>
        <w:keepNext/>
        <w:rPr>
          <w:lang w:val="en-AU"/>
        </w:rPr>
      </w:pPr>
      <w:r w:rsidRPr="004360BF">
        <w:rPr>
          <w:lang w:val="en-AU"/>
        </w:rPr>
        <w:t xml:space="preserve">The charging </w:t>
      </w:r>
      <w:r w:rsidR="00511086" w:rsidRPr="004360BF">
        <w:rPr>
          <w:lang w:val="en-AU"/>
        </w:rPr>
        <w:t>parameters</w:t>
      </w:r>
      <w:r w:rsidRPr="004360BF">
        <w:rPr>
          <w:lang w:val="en-AU"/>
        </w:rPr>
        <w:t xml:space="preserve"> for the domestic tariff are shown in </w:t>
      </w:r>
      <w:r w:rsidR="00CC1083" w:rsidRPr="004360BF">
        <w:rPr>
          <w:lang w:val="en-AU"/>
        </w:rPr>
        <w:fldChar w:fldCharType="begin"/>
      </w:r>
      <w:r w:rsidR="00CC1083" w:rsidRPr="004360BF">
        <w:rPr>
          <w:lang w:val="en-AU"/>
        </w:rPr>
        <w:instrText xml:space="preserve"> REF _Ref238436272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6</w:t>
      </w:r>
      <w:r w:rsidR="00CC1083" w:rsidRPr="004360BF">
        <w:rPr>
          <w:lang w:val="en-AU"/>
        </w:rPr>
        <w:fldChar w:fldCharType="end"/>
      </w:r>
      <w:r w:rsidRPr="004360BF">
        <w:rPr>
          <w:lang w:val="en-AU"/>
        </w:rPr>
        <w:t>.</w:t>
      </w:r>
    </w:p>
    <w:p w14:paraId="3C434F12" w14:textId="77777777" w:rsidR="00175542" w:rsidRPr="004360BF" w:rsidRDefault="00175542" w:rsidP="00F02BB8">
      <w:pPr>
        <w:pStyle w:val="Caption"/>
        <w:rPr>
          <w:lang w:val="en-AU"/>
        </w:rPr>
      </w:pPr>
      <w:bookmarkStart w:id="319" w:name="_Ref238436272"/>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6</w:t>
      </w:r>
      <w:r w:rsidR="00517DD9" w:rsidRPr="004360BF">
        <w:rPr>
          <w:lang w:val="en-AU"/>
        </w:rPr>
        <w:fldChar w:fldCharType="end"/>
      </w:r>
      <w:bookmarkEnd w:id="319"/>
      <w:r w:rsidRPr="004360BF">
        <w:rPr>
          <w:lang w:val="en-AU"/>
        </w:rPr>
        <w:t xml:space="preserve"> - Domestic tariff charging </w:t>
      </w:r>
      <w:r w:rsidR="00112A4E" w:rsidRPr="004360BF">
        <w:rPr>
          <w:lang w:val="en-AU"/>
        </w:rPr>
        <w:t>parameters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2986"/>
        <w:gridCol w:w="3656"/>
      </w:tblGrid>
      <w:tr w:rsidR="004F60DE" w:rsidRPr="004360BF" w14:paraId="095A3FC0" w14:textId="77777777" w:rsidTr="0092275D">
        <w:trPr>
          <w:trHeight w:val="339"/>
          <w:jc w:val="center"/>
        </w:trPr>
        <w:tc>
          <w:tcPr>
            <w:tcW w:w="2986" w:type="dxa"/>
            <w:vMerge w:val="restart"/>
            <w:tcBorders>
              <w:top w:val="single" w:sz="4" w:space="0" w:color="auto"/>
              <w:left w:val="single" w:sz="4" w:space="0" w:color="auto"/>
              <w:bottom w:val="nil"/>
              <w:right w:val="single" w:sz="4" w:space="0" w:color="auto"/>
            </w:tcBorders>
            <w:shd w:val="solid" w:color="C6D9F1" w:fill="auto"/>
          </w:tcPr>
          <w:p w14:paraId="7D3D3975" w14:textId="77777777" w:rsidR="004F60DE" w:rsidRPr="004360BF" w:rsidRDefault="004F60DE" w:rsidP="00CC6815">
            <w:pPr>
              <w:keepNext/>
              <w:spacing w:before="40" w:after="40"/>
              <w:rPr>
                <w:b/>
                <w:sz w:val="22"/>
                <w:szCs w:val="22"/>
                <w:lang w:val="en-AU"/>
              </w:rPr>
            </w:pPr>
            <w:r w:rsidRPr="004360BF">
              <w:rPr>
                <w:b/>
                <w:sz w:val="22"/>
                <w:szCs w:val="22"/>
                <w:lang w:val="en-AU"/>
              </w:rPr>
              <w:t>Charging Parameter</w:t>
            </w:r>
          </w:p>
        </w:tc>
        <w:tc>
          <w:tcPr>
            <w:tcW w:w="3656" w:type="dxa"/>
            <w:tcBorders>
              <w:top w:val="single" w:sz="4" w:space="0" w:color="auto"/>
              <w:left w:val="single" w:sz="4" w:space="0" w:color="auto"/>
              <w:bottom w:val="single" w:sz="4" w:space="0" w:color="auto"/>
              <w:right w:val="single" w:sz="4" w:space="0" w:color="auto"/>
            </w:tcBorders>
            <w:shd w:val="solid" w:color="C6D9F1" w:fill="auto"/>
          </w:tcPr>
          <w:p w14:paraId="30D22821" w14:textId="77777777" w:rsidR="004F60DE" w:rsidRPr="004360BF" w:rsidRDefault="004F60DE" w:rsidP="00CC6815">
            <w:pPr>
              <w:keepNext/>
              <w:spacing w:before="40" w:after="40"/>
              <w:jc w:val="center"/>
              <w:rPr>
                <w:b/>
                <w:sz w:val="22"/>
                <w:szCs w:val="22"/>
                <w:lang w:val="en-AU"/>
              </w:rPr>
            </w:pPr>
            <w:r w:rsidRPr="004360BF">
              <w:rPr>
                <w:b/>
                <w:sz w:val="22"/>
                <w:szCs w:val="22"/>
                <w:lang w:val="en-AU"/>
              </w:rPr>
              <w:t>Tariff</w:t>
            </w:r>
          </w:p>
        </w:tc>
      </w:tr>
      <w:tr w:rsidR="00181645" w:rsidRPr="004360BF" w14:paraId="2A468867" w14:textId="77777777" w:rsidTr="0092275D">
        <w:trPr>
          <w:trHeight w:val="146"/>
          <w:jc w:val="center"/>
        </w:trPr>
        <w:tc>
          <w:tcPr>
            <w:tcW w:w="2986" w:type="dxa"/>
            <w:vMerge/>
            <w:tcBorders>
              <w:top w:val="nil"/>
              <w:left w:val="single" w:sz="4" w:space="0" w:color="auto"/>
              <w:bottom w:val="single" w:sz="4" w:space="0" w:color="auto"/>
              <w:right w:val="single" w:sz="4" w:space="0" w:color="auto"/>
            </w:tcBorders>
            <w:shd w:val="solid" w:color="C6D9F1" w:fill="auto"/>
          </w:tcPr>
          <w:p w14:paraId="664C6058" w14:textId="77777777" w:rsidR="00181645" w:rsidRPr="004360BF" w:rsidRDefault="00181645" w:rsidP="00CC6815">
            <w:pPr>
              <w:keepNext/>
              <w:spacing w:before="40" w:after="40"/>
              <w:rPr>
                <w:b/>
                <w:sz w:val="22"/>
                <w:szCs w:val="22"/>
                <w:lang w:val="en-AU"/>
              </w:rPr>
            </w:pPr>
          </w:p>
        </w:tc>
        <w:tc>
          <w:tcPr>
            <w:tcW w:w="3656" w:type="dxa"/>
            <w:tcBorders>
              <w:top w:val="nil"/>
              <w:bottom w:val="single" w:sz="4" w:space="0" w:color="auto"/>
            </w:tcBorders>
            <w:shd w:val="clear" w:color="auto" w:fill="C6D9F1"/>
          </w:tcPr>
          <w:p w14:paraId="1B1907A2" w14:textId="77777777" w:rsidR="00181645" w:rsidRPr="004360BF" w:rsidRDefault="00181645" w:rsidP="00CC6815">
            <w:pPr>
              <w:spacing w:before="40" w:after="40"/>
              <w:jc w:val="center"/>
              <w:rPr>
                <w:lang w:val="en-AU"/>
              </w:rPr>
            </w:pPr>
            <w:r w:rsidRPr="004360BF">
              <w:rPr>
                <w:b/>
                <w:sz w:val="22"/>
                <w:szCs w:val="22"/>
                <w:lang w:val="en-AU"/>
              </w:rPr>
              <w:t xml:space="preserve">Domestic </w:t>
            </w:r>
            <w:r w:rsidRPr="004360BF">
              <w:rPr>
                <w:b/>
                <w:sz w:val="22"/>
                <w:szCs w:val="22"/>
                <w:lang w:val="en-AU"/>
              </w:rPr>
              <w:br/>
              <w:t xml:space="preserve"> 2015/16</w:t>
            </w:r>
          </w:p>
        </w:tc>
      </w:tr>
      <w:tr w:rsidR="00181645" w:rsidRPr="004360BF" w14:paraId="1D2C4EB5" w14:textId="77777777" w:rsidTr="0092275D">
        <w:trPr>
          <w:trHeight w:val="547"/>
          <w:jc w:val="center"/>
        </w:trPr>
        <w:tc>
          <w:tcPr>
            <w:tcW w:w="2986" w:type="dxa"/>
            <w:tcBorders>
              <w:top w:val="single" w:sz="4" w:space="0" w:color="auto"/>
              <w:left w:val="single" w:sz="4" w:space="0" w:color="auto"/>
              <w:right w:val="single" w:sz="4" w:space="0" w:color="auto"/>
            </w:tcBorders>
            <w:vAlign w:val="center"/>
          </w:tcPr>
          <w:p w14:paraId="6EEB93E2" w14:textId="77777777" w:rsidR="00181645" w:rsidRPr="004360BF" w:rsidRDefault="00181645" w:rsidP="00CC6815">
            <w:pPr>
              <w:keepNext/>
              <w:spacing w:before="40" w:after="40"/>
              <w:rPr>
                <w:sz w:val="22"/>
                <w:szCs w:val="22"/>
                <w:lang w:val="en-AU"/>
              </w:rPr>
            </w:pPr>
            <w:r w:rsidRPr="004360BF">
              <w:rPr>
                <w:sz w:val="22"/>
                <w:szCs w:val="22"/>
                <w:lang w:val="en-AU"/>
              </w:rPr>
              <w:t>System Availability Charge</w:t>
            </w:r>
          </w:p>
        </w:tc>
        <w:tc>
          <w:tcPr>
            <w:tcW w:w="3656" w:type="dxa"/>
            <w:tcBorders>
              <w:top w:val="single" w:sz="4" w:space="0" w:color="auto"/>
              <w:bottom w:val="single" w:sz="4" w:space="0" w:color="auto"/>
            </w:tcBorders>
            <w:vAlign w:val="center"/>
          </w:tcPr>
          <w:p w14:paraId="5E953558" w14:textId="04228070" w:rsidR="00181645" w:rsidRPr="004360BF" w:rsidRDefault="00CC6815" w:rsidP="00CC6815">
            <w:pPr>
              <w:spacing w:before="40" w:after="40"/>
              <w:jc w:val="center"/>
              <w:rPr>
                <w:lang w:val="en-AU"/>
              </w:rPr>
            </w:pPr>
            <w:r w:rsidRPr="004360BF">
              <w:rPr>
                <w:rFonts w:cs="Tahoma"/>
                <w:sz w:val="22"/>
                <w:szCs w:val="22"/>
                <w:lang w:val="en-AU"/>
              </w:rPr>
              <w:t>¢/day</w:t>
            </w:r>
          </w:p>
        </w:tc>
      </w:tr>
      <w:tr w:rsidR="00181645" w:rsidRPr="004360BF" w14:paraId="0A99B431" w14:textId="77777777" w:rsidTr="0092275D">
        <w:trPr>
          <w:trHeight w:val="356"/>
          <w:jc w:val="center"/>
        </w:trPr>
        <w:tc>
          <w:tcPr>
            <w:tcW w:w="2986" w:type="dxa"/>
            <w:vMerge w:val="restart"/>
            <w:tcBorders>
              <w:top w:val="single" w:sz="4" w:space="0" w:color="auto"/>
              <w:left w:val="single" w:sz="4" w:space="0" w:color="auto"/>
              <w:right w:val="single" w:sz="4" w:space="0" w:color="auto"/>
            </w:tcBorders>
            <w:vAlign w:val="center"/>
          </w:tcPr>
          <w:p w14:paraId="47D43225" w14:textId="77777777" w:rsidR="00181645" w:rsidRPr="004360BF" w:rsidRDefault="00181645" w:rsidP="00CC6815">
            <w:pPr>
              <w:keepNext/>
              <w:spacing w:before="40" w:after="40"/>
              <w:rPr>
                <w:sz w:val="22"/>
                <w:szCs w:val="22"/>
                <w:lang w:val="en-AU"/>
              </w:rPr>
            </w:pPr>
            <w:r w:rsidRPr="004360BF">
              <w:rPr>
                <w:sz w:val="22"/>
                <w:szCs w:val="22"/>
                <w:lang w:val="en-AU"/>
              </w:rPr>
              <w:t>Energy ¢/kWh</w:t>
            </w:r>
          </w:p>
        </w:tc>
        <w:tc>
          <w:tcPr>
            <w:tcW w:w="3656" w:type="dxa"/>
            <w:tcBorders>
              <w:top w:val="single" w:sz="4" w:space="0" w:color="auto"/>
              <w:bottom w:val="single" w:sz="4" w:space="0" w:color="auto"/>
            </w:tcBorders>
            <w:vAlign w:val="center"/>
          </w:tcPr>
          <w:p w14:paraId="32949EB8" w14:textId="6828469A" w:rsidR="00181645" w:rsidRPr="004360BF" w:rsidRDefault="00181645" w:rsidP="00CC6815">
            <w:pPr>
              <w:spacing w:before="40" w:after="40"/>
              <w:jc w:val="center"/>
              <w:rPr>
                <w:lang w:val="en-AU"/>
              </w:rPr>
            </w:pPr>
            <w:r w:rsidRPr="004360BF">
              <w:rPr>
                <w:rFonts w:cs="Tahoma"/>
                <w:sz w:val="22"/>
                <w:szCs w:val="22"/>
                <w:lang w:val="en-AU"/>
              </w:rPr>
              <w:t>≤</w:t>
            </w:r>
            <w:r w:rsidRPr="004360BF">
              <w:rPr>
                <w:sz w:val="22"/>
                <w:szCs w:val="22"/>
                <w:lang w:val="en-AU"/>
              </w:rPr>
              <w:t xml:space="preserve"> 500 kWh per month</w:t>
            </w:r>
          </w:p>
        </w:tc>
      </w:tr>
      <w:tr w:rsidR="00181645" w:rsidRPr="004360BF" w14:paraId="53B08E7E" w14:textId="77777777" w:rsidTr="0092275D">
        <w:trPr>
          <w:trHeight w:val="146"/>
          <w:jc w:val="center"/>
        </w:trPr>
        <w:tc>
          <w:tcPr>
            <w:tcW w:w="2986" w:type="dxa"/>
            <w:vMerge/>
            <w:tcBorders>
              <w:left w:val="single" w:sz="4" w:space="0" w:color="auto"/>
              <w:right w:val="single" w:sz="4" w:space="0" w:color="auto"/>
            </w:tcBorders>
            <w:vAlign w:val="center"/>
          </w:tcPr>
          <w:p w14:paraId="45A269E2" w14:textId="77777777" w:rsidR="00181645" w:rsidRPr="004360BF" w:rsidRDefault="00181645" w:rsidP="00CC6815">
            <w:pPr>
              <w:keepNext/>
              <w:spacing w:before="40" w:after="40"/>
              <w:rPr>
                <w:sz w:val="22"/>
                <w:szCs w:val="22"/>
                <w:lang w:val="en-AU"/>
              </w:rPr>
            </w:pPr>
          </w:p>
        </w:tc>
        <w:tc>
          <w:tcPr>
            <w:tcW w:w="3656" w:type="dxa"/>
            <w:tcBorders>
              <w:top w:val="single" w:sz="4" w:space="0" w:color="auto"/>
              <w:bottom w:val="single" w:sz="4" w:space="0" w:color="auto"/>
            </w:tcBorders>
            <w:vAlign w:val="center"/>
          </w:tcPr>
          <w:p w14:paraId="02C4D1C8" w14:textId="77777777" w:rsidR="00181645" w:rsidRPr="004360BF" w:rsidRDefault="00181645" w:rsidP="00CC6815">
            <w:pPr>
              <w:spacing w:before="40" w:after="40"/>
              <w:jc w:val="center"/>
              <w:rPr>
                <w:lang w:val="en-AU"/>
              </w:rPr>
            </w:pPr>
            <w:r w:rsidRPr="004360BF">
              <w:rPr>
                <w:sz w:val="22"/>
                <w:szCs w:val="22"/>
                <w:lang w:val="en-AU"/>
              </w:rPr>
              <w:t xml:space="preserve">&gt;500 and </w:t>
            </w:r>
            <w:r w:rsidRPr="004360BF">
              <w:rPr>
                <w:rFonts w:cs="Tahoma"/>
                <w:sz w:val="22"/>
                <w:szCs w:val="22"/>
                <w:lang w:val="en-AU"/>
              </w:rPr>
              <w:t>≤1,000</w:t>
            </w:r>
            <w:r w:rsidRPr="004360BF">
              <w:rPr>
                <w:sz w:val="22"/>
                <w:szCs w:val="22"/>
                <w:lang w:val="en-AU"/>
              </w:rPr>
              <w:t> kWh per month</w:t>
            </w:r>
          </w:p>
        </w:tc>
      </w:tr>
      <w:tr w:rsidR="00181645" w:rsidRPr="004360BF" w14:paraId="6E66C4C4" w14:textId="77777777" w:rsidTr="0092275D">
        <w:trPr>
          <w:trHeight w:val="146"/>
          <w:jc w:val="center"/>
        </w:trPr>
        <w:tc>
          <w:tcPr>
            <w:tcW w:w="2986" w:type="dxa"/>
            <w:vMerge/>
            <w:tcBorders>
              <w:left w:val="single" w:sz="4" w:space="0" w:color="auto"/>
              <w:bottom w:val="single" w:sz="4" w:space="0" w:color="auto"/>
              <w:right w:val="single" w:sz="4" w:space="0" w:color="auto"/>
            </w:tcBorders>
            <w:vAlign w:val="center"/>
          </w:tcPr>
          <w:p w14:paraId="37575164" w14:textId="77777777" w:rsidR="00181645" w:rsidRPr="004360BF" w:rsidRDefault="00181645" w:rsidP="00CC6815">
            <w:pPr>
              <w:keepNext/>
              <w:spacing w:before="40" w:after="40"/>
              <w:rPr>
                <w:sz w:val="22"/>
                <w:szCs w:val="22"/>
                <w:lang w:val="en-AU"/>
              </w:rPr>
            </w:pPr>
          </w:p>
        </w:tc>
        <w:tc>
          <w:tcPr>
            <w:tcW w:w="3656" w:type="dxa"/>
            <w:tcBorders>
              <w:top w:val="single" w:sz="4" w:space="0" w:color="auto"/>
              <w:bottom w:val="single" w:sz="4" w:space="0" w:color="auto"/>
            </w:tcBorders>
            <w:vAlign w:val="center"/>
          </w:tcPr>
          <w:p w14:paraId="2BDA3D19" w14:textId="77777777" w:rsidR="00181645" w:rsidRPr="004360BF" w:rsidRDefault="00181645" w:rsidP="00CC6815">
            <w:pPr>
              <w:spacing w:before="40" w:after="40"/>
              <w:jc w:val="center"/>
              <w:rPr>
                <w:lang w:val="en-AU"/>
              </w:rPr>
            </w:pPr>
            <w:r w:rsidRPr="004360BF">
              <w:rPr>
                <w:sz w:val="22"/>
                <w:szCs w:val="22"/>
                <w:lang w:val="en-AU"/>
              </w:rPr>
              <w:t>&gt;1,000 kWh per month</w:t>
            </w:r>
          </w:p>
        </w:tc>
      </w:tr>
    </w:tbl>
    <w:p w14:paraId="7797877D" w14:textId="77777777" w:rsidR="00175542" w:rsidRPr="004360BF" w:rsidRDefault="00175542" w:rsidP="00D61985">
      <w:pPr>
        <w:spacing w:after="0"/>
        <w:rPr>
          <w:lang w:val="en-AU"/>
        </w:rPr>
      </w:pPr>
    </w:p>
    <w:p w14:paraId="0B35C305" w14:textId="77777777" w:rsidR="00175542" w:rsidRPr="004360BF" w:rsidRDefault="009E53EB" w:rsidP="000E2C3A">
      <w:pPr>
        <w:rPr>
          <w:lang w:val="en-AU"/>
        </w:rPr>
      </w:pPr>
      <w:r w:rsidRPr="004360BF">
        <w:rPr>
          <w:lang w:val="en-AU"/>
        </w:rPr>
        <w:t>A</w:t>
      </w:r>
      <w:r w:rsidR="00175542" w:rsidRPr="004360BF">
        <w:rPr>
          <w:lang w:val="en-AU"/>
        </w:rPr>
        <w:t xml:space="preserve">n additional consumption block step and threshold </w:t>
      </w:r>
      <w:r w:rsidR="004F60DE" w:rsidRPr="004360BF">
        <w:rPr>
          <w:lang w:val="en-AU"/>
        </w:rPr>
        <w:t>was introduced in</w:t>
      </w:r>
      <w:r w:rsidR="00175542" w:rsidRPr="004360BF">
        <w:rPr>
          <w:lang w:val="en-AU"/>
        </w:rPr>
        <w:t xml:space="preserve"> 2014/15</w:t>
      </w:r>
      <w:r w:rsidR="004F60DE" w:rsidRPr="004360BF">
        <w:rPr>
          <w:lang w:val="en-AU"/>
        </w:rPr>
        <w:t xml:space="preserve"> and has been maintained in the 2015/16 year</w:t>
      </w:r>
      <w:r w:rsidRPr="004360BF">
        <w:rPr>
          <w:lang w:val="en-AU"/>
        </w:rPr>
        <w:t xml:space="preserve"> to facilitate the possible implementation of an inclining block tariff</w:t>
      </w:r>
      <w:r w:rsidR="004F60DE" w:rsidRPr="004360BF">
        <w:rPr>
          <w:lang w:val="en-AU"/>
        </w:rPr>
        <w:t xml:space="preserve">. </w:t>
      </w:r>
    </w:p>
    <w:p w14:paraId="28874CFE" w14:textId="231A57DB" w:rsidR="00E21C69" w:rsidRPr="004360BF" w:rsidRDefault="00E21C69" w:rsidP="000E2C3A">
      <w:pPr>
        <w:rPr>
          <w:lang w:val="en-AU"/>
        </w:rPr>
      </w:pPr>
      <w:r w:rsidRPr="004360BF">
        <w:rPr>
          <w:lang w:val="en-AU"/>
        </w:rPr>
        <w:t>The price signalling provided by energy</w:t>
      </w:r>
      <w:r w:rsidR="003127E5" w:rsidRPr="004360BF">
        <w:rPr>
          <w:lang w:val="en-AU"/>
        </w:rPr>
        <w:t xml:space="preserve"> </w:t>
      </w:r>
      <w:r w:rsidRPr="004360BF">
        <w:rPr>
          <w:lang w:val="en-AU"/>
        </w:rPr>
        <w:t>based tariff</w:t>
      </w:r>
      <w:r w:rsidR="003127E5" w:rsidRPr="004360BF">
        <w:rPr>
          <w:lang w:val="en-AU"/>
        </w:rPr>
        <w:t xml:space="preserve"> charging parameter</w:t>
      </w:r>
      <w:r w:rsidRPr="004360BF">
        <w:rPr>
          <w:lang w:val="en-AU"/>
        </w:rPr>
        <w:t>s has a relatively poor correspondence with the customers’ demand on the network.  Nonetheless, the energy based charge would ideally recover the LRMC of su</w:t>
      </w:r>
      <w:r w:rsidR="00D84332" w:rsidRPr="004360BF">
        <w:rPr>
          <w:lang w:val="en-AU"/>
        </w:rPr>
        <w:t>pply and the residual (revenue less</w:t>
      </w:r>
      <w:r w:rsidRPr="004360BF">
        <w:rPr>
          <w:lang w:val="en-AU"/>
        </w:rPr>
        <w:t xml:space="preserve"> LRMC) would be recovered in the least distortionary means (</w:t>
      </w:r>
      <w:r w:rsidR="003127E5" w:rsidRPr="004360BF">
        <w:rPr>
          <w:lang w:val="en-AU"/>
        </w:rPr>
        <w:t>i.e.</w:t>
      </w:r>
      <w:r w:rsidRPr="004360BF">
        <w:rPr>
          <w:lang w:val="en-AU"/>
        </w:rPr>
        <w:t xml:space="preserve"> through the fixed charge).</w:t>
      </w:r>
    </w:p>
    <w:p w14:paraId="69A16C43" w14:textId="77777777" w:rsidR="00E21C69" w:rsidRPr="004360BF" w:rsidRDefault="00E21C69" w:rsidP="000E2C3A">
      <w:pPr>
        <w:rPr>
          <w:lang w:val="en-AU"/>
        </w:rPr>
      </w:pPr>
      <w:r w:rsidRPr="004360BF">
        <w:rPr>
          <w:lang w:val="en-AU"/>
        </w:rPr>
        <w:t>As a minimum, the System Availability Charge would recover the fixed costs of supply (</w:t>
      </w:r>
      <w:proofErr w:type="spellStart"/>
      <w:r w:rsidRPr="004360BF">
        <w:rPr>
          <w:lang w:val="en-AU"/>
        </w:rPr>
        <w:t>eg</w:t>
      </w:r>
      <w:proofErr w:type="spellEnd"/>
      <w:r w:rsidRPr="004360BF">
        <w:rPr>
          <w:lang w:val="en-AU"/>
        </w:rPr>
        <w:t xml:space="preserve">. metering and the </w:t>
      </w:r>
      <w:r w:rsidR="003127E5" w:rsidRPr="004360BF">
        <w:rPr>
          <w:lang w:val="en-AU"/>
        </w:rPr>
        <w:t>l</w:t>
      </w:r>
      <w:r w:rsidRPr="004360BF">
        <w:rPr>
          <w:lang w:val="en-AU"/>
        </w:rPr>
        <w:t xml:space="preserve">ow </w:t>
      </w:r>
      <w:r w:rsidR="003127E5" w:rsidRPr="004360BF">
        <w:rPr>
          <w:lang w:val="en-AU"/>
        </w:rPr>
        <w:t>v</w:t>
      </w:r>
      <w:r w:rsidRPr="004360BF">
        <w:rPr>
          <w:lang w:val="en-AU"/>
        </w:rPr>
        <w:t>oltage network).  However, it under recovers even that amount and the balance of costs is recovered through the energy charge.</w:t>
      </w:r>
    </w:p>
    <w:p w14:paraId="70C324D2" w14:textId="7FA94582" w:rsidR="00E21C69" w:rsidRPr="004360BF" w:rsidRDefault="00E21C69" w:rsidP="000E2C3A">
      <w:pPr>
        <w:rPr>
          <w:lang w:val="en-AU"/>
        </w:rPr>
      </w:pPr>
      <w:r w:rsidRPr="004360BF">
        <w:rPr>
          <w:lang w:val="en-AU"/>
        </w:rPr>
        <w:t>Because of the</w:t>
      </w:r>
      <w:r w:rsidR="006261A1" w:rsidRPr="004360BF">
        <w:rPr>
          <w:lang w:val="en-AU"/>
        </w:rPr>
        <w:t xml:space="preserve"> potential</w:t>
      </w:r>
      <w:r w:rsidRPr="004360BF">
        <w:rPr>
          <w:lang w:val="en-AU"/>
        </w:rPr>
        <w:t xml:space="preserve"> impact on low consumption domestic customers, Power Networks </w:t>
      </w:r>
      <w:r w:rsidR="00904125" w:rsidRPr="004360BF">
        <w:rPr>
          <w:lang w:val="en-AU"/>
        </w:rPr>
        <w:t>is cognisant of the consequence of increasing</w:t>
      </w:r>
      <w:r w:rsidRPr="004360BF">
        <w:rPr>
          <w:lang w:val="en-AU"/>
        </w:rPr>
        <w:t xml:space="preserve"> the proportion of the network charge recovered through the fixed </w:t>
      </w:r>
      <w:r w:rsidR="00112A4E" w:rsidRPr="004360BF">
        <w:rPr>
          <w:lang w:val="en-AU"/>
        </w:rPr>
        <w:t>charging parameter</w:t>
      </w:r>
      <w:r w:rsidRPr="004360BF">
        <w:rPr>
          <w:lang w:val="en-AU"/>
        </w:rPr>
        <w:t xml:space="preserve">. However, the </w:t>
      </w:r>
      <w:r w:rsidR="006261A1" w:rsidRPr="004360BF">
        <w:rPr>
          <w:lang w:val="en-AU"/>
        </w:rPr>
        <w:t>move towards a flat and</w:t>
      </w:r>
      <w:r w:rsidRPr="004360BF">
        <w:rPr>
          <w:lang w:val="en-AU"/>
        </w:rPr>
        <w:t xml:space="preserve"> </w:t>
      </w:r>
      <w:r w:rsidR="003127E5" w:rsidRPr="004360BF">
        <w:rPr>
          <w:lang w:val="en-AU"/>
        </w:rPr>
        <w:t>i</w:t>
      </w:r>
      <w:r w:rsidRPr="004360BF">
        <w:rPr>
          <w:lang w:val="en-AU"/>
        </w:rPr>
        <w:t xml:space="preserve">nclining </w:t>
      </w:r>
      <w:r w:rsidR="003127E5" w:rsidRPr="004360BF">
        <w:rPr>
          <w:lang w:val="en-AU"/>
        </w:rPr>
        <w:t>b</w:t>
      </w:r>
      <w:r w:rsidRPr="004360BF">
        <w:rPr>
          <w:lang w:val="en-AU"/>
        </w:rPr>
        <w:t xml:space="preserve">lock </w:t>
      </w:r>
      <w:r w:rsidR="003127E5" w:rsidRPr="004360BF">
        <w:rPr>
          <w:lang w:val="en-AU"/>
        </w:rPr>
        <w:t>structure</w:t>
      </w:r>
      <w:r w:rsidRPr="004360BF">
        <w:rPr>
          <w:lang w:val="en-AU"/>
        </w:rPr>
        <w:t xml:space="preserve"> will </w:t>
      </w:r>
      <w:r w:rsidR="006261A1" w:rsidRPr="004360BF">
        <w:rPr>
          <w:lang w:val="en-AU"/>
        </w:rPr>
        <w:t xml:space="preserve">reduce prices in relative terms for small customers and </w:t>
      </w:r>
      <w:r w:rsidRPr="004360BF">
        <w:rPr>
          <w:lang w:val="en-AU"/>
        </w:rPr>
        <w:t>improve the cost reflectivity of the marginal consumption for larger customers.</w:t>
      </w:r>
    </w:p>
    <w:p w14:paraId="09688E5E" w14:textId="77777777" w:rsidR="00175542" w:rsidRPr="004360BF" w:rsidRDefault="00FB12A0" w:rsidP="00B30BF6">
      <w:pPr>
        <w:pStyle w:val="Heading2"/>
      </w:pPr>
      <w:bookmarkStart w:id="320" w:name="_Toc417291257"/>
      <w:bookmarkStart w:id="321" w:name="_Toc417291761"/>
      <w:bookmarkStart w:id="322" w:name="_Toc417292529"/>
      <w:bookmarkStart w:id="323" w:name="_Toc291262249"/>
      <w:bookmarkStart w:id="324" w:name="_Toc417458019"/>
      <w:bookmarkStart w:id="325" w:name="_Toc418608688"/>
      <w:r w:rsidRPr="004360BF">
        <w:lastRenderedPageBreak/>
        <w:t xml:space="preserve">&lt;750 </w:t>
      </w:r>
      <w:proofErr w:type="spellStart"/>
      <w:r w:rsidRPr="004360BF">
        <w:t>MWh</w:t>
      </w:r>
      <w:proofErr w:type="spellEnd"/>
      <w:r w:rsidRPr="004360BF">
        <w:t xml:space="preserve"> pa </w:t>
      </w:r>
      <w:r w:rsidR="00175542" w:rsidRPr="004360BF">
        <w:t>Commercial tariff</w:t>
      </w:r>
      <w:bookmarkEnd w:id="320"/>
      <w:bookmarkEnd w:id="321"/>
      <w:bookmarkEnd w:id="322"/>
      <w:bookmarkEnd w:id="323"/>
      <w:bookmarkEnd w:id="324"/>
      <w:bookmarkEnd w:id="325"/>
    </w:p>
    <w:p w14:paraId="0B2A6C37" w14:textId="5329D8D3" w:rsidR="00175542" w:rsidRPr="004360BF" w:rsidRDefault="00175542" w:rsidP="003423BB">
      <w:pPr>
        <w:keepNext/>
        <w:keepLines/>
        <w:rPr>
          <w:lang w:val="en-AU"/>
        </w:rPr>
      </w:pPr>
      <w:r w:rsidRPr="004360BF">
        <w:rPr>
          <w:lang w:val="en-AU"/>
        </w:rPr>
        <w:t xml:space="preserve">The charging </w:t>
      </w:r>
      <w:r w:rsidR="00112A4E" w:rsidRPr="004360BF">
        <w:rPr>
          <w:lang w:val="en-AU"/>
        </w:rPr>
        <w:t xml:space="preserve">parameters </w:t>
      </w:r>
      <w:r w:rsidRPr="004360BF">
        <w:rPr>
          <w:lang w:val="en-AU"/>
        </w:rPr>
        <w:t xml:space="preserve">for the </w:t>
      </w:r>
      <w:r w:rsidR="000D2FE8" w:rsidRPr="004360BF">
        <w:rPr>
          <w:lang w:val="en-AU"/>
        </w:rPr>
        <w:t xml:space="preserve">&lt;750 </w:t>
      </w:r>
      <w:proofErr w:type="spellStart"/>
      <w:r w:rsidR="000D2FE8" w:rsidRPr="004360BF">
        <w:rPr>
          <w:lang w:val="en-AU"/>
        </w:rPr>
        <w:t>MWh</w:t>
      </w:r>
      <w:proofErr w:type="spellEnd"/>
      <w:r w:rsidR="000D2FE8" w:rsidRPr="004360BF">
        <w:rPr>
          <w:lang w:val="en-AU"/>
        </w:rPr>
        <w:t xml:space="preserve"> per annum </w:t>
      </w:r>
      <w:r w:rsidRPr="004360BF">
        <w:rPr>
          <w:lang w:val="en-AU"/>
        </w:rPr>
        <w:t xml:space="preserve">Commercial tariff are shown in </w:t>
      </w:r>
      <w:r w:rsidR="00CC1083" w:rsidRPr="004360BF">
        <w:rPr>
          <w:lang w:val="en-AU"/>
        </w:rPr>
        <w:fldChar w:fldCharType="begin"/>
      </w:r>
      <w:r w:rsidR="00CC1083" w:rsidRPr="004360BF">
        <w:rPr>
          <w:lang w:val="en-AU"/>
        </w:rPr>
        <w:instrText xml:space="preserve"> REF _Ref238436881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7</w:t>
      </w:r>
      <w:r w:rsidR="00CC1083" w:rsidRPr="004360BF">
        <w:rPr>
          <w:lang w:val="en-AU"/>
        </w:rPr>
        <w:fldChar w:fldCharType="end"/>
      </w:r>
      <w:r w:rsidRPr="004360BF">
        <w:rPr>
          <w:lang w:val="en-AU"/>
        </w:rPr>
        <w:t>.</w:t>
      </w:r>
    </w:p>
    <w:p w14:paraId="75863911" w14:textId="77777777" w:rsidR="00175542" w:rsidRPr="004360BF" w:rsidRDefault="00175542" w:rsidP="003423BB">
      <w:pPr>
        <w:pStyle w:val="Caption"/>
        <w:keepLines/>
        <w:rPr>
          <w:lang w:val="en-AU"/>
        </w:rPr>
      </w:pPr>
      <w:bookmarkStart w:id="326" w:name="_Ref238436881"/>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7</w:t>
      </w:r>
      <w:r w:rsidR="00517DD9" w:rsidRPr="004360BF">
        <w:rPr>
          <w:lang w:val="en-AU"/>
        </w:rPr>
        <w:fldChar w:fldCharType="end"/>
      </w:r>
      <w:bookmarkEnd w:id="326"/>
      <w:r w:rsidRPr="004360BF">
        <w:rPr>
          <w:lang w:val="en-AU"/>
        </w:rPr>
        <w:t xml:space="preserve"> - </w:t>
      </w:r>
      <w:r w:rsidR="000D2FE8" w:rsidRPr="004360BF">
        <w:rPr>
          <w:lang w:val="en-AU"/>
        </w:rPr>
        <w:t xml:space="preserve">&lt;750 </w:t>
      </w:r>
      <w:proofErr w:type="spellStart"/>
      <w:r w:rsidR="000D2FE8" w:rsidRPr="004360BF">
        <w:rPr>
          <w:lang w:val="en-AU"/>
        </w:rPr>
        <w:t>MWh</w:t>
      </w:r>
      <w:proofErr w:type="spellEnd"/>
      <w:r w:rsidR="000D2FE8" w:rsidRPr="004360BF">
        <w:rPr>
          <w:lang w:val="en-AU"/>
        </w:rPr>
        <w:t xml:space="preserve"> pa </w:t>
      </w:r>
      <w:r w:rsidRPr="004360BF">
        <w:rPr>
          <w:lang w:val="en-AU"/>
        </w:rPr>
        <w:t>Commercial tariff charging</w:t>
      </w:r>
      <w:r w:rsidR="00112A4E" w:rsidRPr="004360BF">
        <w:rPr>
          <w:lang w:val="en-AU"/>
        </w:rPr>
        <w:t xml:space="preserve"> parameters</w:t>
      </w:r>
    </w:p>
    <w:tbl>
      <w:tblPr>
        <w:tblW w:w="6095" w:type="dxa"/>
        <w:jc w:val="center"/>
        <w:tblInd w:w="108"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2834"/>
        <w:gridCol w:w="3261"/>
      </w:tblGrid>
      <w:tr w:rsidR="00175542" w:rsidRPr="004360BF" w14:paraId="61F24E4D" w14:textId="77777777" w:rsidTr="0092275D">
        <w:trPr>
          <w:jc w:val="center"/>
        </w:trPr>
        <w:tc>
          <w:tcPr>
            <w:tcW w:w="2834" w:type="dxa"/>
            <w:vMerge w:val="restart"/>
            <w:tcBorders>
              <w:top w:val="single" w:sz="4" w:space="0" w:color="auto"/>
              <w:left w:val="single" w:sz="4" w:space="0" w:color="auto"/>
              <w:bottom w:val="nil"/>
              <w:right w:val="single" w:sz="4" w:space="0" w:color="auto"/>
            </w:tcBorders>
            <w:shd w:val="solid" w:color="C6D9F1" w:fill="auto"/>
          </w:tcPr>
          <w:p w14:paraId="39483F22" w14:textId="77777777" w:rsidR="004F60DE" w:rsidRPr="004360BF" w:rsidRDefault="00175542" w:rsidP="003423BB">
            <w:pPr>
              <w:keepNext/>
              <w:keepLines/>
              <w:spacing w:before="40" w:after="40"/>
              <w:rPr>
                <w:rFonts w:cs="Tahoma"/>
                <w:b/>
                <w:sz w:val="22"/>
                <w:szCs w:val="22"/>
                <w:lang w:val="en-AU"/>
              </w:rPr>
            </w:pPr>
            <w:r w:rsidRPr="004360BF">
              <w:rPr>
                <w:rFonts w:cs="Tahoma"/>
                <w:b/>
                <w:sz w:val="22"/>
                <w:szCs w:val="22"/>
                <w:lang w:val="en-AU"/>
              </w:rPr>
              <w:t xml:space="preserve">Charging </w:t>
            </w:r>
            <w:r w:rsidR="00112A4E" w:rsidRPr="004360BF">
              <w:rPr>
                <w:rFonts w:cs="Tahoma"/>
                <w:b/>
                <w:sz w:val="22"/>
                <w:szCs w:val="22"/>
                <w:lang w:val="en-AU"/>
              </w:rPr>
              <w:t>Parameter</w:t>
            </w:r>
          </w:p>
          <w:p w14:paraId="23AABBDE" w14:textId="77777777" w:rsidR="00175542" w:rsidRPr="004360BF" w:rsidRDefault="00175542" w:rsidP="003423BB">
            <w:pPr>
              <w:keepNext/>
              <w:keepLines/>
              <w:jc w:val="center"/>
              <w:rPr>
                <w:rFonts w:cs="Tahoma"/>
                <w:sz w:val="22"/>
                <w:szCs w:val="22"/>
                <w:lang w:val="en-AU"/>
              </w:rPr>
            </w:pPr>
          </w:p>
        </w:tc>
        <w:tc>
          <w:tcPr>
            <w:tcW w:w="3261" w:type="dxa"/>
            <w:tcBorders>
              <w:top w:val="single" w:sz="4" w:space="0" w:color="auto"/>
              <w:left w:val="single" w:sz="4" w:space="0" w:color="auto"/>
              <w:bottom w:val="single" w:sz="4" w:space="0" w:color="auto"/>
              <w:right w:val="single" w:sz="4" w:space="0" w:color="auto"/>
            </w:tcBorders>
            <w:shd w:val="solid" w:color="C6D9F1" w:fill="auto"/>
          </w:tcPr>
          <w:p w14:paraId="67F5F62F" w14:textId="77777777" w:rsidR="00175542" w:rsidRPr="004360BF" w:rsidRDefault="00175542" w:rsidP="003423BB">
            <w:pPr>
              <w:keepNext/>
              <w:keepLines/>
              <w:spacing w:before="40" w:after="40"/>
              <w:jc w:val="center"/>
              <w:rPr>
                <w:rFonts w:cs="Tahoma"/>
                <w:b/>
                <w:sz w:val="22"/>
                <w:szCs w:val="22"/>
                <w:lang w:val="en-AU"/>
              </w:rPr>
            </w:pPr>
            <w:r w:rsidRPr="004360BF">
              <w:rPr>
                <w:rFonts w:cs="Tahoma"/>
                <w:b/>
                <w:sz w:val="22"/>
                <w:szCs w:val="22"/>
                <w:lang w:val="en-AU"/>
              </w:rPr>
              <w:t>Tariff</w:t>
            </w:r>
          </w:p>
        </w:tc>
      </w:tr>
      <w:tr w:rsidR="00F53DC8" w:rsidRPr="004360BF" w14:paraId="185CF8FE" w14:textId="77777777" w:rsidTr="0092275D">
        <w:trPr>
          <w:jc w:val="center"/>
        </w:trPr>
        <w:tc>
          <w:tcPr>
            <w:tcW w:w="2834" w:type="dxa"/>
            <w:vMerge/>
            <w:tcBorders>
              <w:top w:val="nil"/>
              <w:left w:val="single" w:sz="4" w:space="0" w:color="auto"/>
              <w:bottom w:val="single" w:sz="4" w:space="0" w:color="auto"/>
              <w:right w:val="single" w:sz="4" w:space="0" w:color="auto"/>
            </w:tcBorders>
            <w:shd w:val="solid" w:color="C6D9F1" w:fill="auto"/>
          </w:tcPr>
          <w:p w14:paraId="27B2C906" w14:textId="77777777" w:rsidR="00F53DC8" w:rsidRPr="004360BF" w:rsidRDefault="00F53DC8" w:rsidP="00D732C1">
            <w:pPr>
              <w:keepNext/>
              <w:spacing w:before="40" w:after="40"/>
              <w:rPr>
                <w:rFonts w:cs="Tahoma"/>
                <w:b/>
                <w:sz w:val="22"/>
                <w:szCs w:val="22"/>
                <w:lang w:val="en-AU"/>
              </w:rPr>
            </w:pPr>
          </w:p>
        </w:tc>
        <w:tc>
          <w:tcPr>
            <w:tcW w:w="3261" w:type="dxa"/>
            <w:tcBorders>
              <w:top w:val="single" w:sz="4" w:space="0" w:color="auto"/>
              <w:left w:val="single" w:sz="4" w:space="0" w:color="auto"/>
              <w:bottom w:val="single" w:sz="4" w:space="0" w:color="auto"/>
              <w:right w:val="single" w:sz="4" w:space="0" w:color="auto"/>
            </w:tcBorders>
            <w:shd w:val="solid" w:color="C6D9F1" w:fill="auto"/>
          </w:tcPr>
          <w:p w14:paraId="10D6B7FC" w14:textId="77777777" w:rsidR="00F53DC8" w:rsidRPr="004360BF" w:rsidRDefault="00F53DC8" w:rsidP="00D732C1">
            <w:pPr>
              <w:keepNext/>
              <w:spacing w:before="40" w:after="40"/>
              <w:jc w:val="center"/>
              <w:rPr>
                <w:rFonts w:cs="Tahoma"/>
                <w:b/>
                <w:sz w:val="22"/>
                <w:szCs w:val="22"/>
                <w:lang w:val="en-AU"/>
              </w:rPr>
            </w:pPr>
            <w:r w:rsidRPr="004360BF">
              <w:rPr>
                <w:rFonts w:cs="Tahoma"/>
                <w:b/>
                <w:sz w:val="22"/>
                <w:szCs w:val="22"/>
                <w:lang w:val="en-AU"/>
              </w:rPr>
              <w:t xml:space="preserve">&lt;750 </w:t>
            </w:r>
            <w:proofErr w:type="spellStart"/>
            <w:r w:rsidRPr="004360BF">
              <w:rPr>
                <w:rFonts w:cs="Tahoma"/>
                <w:b/>
                <w:sz w:val="22"/>
                <w:szCs w:val="22"/>
                <w:lang w:val="en-AU"/>
              </w:rPr>
              <w:t>MWh</w:t>
            </w:r>
            <w:proofErr w:type="spellEnd"/>
            <w:r w:rsidRPr="004360BF">
              <w:rPr>
                <w:rFonts w:cs="Tahoma"/>
                <w:b/>
                <w:sz w:val="22"/>
                <w:szCs w:val="22"/>
                <w:lang w:val="en-AU"/>
              </w:rPr>
              <w:t xml:space="preserve"> pa Commercial</w:t>
            </w:r>
            <w:r w:rsidRPr="004360BF">
              <w:rPr>
                <w:rFonts w:cs="Tahoma"/>
                <w:b/>
                <w:sz w:val="22"/>
                <w:szCs w:val="22"/>
                <w:lang w:val="en-AU"/>
              </w:rPr>
              <w:br/>
              <w:t xml:space="preserve"> 2015/16</w:t>
            </w:r>
          </w:p>
        </w:tc>
      </w:tr>
      <w:tr w:rsidR="00175542" w:rsidRPr="004360BF" w14:paraId="62BDC893" w14:textId="77777777" w:rsidTr="0092275D">
        <w:trPr>
          <w:trHeight w:val="407"/>
          <w:jc w:val="center"/>
        </w:trPr>
        <w:tc>
          <w:tcPr>
            <w:tcW w:w="2834" w:type="dxa"/>
            <w:tcBorders>
              <w:top w:val="single" w:sz="4" w:space="0" w:color="auto"/>
              <w:left w:val="single" w:sz="4" w:space="0" w:color="auto"/>
              <w:right w:val="single" w:sz="4" w:space="0" w:color="auto"/>
            </w:tcBorders>
            <w:vAlign w:val="center"/>
          </w:tcPr>
          <w:p w14:paraId="41C8F5D3" w14:textId="77777777" w:rsidR="00175542" w:rsidRPr="004360BF" w:rsidRDefault="000D2FE8" w:rsidP="00105FA5">
            <w:pPr>
              <w:keepNext/>
              <w:spacing w:before="40" w:after="40"/>
              <w:rPr>
                <w:rFonts w:cs="Tahoma"/>
                <w:sz w:val="22"/>
                <w:szCs w:val="22"/>
                <w:lang w:val="en-AU"/>
              </w:rPr>
            </w:pPr>
            <w:r w:rsidRPr="004360BF">
              <w:rPr>
                <w:rFonts w:cs="Tahoma"/>
                <w:sz w:val="22"/>
                <w:szCs w:val="22"/>
                <w:lang w:val="en-AU"/>
              </w:rPr>
              <w:t xml:space="preserve">System Availability </w:t>
            </w:r>
            <w:r w:rsidR="00175542" w:rsidRPr="004360BF">
              <w:rPr>
                <w:rFonts w:cs="Tahoma"/>
                <w:sz w:val="22"/>
                <w:szCs w:val="22"/>
                <w:lang w:val="en-AU"/>
              </w:rPr>
              <w:t>Charge</w:t>
            </w:r>
          </w:p>
        </w:tc>
        <w:tc>
          <w:tcPr>
            <w:tcW w:w="3261" w:type="dxa"/>
            <w:tcBorders>
              <w:top w:val="single" w:sz="4" w:space="0" w:color="auto"/>
              <w:left w:val="single" w:sz="4" w:space="0" w:color="auto"/>
              <w:right w:val="single" w:sz="4" w:space="0" w:color="auto"/>
            </w:tcBorders>
            <w:vAlign w:val="center"/>
          </w:tcPr>
          <w:p w14:paraId="558B796A" w14:textId="77777777" w:rsidR="00175542" w:rsidRPr="004360BF" w:rsidRDefault="00175542" w:rsidP="00105FA5">
            <w:pPr>
              <w:keepNext/>
              <w:spacing w:before="40" w:after="40"/>
              <w:jc w:val="center"/>
              <w:rPr>
                <w:rFonts w:cs="Tahoma"/>
                <w:sz w:val="22"/>
                <w:szCs w:val="22"/>
                <w:lang w:val="en-AU"/>
              </w:rPr>
            </w:pPr>
            <w:r w:rsidRPr="004360BF">
              <w:rPr>
                <w:rFonts w:cs="Tahoma"/>
                <w:sz w:val="22"/>
                <w:szCs w:val="22"/>
                <w:lang w:val="en-AU"/>
              </w:rPr>
              <w:t>¢/day</w:t>
            </w:r>
          </w:p>
        </w:tc>
      </w:tr>
      <w:tr w:rsidR="00175542" w:rsidRPr="004360BF" w14:paraId="4D335932" w14:textId="77777777" w:rsidTr="0092275D">
        <w:trPr>
          <w:jc w:val="center"/>
        </w:trPr>
        <w:tc>
          <w:tcPr>
            <w:tcW w:w="2834" w:type="dxa"/>
            <w:vMerge w:val="restart"/>
            <w:tcBorders>
              <w:top w:val="single" w:sz="4" w:space="0" w:color="auto"/>
              <w:left w:val="single" w:sz="4" w:space="0" w:color="auto"/>
              <w:right w:val="single" w:sz="4" w:space="0" w:color="auto"/>
            </w:tcBorders>
            <w:vAlign w:val="center"/>
          </w:tcPr>
          <w:p w14:paraId="25C48CEA" w14:textId="77777777" w:rsidR="00175542" w:rsidRPr="004360BF" w:rsidRDefault="00175542" w:rsidP="00D732C1">
            <w:pPr>
              <w:keepNext/>
              <w:spacing w:before="40" w:after="40"/>
              <w:rPr>
                <w:rFonts w:cs="Tahoma"/>
                <w:sz w:val="22"/>
                <w:szCs w:val="22"/>
                <w:lang w:val="en-AU"/>
              </w:rPr>
            </w:pPr>
            <w:r w:rsidRPr="004360BF">
              <w:rPr>
                <w:rFonts w:cs="Tahoma"/>
                <w:sz w:val="22"/>
                <w:szCs w:val="22"/>
                <w:lang w:val="en-AU"/>
              </w:rPr>
              <w:t>Energy ¢/kWh</w:t>
            </w:r>
          </w:p>
        </w:tc>
        <w:tc>
          <w:tcPr>
            <w:tcW w:w="3261" w:type="dxa"/>
            <w:tcBorders>
              <w:top w:val="single" w:sz="4" w:space="0" w:color="auto"/>
              <w:left w:val="single" w:sz="4" w:space="0" w:color="auto"/>
              <w:right w:val="single" w:sz="4" w:space="0" w:color="auto"/>
            </w:tcBorders>
          </w:tcPr>
          <w:p w14:paraId="005EBADD" w14:textId="77777777" w:rsidR="00175542" w:rsidRPr="004360BF" w:rsidRDefault="00175542" w:rsidP="00D732C1">
            <w:pPr>
              <w:keepNext/>
              <w:spacing w:before="40" w:after="40"/>
              <w:jc w:val="center"/>
              <w:rPr>
                <w:rFonts w:cs="Tahoma"/>
                <w:sz w:val="22"/>
                <w:szCs w:val="22"/>
                <w:lang w:val="en-AU"/>
              </w:rPr>
            </w:pPr>
            <w:r w:rsidRPr="004360BF">
              <w:rPr>
                <w:rFonts w:cs="Tahoma"/>
                <w:sz w:val="22"/>
                <w:szCs w:val="22"/>
                <w:lang w:val="en-AU"/>
              </w:rPr>
              <w:t>≤ 1,000 kWh per month</w:t>
            </w:r>
          </w:p>
        </w:tc>
      </w:tr>
      <w:tr w:rsidR="00F53DC8" w:rsidRPr="004360BF" w14:paraId="0CF740FE" w14:textId="77777777" w:rsidTr="0092275D">
        <w:trPr>
          <w:jc w:val="center"/>
        </w:trPr>
        <w:tc>
          <w:tcPr>
            <w:tcW w:w="2834" w:type="dxa"/>
            <w:vMerge/>
            <w:tcBorders>
              <w:left w:val="single" w:sz="4" w:space="0" w:color="auto"/>
              <w:right w:val="single" w:sz="4" w:space="0" w:color="auto"/>
            </w:tcBorders>
          </w:tcPr>
          <w:p w14:paraId="45F1B3C0" w14:textId="77777777" w:rsidR="00F53DC8" w:rsidRPr="004360BF" w:rsidRDefault="00F53DC8" w:rsidP="00D732C1">
            <w:pPr>
              <w:keepNext/>
              <w:spacing w:before="40" w:after="40"/>
              <w:rPr>
                <w:rFonts w:cs="Tahoma"/>
                <w:sz w:val="22"/>
                <w:szCs w:val="22"/>
                <w:lang w:val="en-AU"/>
              </w:rPr>
            </w:pPr>
          </w:p>
        </w:tc>
        <w:tc>
          <w:tcPr>
            <w:tcW w:w="3261" w:type="dxa"/>
            <w:tcBorders>
              <w:top w:val="single" w:sz="4" w:space="0" w:color="auto"/>
              <w:left w:val="single" w:sz="4" w:space="0" w:color="auto"/>
              <w:right w:val="single" w:sz="4" w:space="0" w:color="auto"/>
            </w:tcBorders>
          </w:tcPr>
          <w:p w14:paraId="648993C8" w14:textId="77777777" w:rsidR="00F53DC8" w:rsidRPr="004360BF" w:rsidRDefault="00F53DC8" w:rsidP="00D732C1">
            <w:pPr>
              <w:keepNext/>
              <w:spacing w:before="40" w:after="40"/>
              <w:jc w:val="center"/>
              <w:rPr>
                <w:rFonts w:cs="Tahoma"/>
                <w:sz w:val="22"/>
                <w:szCs w:val="22"/>
                <w:lang w:val="en-AU"/>
              </w:rPr>
            </w:pPr>
            <w:r w:rsidRPr="004360BF">
              <w:rPr>
                <w:rFonts w:cs="Tahoma"/>
                <w:sz w:val="22"/>
                <w:szCs w:val="22"/>
                <w:lang w:val="en-AU"/>
              </w:rPr>
              <w:t>&gt;1,000 and ≤2,000 kWh per month</w:t>
            </w:r>
          </w:p>
        </w:tc>
      </w:tr>
      <w:tr w:rsidR="00F53DC8" w:rsidRPr="004360BF" w14:paraId="5D68E75B" w14:textId="77777777" w:rsidTr="0092275D">
        <w:trPr>
          <w:jc w:val="center"/>
        </w:trPr>
        <w:tc>
          <w:tcPr>
            <w:tcW w:w="2834" w:type="dxa"/>
            <w:vMerge/>
            <w:tcBorders>
              <w:left w:val="single" w:sz="4" w:space="0" w:color="auto"/>
              <w:bottom w:val="single" w:sz="4" w:space="0" w:color="auto"/>
              <w:right w:val="single" w:sz="4" w:space="0" w:color="auto"/>
            </w:tcBorders>
          </w:tcPr>
          <w:p w14:paraId="048501E1" w14:textId="77777777" w:rsidR="00F53DC8" w:rsidRPr="004360BF" w:rsidRDefault="00F53DC8" w:rsidP="00D732C1">
            <w:pPr>
              <w:keepNext/>
              <w:spacing w:before="40" w:after="40"/>
              <w:rPr>
                <w:rFonts w:cs="Tahoma"/>
                <w:sz w:val="22"/>
                <w:szCs w:val="22"/>
                <w:lang w:val="en-AU"/>
              </w:rPr>
            </w:pPr>
          </w:p>
        </w:tc>
        <w:tc>
          <w:tcPr>
            <w:tcW w:w="3261" w:type="dxa"/>
            <w:tcBorders>
              <w:top w:val="single" w:sz="4" w:space="0" w:color="auto"/>
              <w:left w:val="single" w:sz="4" w:space="0" w:color="auto"/>
              <w:bottom w:val="single" w:sz="4" w:space="0" w:color="auto"/>
              <w:right w:val="single" w:sz="4" w:space="0" w:color="auto"/>
            </w:tcBorders>
          </w:tcPr>
          <w:p w14:paraId="7DA5D1A7" w14:textId="77777777" w:rsidR="00F53DC8" w:rsidRPr="004360BF" w:rsidRDefault="00F53DC8" w:rsidP="00D732C1">
            <w:pPr>
              <w:keepNext/>
              <w:spacing w:before="40" w:after="40"/>
              <w:jc w:val="center"/>
              <w:rPr>
                <w:rFonts w:cs="Tahoma"/>
                <w:sz w:val="22"/>
                <w:szCs w:val="22"/>
                <w:lang w:val="en-AU"/>
              </w:rPr>
            </w:pPr>
            <w:r w:rsidRPr="004360BF">
              <w:rPr>
                <w:rFonts w:cs="Tahoma"/>
                <w:sz w:val="22"/>
                <w:szCs w:val="22"/>
                <w:lang w:val="en-AU"/>
              </w:rPr>
              <w:t>&gt;2,000 kWh per month</w:t>
            </w:r>
          </w:p>
        </w:tc>
      </w:tr>
    </w:tbl>
    <w:p w14:paraId="1C807949" w14:textId="77777777" w:rsidR="00175542" w:rsidRPr="004360BF" w:rsidRDefault="00175542" w:rsidP="00394304">
      <w:pPr>
        <w:spacing w:after="0"/>
        <w:rPr>
          <w:lang w:val="en-AU"/>
        </w:rPr>
      </w:pPr>
    </w:p>
    <w:p w14:paraId="07B9963A" w14:textId="241DF5A4" w:rsidR="00175542" w:rsidRPr="004360BF" w:rsidRDefault="00175542" w:rsidP="00394304">
      <w:pPr>
        <w:rPr>
          <w:lang w:val="en-AU"/>
        </w:rPr>
      </w:pPr>
      <w:r w:rsidRPr="004360BF">
        <w:rPr>
          <w:lang w:val="en-AU"/>
        </w:rPr>
        <w:t>A</w:t>
      </w:r>
      <w:r w:rsidR="00D61985" w:rsidRPr="004360BF">
        <w:rPr>
          <w:lang w:val="en-AU"/>
        </w:rPr>
        <w:t xml:space="preserve">s with the Domestic tariff, this </w:t>
      </w:r>
      <w:r w:rsidR="00F53DC8" w:rsidRPr="004360BF">
        <w:rPr>
          <w:lang w:val="en-AU"/>
        </w:rPr>
        <w:t xml:space="preserve">tariff has maintained the 2014/15 </w:t>
      </w:r>
      <w:r w:rsidRPr="004360BF">
        <w:rPr>
          <w:lang w:val="en-AU"/>
        </w:rPr>
        <w:t>consumption block</w:t>
      </w:r>
      <w:r w:rsidR="009E53EB" w:rsidRPr="004360BF">
        <w:rPr>
          <w:lang w:val="en-AU"/>
        </w:rPr>
        <w:t>s</w:t>
      </w:r>
      <w:r w:rsidRPr="004360BF">
        <w:rPr>
          <w:lang w:val="en-AU"/>
        </w:rPr>
        <w:t xml:space="preserve"> step and threshold </w:t>
      </w:r>
      <w:r w:rsidR="00F53DC8" w:rsidRPr="004360BF">
        <w:rPr>
          <w:lang w:val="en-AU"/>
        </w:rPr>
        <w:t>structure in 2015/16.</w:t>
      </w:r>
      <w:r w:rsidR="00CC6CF8" w:rsidRPr="004360BF">
        <w:rPr>
          <w:lang w:val="en-AU"/>
        </w:rPr>
        <w:t xml:space="preserve"> </w:t>
      </w:r>
      <w:r w:rsidRPr="004360BF">
        <w:rPr>
          <w:lang w:val="en-AU"/>
        </w:rPr>
        <w:t>The thresholds have different levels, as the consumption characteristics and size distribution of the customers on the two tariffs differ.</w:t>
      </w:r>
    </w:p>
    <w:p w14:paraId="75C4E517" w14:textId="77777777" w:rsidR="00E21C69" w:rsidRPr="004360BF" w:rsidRDefault="00E21C69" w:rsidP="00E21C69">
      <w:pPr>
        <w:rPr>
          <w:lang w:val="en-AU"/>
        </w:rPr>
      </w:pPr>
      <w:r w:rsidRPr="004360BF">
        <w:rPr>
          <w:lang w:val="en-AU"/>
        </w:rPr>
        <w:t xml:space="preserve">The charging </w:t>
      </w:r>
      <w:r w:rsidR="00112A4E" w:rsidRPr="004360BF">
        <w:rPr>
          <w:lang w:val="en-AU"/>
        </w:rPr>
        <w:t xml:space="preserve">parameters </w:t>
      </w:r>
      <w:r w:rsidRPr="004360BF">
        <w:rPr>
          <w:lang w:val="en-AU"/>
        </w:rPr>
        <w:t xml:space="preserve">and their means of recovery for this commercial tariff are as for </w:t>
      </w:r>
      <w:r w:rsidR="009E53EB" w:rsidRPr="004360BF">
        <w:rPr>
          <w:lang w:val="en-AU"/>
        </w:rPr>
        <w:t>the D</w:t>
      </w:r>
      <w:r w:rsidRPr="004360BF">
        <w:rPr>
          <w:lang w:val="en-AU"/>
        </w:rPr>
        <w:t xml:space="preserve">omestic tariff. </w:t>
      </w:r>
      <w:r w:rsidR="00F53DC8" w:rsidRPr="004360BF">
        <w:rPr>
          <w:lang w:val="en-AU"/>
        </w:rPr>
        <w:t xml:space="preserve">With the 2015/16 rebalancing of &lt;750 </w:t>
      </w:r>
      <w:proofErr w:type="spellStart"/>
      <w:r w:rsidR="00F53DC8" w:rsidRPr="004360BF">
        <w:rPr>
          <w:lang w:val="en-AU"/>
        </w:rPr>
        <w:t>MWh</w:t>
      </w:r>
      <w:proofErr w:type="spellEnd"/>
      <w:r w:rsidR="00F53DC8" w:rsidRPr="004360BF">
        <w:rPr>
          <w:lang w:val="en-AU"/>
        </w:rPr>
        <w:t xml:space="preserve"> customers both Domestic and Commercial tariff tiers are the same energy cost per KWh. </w:t>
      </w:r>
      <w:r w:rsidRPr="004360BF">
        <w:rPr>
          <w:lang w:val="en-AU"/>
        </w:rPr>
        <w:t xml:space="preserve"> </w:t>
      </w:r>
    </w:p>
    <w:p w14:paraId="7D2F5CD1" w14:textId="27CFB07D" w:rsidR="00450773" w:rsidRPr="004360BF" w:rsidRDefault="00E21C69" w:rsidP="00450773">
      <w:pPr>
        <w:rPr>
          <w:lang w:val="en-AU"/>
        </w:rPr>
      </w:pPr>
      <w:r w:rsidRPr="004360BF">
        <w:rPr>
          <w:lang w:val="en-AU"/>
        </w:rPr>
        <w:t xml:space="preserve">Power Networks plans to progressively increase the proportion of the network charge recovered through the fixed </w:t>
      </w:r>
      <w:r w:rsidR="00112A4E" w:rsidRPr="004360BF">
        <w:rPr>
          <w:lang w:val="en-AU"/>
        </w:rPr>
        <w:t>parameter</w:t>
      </w:r>
      <w:r w:rsidR="008640F6" w:rsidRPr="004360BF">
        <w:rPr>
          <w:lang w:val="en-AU"/>
        </w:rPr>
        <w:t xml:space="preserve"> </w:t>
      </w:r>
      <w:r w:rsidRPr="004360BF">
        <w:rPr>
          <w:lang w:val="en-AU"/>
        </w:rPr>
        <w:t xml:space="preserve">to </w:t>
      </w:r>
      <w:r w:rsidR="008640F6" w:rsidRPr="004360BF">
        <w:rPr>
          <w:lang w:val="en-AU"/>
        </w:rPr>
        <w:t xml:space="preserve">recover more of the residual (revenue </w:t>
      </w:r>
      <w:r w:rsidR="00D84332" w:rsidRPr="004360BF">
        <w:rPr>
          <w:lang w:val="en-AU"/>
        </w:rPr>
        <w:t>less</w:t>
      </w:r>
      <w:r w:rsidR="008640F6" w:rsidRPr="004360BF">
        <w:rPr>
          <w:lang w:val="en-AU"/>
        </w:rPr>
        <w:t xml:space="preserve"> LRMC) component by </w:t>
      </w:r>
      <w:r w:rsidRPr="004360BF">
        <w:rPr>
          <w:lang w:val="en-AU"/>
        </w:rPr>
        <w:t>at least reflect</w:t>
      </w:r>
      <w:r w:rsidR="008640F6" w:rsidRPr="004360BF">
        <w:rPr>
          <w:lang w:val="en-AU"/>
        </w:rPr>
        <w:t>ing</w:t>
      </w:r>
      <w:r w:rsidRPr="004360BF">
        <w:rPr>
          <w:lang w:val="en-AU"/>
        </w:rPr>
        <w:t xml:space="preserve"> the fixed costs of the network (metering and the low voltage network costs).</w:t>
      </w:r>
      <w:r w:rsidR="00450773" w:rsidRPr="004360BF">
        <w:rPr>
          <w:lang w:val="en-AU"/>
        </w:rPr>
        <w:t xml:space="preserve"> </w:t>
      </w:r>
      <w:bookmarkStart w:id="327" w:name="_Toc417291258"/>
      <w:bookmarkStart w:id="328" w:name="_Toc417291762"/>
      <w:bookmarkStart w:id="329" w:name="_Toc417292530"/>
      <w:bookmarkStart w:id="330" w:name="_Toc291262250"/>
      <w:bookmarkStart w:id="331" w:name="_Toc417458020"/>
    </w:p>
    <w:p w14:paraId="6C9577FD" w14:textId="77777777" w:rsidR="00450773" w:rsidRPr="004360BF" w:rsidRDefault="00FB12A0" w:rsidP="00450773">
      <w:pPr>
        <w:pStyle w:val="Heading2"/>
      </w:pPr>
      <w:bookmarkStart w:id="332" w:name="_Toc418608689"/>
      <w:r w:rsidRPr="004360BF">
        <w:t xml:space="preserve">Unmetered </w:t>
      </w:r>
      <w:r w:rsidR="00175542" w:rsidRPr="004360BF">
        <w:t>tariff</w:t>
      </w:r>
      <w:bookmarkEnd w:id="327"/>
      <w:bookmarkEnd w:id="328"/>
      <w:bookmarkEnd w:id="329"/>
      <w:bookmarkEnd w:id="330"/>
      <w:bookmarkEnd w:id="331"/>
      <w:bookmarkEnd w:id="332"/>
    </w:p>
    <w:p w14:paraId="2D89AF3B" w14:textId="700499EE" w:rsidR="00175542" w:rsidRPr="004360BF" w:rsidRDefault="006261A1" w:rsidP="00450773">
      <w:pPr>
        <w:rPr>
          <w:lang w:val="en-AU"/>
        </w:rPr>
      </w:pPr>
      <w:r w:rsidRPr="004360BF">
        <w:rPr>
          <w:lang w:val="en-AU"/>
        </w:rPr>
        <w:t>Unmetered</w:t>
      </w:r>
      <w:r w:rsidR="00175542" w:rsidRPr="004360BF">
        <w:rPr>
          <w:lang w:val="en-AU"/>
        </w:rPr>
        <w:t xml:space="preserve"> tariff</w:t>
      </w:r>
      <w:r w:rsidRPr="004360BF">
        <w:rPr>
          <w:lang w:val="en-AU"/>
        </w:rPr>
        <w:t>s have</w:t>
      </w:r>
      <w:r w:rsidR="00175542" w:rsidRPr="004360BF">
        <w:rPr>
          <w:lang w:val="en-AU"/>
        </w:rPr>
        <w:t xml:space="preserve"> a single charging </w:t>
      </w:r>
      <w:r w:rsidR="00112A4E" w:rsidRPr="004360BF">
        <w:rPr>
          <w:lang w:val="en-AU"/>
        </w:rPr>
        <w:t>parameter</w:t>
      </w:r>
      <w:r w:rsidR="00175542" w:rsidRPr="004360BF">
        <w:rPr>
          <w:lang w:val="en-AU"/>
        </w:rPr>
        <w:t xml:space="preserve"> – energy consumption.</w:t>
      </w:r>
      <w:r w:rsidR="00CC6CF8" w:rsidRPr="004360BF">
        <w:rPr>
          <w:lang w:val="en-AU"/>
        </w:rPr>
        <w:t xml:space="preserve"> </w:t>
      </w:r>
      <w:r w:rsidR="00175542" w:rsidRPr="004360BF">
        <w:rPr>
          <w:lang w:val="en-AU"/>
        </w:rPr>
        <w:t>In 201</w:t>
      </w:r>
      <w:r w:rsidR="003F279D" w:rsidRPr="004360BF">
        <w:rPr>
          <w:lang w:val="en-AU"/>
        </w:rPr>
        <w:t>5</w:t>
      </w:r>
      <w:r w:rsidR="00175542" w:rsidRPr="004360BF">
        <w:rPr>
          <w:lang w:val="en-AU"/>
        </w:rPr>
        <w:t>/1</w:t>
      </w:r>
      <w:r w:rsidR="003F279D" w:rsidRPr="004360BF">
        <w:rPr>
          <w:lang w:val="en-AU"/>
        </w:rPr>
        <w:t>6</w:t>
      </w:r>
      <w:r w:rsidR="00175542" w:rsidRPr="004360BF">
        <w:rPr>
          <w:lang w:val="en-AU"/>
        </w:rPr>
        <w:t>, t</w:t>
      </w:r>
      <w:r w:rsidRPr="004360BF">
        <w:rPr>
          <w:lang w:val="en-AU"/>
        </w:rPr>
        <w:t>he single unmetered</w:t>
      </w:r>
      <w:r w:rsidR="00175542" w:rsidRPr="004360BF">
        <w:rPr>
          <w:lang w:val="en-AU"/>
        </w:rPr>
        <w:t xml:space="preserve"> tariff is to be </w:t>
      </w:r>
      <w:r w:rsidR="003F279D" w:rsidRPr="004360BF">
        <w:rPr>
          <w:lang w:val="en-AU"/>
        </w:rPr>
        <w:t xml:space="preserve">priced with two </w:t>
      </w:r>
      <w:r w:rsidR="00175542" w:rsidRPr="004360BF">
        <w:rPr>
          <w:lang w:val="en-AU"/>
        </w:rPr>
        <w:t xml:space="preserve">separate </w:t>
      </w:r>
      <w:r w:rsidR="003F279D" w:rsidRPr="004360BF">
        <w:rPr>
          <w:lang w:val="en-AU"/>
        </w:rPr>
        <w:t xml:space="preserve">differential </w:t>
      </w:r>
      <w:r w:rsidR="00BC6351" w:rsidRPr="004360BF">
        <w:rPr>
          <w:lang w:val="en-AU"/>
        </w:rPr>
        <w:t xml:space="preserve">cost reflective </w:t>
      </w:r>
      <w:r w:rsidR="00175542" w:rsidRPr="004360BF">
        <w:rPr>
          <w:lang w:val="en-AU"/>
        </w:rPr>
        <w:t>tariff</w:t>
      </w:r>
      <w:r w:rsidR="003F279D" w:rsidRPr="004360BF">
        <w:rPr>
          <w:lang w:val="en-AU"/>
        </w:rPr>
        <w:t xml:space="preserve"> rates</w:t>
      </w:r>
      <w:r w:rsidR="00175542" w:rsidRPr="004360BF">
        <w:rPr>
          <w:lang w:val="en-AU"/>
        </w:rPr>
        <w:t xml:space="preserve">: </w:t>
      </w:r>
      <w:r w:rsidR="000D2FE8" w:rsidRPr="004360BF">
        <w:rPr>
          <w:lang w:val="en-AU"/>
        </w:rPr>
        <w:t>for street lighting and similar consumption profiled unmetered supplies; and for traffic lights and similar unmetered 24 hour supplies</w:t>
      </w:r>
      <w:r w:rsidR="00175542" w:rsidRPr="004360BF">
        <w:rPr>
          <w:lang w:val="en-AU"/>
        </w:rPr>
        <w:t>.</w:t>
      </w:r>
      <w:r w:rsidR="00CC6CF8" w:rsidRPr="004360BF">
        <w:rPr>
          <w:lang w:val="en-AU"/>
        </w:rPr>
        <w:t xml:space="preserve"> </w:t>
      </w:r>
      <w:r w:rsidR="00175542" w:rsidRPr="004360BF">
        <w:rPr>
          <w:lang w:val="en-AU"/>
        </w:rPr>
        <w:t xml:space="preserve">The charging </w:t>
      </w:r>
      <w:r w:rsidR="00112A4E" w:rsidRPr="004360BF">
        <w:rPr>
          <w:lang w:val="en-AU"/>
        </w:rPr>
        <w:t>parameter</w:t>
      </w:r>
      <w:r w:rsidR="00175542" w:rsidRPr="004360BF">
        <w:rPr>
          <w:lang w:val="en-AU"/>
        </w:rPr>
        <w:t xml:space="preserve">s are the same and are shown in </w:t>
      </w:r>
      <w:r w:rsidR="00CC1083" w:rsidRPr="004360BF">
        <w:rPr>
          <w:lang w:val="en-AU"/>
        </w:rPr>
        <w:fldChar w:fldCharType="begin"/>
      </w:r>
      <w:r w:rsidR="00CC1083" w:rsidRPr="004360BF">
        <w:rPr>
          <w:lang w:val="en-AU"/>
        </w:rPr>
        <w:instrText xml:space="preserve"> REF _Ref238437229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8</w:t>
      </w:r>
      <w:r w:rsidR="00CC1083" w:rsidRPr="004360BF">
        <w:rPr>
          <w:lang w:val="en-AU"/>
        </w:rPr>
        <w:fldChar w:fldCharType="end"/>
      </w:r>
      <w:r w:rsidR="00175542" w:rsidRPr="004360BF">
        <w:rPr>
          <w:lang w:val="en-AU"/>
        </w:rPr>
        <w:t>.</w:t>
      </w:r>
    </w:p>
    <w:p w14:paraId="1614318B" w14:textId="77777777" w:rsidR="00175542" w:rsidRPr="004360BF" w:rsidRDefault="00175542" w:rsidP="000E2C3A">
      <w:pPr>
        <w:pStyle w:val="Caption"/>
        <w:rPr>
          <w:lang w:val="en-AU"/>
        </w:rPr>
      </w:pPr>
      <w:bookmarkStart w:id="333" w:name="_Ref238437229"/>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8</w:t>
      </w:r>
      <w:r w:rsidR="00517DD9" w:rsidRPr="004360BF">
        <w:rPr>
          <w:lang w:val="en-AU"/>
        </w:rPr>
        <w:fldChar w:fldCharType="end"/>
      </w:r>
      <w:bookmarkEnd w:id="333"/>
      <w:r w:rsidRPr="004360BF">
        <w:rPr>
          <w:lang w:val="en-AU"/>
        </w:rPr>
        <w:t xml:space="preserve"> - </w:t>
      </w:r>
      <w:r w:rsidR="000D2FE8" w:rsidRPr="004360BF">
        <w:rPr>
          <w:lang w:val="en-AU"/>
        </w:rPr>
        <w:t>Unmetered</w:t>
      </w:r>
      <w:r w:rsidRPr="004360BF">
        <w:rPr>
          <w:lang w:val="en-AU"/>
        </w:rPr>
        <w:t xml:space="preserve"> tariff charging </w:t>
      </w:r>
      <w:r w:rsidR="00112A4E" w:rsidRPr="004360BF">
        <w:rPr>
          <w:lang w:val="en-AU"/>
        </w:rPr>
        <w:t>parameters</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1614"/>
        <w:gridCol w:w="2271"/>
        <w:gridCol w:w="2797"/>
        <w:gridCol w:w="2452"/>
      </w:tblGrid>
      <w:tr w:rsidR="00175542" w:rsidRPr="004360BF" w14:paraId="6F14EE46" w14:textId="77777777" w:rsidTr="00AC689A">
        <w:tc>
          <w:tcPr>
            <w:tcW w:w="0" w:type="auto"/>
            <w:vMerge w:val="restart"/>
            <w:tcBorders>
              <w:top w:val="single" w:sz="4" w:space="0" w:color="auto"/>
              <w:left w:val="single" w:sz="4" w:space="0" w:color="auto"/>
              <w:bottom w:val="nil"/>
              <w:right w:val="single" w:sz="4" w:space="0" w:color="auto"/>
            </w:tcBorders>
            <w:shd w:val="solid" w:color="C6D9F1" w:fill="auto"/>
          </w:tcPr>
          <w:p w14:paraId="1FBD636F" w14:textId="77777777" w:rsidR="00175542" w:rsidRPr="004360BF" w:rsidRDefault="00175542" w:rsidP="000E2C3A">
            <w:pPr>
              <w:keepNext/>
              <w:spacing w:before="40" w:after="40"/>
              <w:rPr>
                <w:b/>
                <w:sz w:val="22"/>
                <w:szCs w:val="22"/>
                <w:lang w:val="en-AU"/>
              </w:rPr>
            </w:pPr>
            <w:r w:rsidRPr="004360BF">
              <w:rPr>
                <w:b/>
                <w:sz w:val="22"/>
                <w:szCs w:val="22"/>
                <w:lang w:val="en-AU"/>
              </w:rPr>
              <w:t xml:space="preserve">Charging </w:t>
            </w:r>
            <w:r w:rsidR="00112A4E" w:rsidRPr="004360BF">
              <w:rPr>
                <w:b/>
                <w:sz w:val="22"/>
                <w:szCs w:val="22"/>
                <w:lang w:val="en-AU"/>
              </w:rPr>
              <w:t>Parameter</w:t>
            </w:r>
          </w:p>
        </w:tc>
        <w:tc>
          <w:tcPr>
            <w:tcW w:w="0" w:type="auto"/>
            <w:gridSpan w:val="3"/>
            <w:tcBorders>
              <w:top w:val="single" w:sz="4" w:space="0" w:color="auto"/>
              <w:left w:val="single" w:sz="4" w:space="0" w:color="auto"/>
              <w:bottom w:val="single" w:sz="4" w:space="0" w:color="auto"/>
              <w:right w:val="single" w:sz="4" w:space="0" w:color="auto"/>
            </w:tcBorders>
            <w:shd w:val="solid" w:color="C6D9F1" w:fill="auto"/>
          </w:tcPr>
          <w:p w14:paraId="3F9C6D2B" w14:textId="77777777" w:rsidR="00175542" w:rsidRPr="004360BF" w:rsidRDefault="00175542" w:rsidP="000E2C3A">
            <w:pPr>
              <w:keepNext/>
              <w:spacing w:before="40" w:after="40"/>
              <w:jc w:val="center"/>
              <w:rPr>
                <w:b/>
                <w:sz w:val="22"/>
                <w:szCs w:val="22"/>
                <w:lang w:val="en-AU"/>
              </w:rPr>
            </w:pPr>
            <w:r w:rsidRPr="004360BF">
              <w:rPr>
                <w:b/>
                <w:sz w:val="22"/>
                <w:szCs w:val="22"/>
                <w:lang w:val="en-AU"/>
              </w:rPr>
              <w:t>Tariff</w:t>
            </w:r>
          </w:p>
        </w:tc>
      </w:tr>
      <w:tr w:rsidR="00175542" w:rsidRPr="004360BF" w14:paraId="594EAB31" w14:textId="77777777" w:rsidTr="00AC689A">
        <w:tc>
          <w:tcPr>
            <w:tcW w:w="0" w:type="auto"/>
            <w:vMerge/>
            <w:tcBorders>
              <w:top w:val="nil"/>
              <w:left w:val="single" w:sz="4" w:space="0" w:color="auto"/>
              <w:bottom w:val="single" w:sz="4" w:space="0" w:color="auto"/>
              <w:right w:val="single" w:sz="4" w:space="0" w:color="auto"/>
            </w:tcBorders>
            <w:shd w:val="solid" w:color="C6D9F1" w:fill="auto"/>
          </w:tcPr>
          <w:p w14:paraId="1105E39A" w14:textId="77777777" w:rsidR="00175542" w:rsidRPr="004360BF" w:rsidRDefault="00175542" w:rsidP="000E2C3A">
            <w:pPr>
              <w:keepNext/>
              <w:spacing w:before="40" w:after="40"/>
              <w:rPr>
                <w:b/>
                <w:sz w:val="22"/>
                <w:szCs w:val="22"/>
                <w:lang w:val="en-AU"/>
              </w:rPr>
            </w:pPr>
          </w:p>
        </w:tc>
        <w:tc>
          <w:tcPr>
            <w:tcW w:w="0" w:type="auto"/>
            <w:tcBorders>
              <w:top w:val="single" w:sz="4" w:space="0" w:color="auto"/>
              <w:left w:val="single" w:sz="4" w:space="0" w:color="auto"/>
              <w:bottom w:val="single" w:sz="4" w:space="0" w:color="auto"/>
              <w:right w:val="single" w:sz="4" w:space="0" w:color="auto"/>
            </w:tcBorders>
            <w:shd w:val="solid" w:color="C6D9F1" w:fill="auto"/>
          </w:tcPr>
          <w:p w14:paraId="29F93B47" w14:textId="77777777" w:rsidR="00175542" w:rsidRPr="004360BF" w:rsidRDefault="00175542" w:rsidP="000E2C3A">
            <w:pPr>
              <w:keepNext/>
              <w:spacing w:before="40" w:after="40"/>
              <w:jc w:val="center"/>
              <w:rPr>
                <w:b/>
                <w:sz w:val="22"/>
                <w:szCs w:val="22"/>
                <w:lang w:val="en-AU"/>
              </w:rPr>
            </w:pPr>
            <w:r w:rsidRPr="004360BF">
              <w:rPr>
                <w:b/>
                <w:sz w:val="22"/>
                <w:szCs w:val="22"/>
                <w:lang w:val="en-AU"/>
              </w:rPr>
              <w:t xml:space="preserve">Street Lighting </w:t>
            </w:r>
            <w:r w:rsidR="001766E3" w:rsidRPr="004360BF">
              <w:rPr>
                <w:b/>
                <w:sz w:val="22"/>
                <w:szCs w:val="22"/>
                <w:lang w:val="en-AU"/>
              </w:rPr>
              <w:t>and</w:t>
            </w:r>
            <w:r w:rsidRPr="004360BF">
              <w:rPr>
                <w:b/>
                <w:sz w:val="22"/>
                <w:szCs w:val="22"/>
                <w:lang w:val="en-AU"/>
              </w:rPr>
              <w:t xml:space="preserve"> other unmetered supplies</w:t>
            </w:r>
            <w:r w:rsidRPr="004360BF">
              <w:rPr>
                <w:b/>
                <w:sz w:val="22"/>
                <w:szCs w:val="22"/>
                <w:lang w:val="en-AU"/>
              </w:rPr>
              <w:br/>
              <w:t xml:space="preserve"> 2013/14</w:t>
            </w:r>
          </w:p>
        </w:tc>
        <w:tc>
          <w:tcPr>
            <w:tcW w:w="0" w:type="auto"/>
            <w:tcBorders>
              <w:top w:val="single" w:sz="4" w:space="0" w:color="auto"/>
              <w:left w:val="single" w:sz="4" w:space="0" w:color="auto"/>
              <w:bottom w:val="single" w:sz="4" w:space="0" w:color="auto"/>
              <w:right w:val="single" w:sz="4" w:space="0" w:color="auto"/>
            </w:tcBorders>
            <w:shd w:val="solid" w:color="C6D9F1" w:fill="auto"/>
          </w:tcPr>
          <w:p w14:paraId="5963CC56" w14:textId="77777777" w:rsidR="00175542" w:rsidRPr="004360BF" w:rsidRDefault="00175542" w:rsidP="000E2C3A">
            <w:pPr>
              <w:keepNext/>
              <w:spacing w:before="40" w:after="40"/>
              <w:jc w:val="center"/>
              <w:rPr>
                <w:b/>
                <w:sz w:val="22"/>
                <w:szCs w:val="22"/>
                <w:lang w:val="en-AU"/>
              </w:rPr>
            </w:pPr>
            <w:r w:rsidRPr="004360BF">
              <w:rPr>
                <w:b/>
                <w:sz w:val="22"/>
                <w:szCs w:val="22"/>
                <w:lang w:val="en-AU"/>
              </w:rPr>
              <w:t xml:space="preserve">Street Lighting </w:t>
            </w:r>
            <w:r w:rsidR="001766E3" w:rsidRPr="004360BF">
              <w:rPr>
                <w:b/>
                <w:sz w:val="22"/>
                <w:szCs w:val="22"/>
                <w:lang w:val="en-AU"/>
              </w:rPr>
              <w:t>and</w:t>
            </w:r>
            <w:r w:rsidRPr="004360BF">
              <w:rPr>
                <w:b/>
                <w:sz w:val="22"/>
                <w:szCs w:val="22"/>
                <w:lang w:val="en-AU"/>
              </w:rPr>
              <w:t xml:space="preserve"> </w:t>
            </w:r>
            <w:r w:rsidR="000D2FE8" w:rsidRPr="004360BF">
              <w:rPr>
                <w:b/>
                <w:sz w:val="22"/>
                <w:szCs w:val="22"/>
                <w:lang w:val="en-AU"/>
              </w:rPr>
              <w:t>similar consumption profiled unmetered</w:t>
            </w:r>
            <w:r w:rsidRPr="004360BF">
              <w:rPr>
                <w:b/>
                <w:sz w:val="22"/>
                <w:szCs w:val="22"/>
                <w:lang w:val="en-AU"/>
              </w:rPr>
              <w:br/>
              <w:t xml:space="preserve"> 2014/15</w:t>
            </w:r>
          </w:p>
        </w:tc>
        <w:tc>
          <w:tcPr>
            <w:tcW w:w="0" w:type="auto"/>
            <w:tcBorders>
              <w:top w:val="single" w:sz="4" w:space="0" w:color="auto"/>
              <w:left w:val="single" w:sz="4" w:space="0" w:color="auto"/>
              <w:bottom w:val="single" w:sz="4" w:space="0" w:color="auto"/>
              <w:right w:val="single" w:sz="4" w:space="0" w:color="auto"/>
            </w:tcBorders>
            <w:shd w:val="solid" w:color="C6D9F1" w:fill="auto"/>
          </w:tcPr>
          <w:p w14:paraId="64A2EC43" w14:textId="77777777" w:rsidR="00175542" w:rsidRPr="004360BF" w:rsidRDefault="00175542" w:rsidP="000E2C3A">
            <w:pPr>
              <w:keepNext/>
              <w:spacing w:before="40" w:after="40"/>
              <w:jc w:val="center"/>
              <w:rPr>
                <w:b/>
                <w:sz w:val="22"/>
                <w:szCs w:val="22"/>
                <w:lang w:val="en-AU"/>
              </w:rPr>
            </w:pPr>
            <w:r w:rsidRPr="004360BF">
              <w:rPr>
                <w:b/>
                <w:sz w:val="22"/>
                <w:szCs w:val="22"/>
                <w:lang w:val="en-AU"/>
              </w:rPr>
              <w:t xml:space="preserve">Traffic lights </w:t>
            </w:r>
            <w:r w:rsidR="001766E3" w:rsidRPr="004360BF">
              <w:rPr>
                <w:b/>
                <w:sz w:val="22"/>
                <w:szCs w:val="22"/>
                <w:lang w:val="en-AU"/>
              </w:rPr>
              <w:t>and</w:t>
            </w:r>
            <w:r w:rsidRPr="004360BF">
              <w:rPr>
                <w:b/>
                <w:sz w:val="22"/>
                <w:szCs w:val="22"/>
                <w:lang w:val="en-AU"/>
              </w:rPr>
              <w:t xml:space="preserve"> </w:t>
            </w:r>
            <w:r w:rsidR="000D2FE8" w:rsidRPr="004360BF">
              <w:rPr>
                <w:b/>
                <w:sz w:val="22"/>
                <w:szCs w:val="22"/>
                <w:lang w:val="en-AU"/>
              </w:rPr>
              <w:t>similar unmetered</w:t>
            </w:r>
            <w:r w:rsidRPr="004360BF">
              <w:rPr>
                <w:b/>
                <w:sz w:val="22"/>
                <w:szCs w:val="22"/>
                <w:lang w:val="en-AU"/>
              </w:rPr>
              <w:t xml:space="preserve"> 24 hour supplies</w:t>
            </w:r>
            <w:r w:rsidRPr="004360BF">
              <w:rPr>
                <w:b/>
                <w:sz w:val="22"/>
                <w:szCs w:val="22"/>
                <w:lang w:val="en-AU"/>
              </w:rPr>
              <w:br/>
              <w:t>2014/15</w:t>
            </w:r>
          </w:p>
        </w:tc>
      </w:tr>
      <w:tr w:rsidR="00175542" w:rsidRPr="004360BF" w14:paraId="14965A4F" w14:textId="77777777" w:rsidTr="00105FA5">
        <w:trPr>
          <w:trHeight w:val="505"/>
        </w:trPr>
        <w:tc>
          <w:tcPr>
            <w:tcW w:w="0" w:type="auto"/>
            <w:tcBorders>
              <w:top w:val="single" w:sz="4" w:space="0" w:color="auto"/>
              <w:left w:val="single" w:sz="4" w:space="0" w:color="auto"/>
              <w:bottom w:val="single" w:sz="4" w:space="0" w:color="auto"/>
              <w:right w:val="single" w:sz="4" w:space="0" w:color="auto"/>
            </w:tcBorders>
            <w:vAlign w:val="center"/>
          </w:tcPr>
          <w:p w14:paraId="3A0A635F" w14:textId="77777777" w:rsidR="00175542" w:rsidRPr="004360BF" w:rsidRDefault="00175542" w:rsidP="000E2C3A">
            <w:pPr>
              <w:keepNext/>
              <w:spacing w:before="40" w:after="40"/>
              <w:rPr>
                <w:sz w:val="22"/>
                <w:szCs w:val="22"/>
                <w:lang w:val="en-AU"/>
              </w:rPr>
            </w:pPr>
            <w:r w:rsidRPr="004360BF">
              <w:rPr>
                <w:sz w:val="22"/>
                <w:szCs w:val="22"/>
                <w:lang w:val="en-AU"/>
              </w:rPr>
              <w:t>Energy ¢/kWh</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B9314EB" w14:textId="77777777" w:rsidR="00175542" w:rsidRPr="004360BF" w:rsidRDefault="00175542" w:rsidP="000E2C3A">
            <w:pPr>
              <w:keepNext/>
              <w:spacing w:before="40" w:after="40"/>
              <w:jc w:val="center"/>
              <w:rPr>
                <w:rFonts w:cs="Tahoma"/>
                <w:sz w:val="22"/>
                <w:szCs w:val="22"/>
                <w:lang w:val="en-AU"/>
              </w:rPr>
            </w:pPr>
            <w:r w:rsidRPr="004360BF">
              <w:rPr>
                <w:rFonts w:cs="Tahoma"/>
                <w:sz w:val="22"/>
                <w:szCs w:val="22"/>
                <w:lang w:val="en-AU"/>
              </w:rPr>
              <w:t>Estimated energy consumed</w:t>
            </w:r>
          </w:p>
        </w:tc>
      </w:tr>
    </w:tbl>
    <w:p w14:paraId="6B9907F7" w14:textId="77777777" w:rsidR="000E2C3A" w:rsidRPr="004360BF" w:rsidRDefault="000E2C3A" w:rsidP="000E2C3A">
      <w:pPr>
        <w:spacing w:after="0"/>
        <w:rPr>
          <w:lang w:val="en-AU"/>
        </w:rPr>
      </w:pPr>
    </w:p>
    <w:p w14:paraId="6713417E" w14:textId="41D1657E" w:rsidR="006028DB" w:rsidRPr="004360BF" w:rsidRDefault="006261A1" w:rsidP="000E2C3A">
      <w:pPr>
        <w:rPr>
          <w:lang w:val="en-AU"/>
        </w:rPr>
      </w:pPr>
      <w:r w:rsidRPr="004360BF">
        <w:rPr>
          <w:lang w:val="en-AU"/>
        </w:rPr>
        <w:lastRenderedPageBreak/>
        <w:t>As t</w:t>
      </w:r>
      <w:r w:rsidR="006028DB" w:rsidRPr="004360BF">
        <w:rPr>
          <w:lang w:val="en-AU"/>
        </w:rPr>
        <w:t xml:space="preserve">here is only one charging </w:t>
      </w:r>
      <w:r w:rsidR="00112A4E" w:rsidRPr="004360BF">
        <w:rPr>
          <w:lang w:val="en-AU"/>
        </w:rPr>
        <w:t>parameter</w:t>
      </w:r>
      <w:r w:rsidR="006028DB" w:rsidRPr="004360BF">
        <w:rPr>
          <w:lang w:val="en-AU"/>
        </w:rPr>
        <w:t xml:space="preserve"> for unmetered supplies all costs are recovered through the energy rate.</w:t>
      </w:r>
    </w:p>
    <w:p w14:paraId="68C472D6" w14:textId="77777777" w:rsidR="00175542" w:rsidRPr="004360BF" w:rsidRDefault="0069002F" w:rsidP="00B30BF6">
      <w:pPr>
        <w:pStyle w:val="Heading2"/>
      </w:pPr>
      <w:bookmarkStart w:id="334" w:name="_Toc417291259"/>
      <w:bookmarkStart w:id="335" w:name="_Toc417291763"/>
      <w:bookmarkStart w:id="336" w:name="_Toc417292531"/>
      <w:bookmarkStart w:id="337" w:name="_Toc291262251"/>
      <w:bookmarkStart w:id="338" w:name="_Toc417458021"/>
      <w:bookmarkStart w:id="339" w:name="_Toc418608690"/>
      <w:r w:rsidRPr="004360BF">
        <w:t>&gt;</w:t>
      </w:r>
      <w:r w:rsidR="000D2FE8" w:rsidRPr="004360BF">
        <w:t xml:space="preserve">750 </w:t>
      </w:r>
      <w:proofErr w:type="spellStart"/>
      <w:r w:rsidR="000D2FE8" w:rsidRPr="004360BF">
        <w:t>MWh</w:t>
      </w:r>
      <w:proofErr w:type="spellEnd"/>
      <w:r w:rsidR="000D2FE8" w:rsidRPr="004360BF">
        <w:t xml:space="preserve"> pa </w:t>
      </w:r>
      <w:r w:rsidR="00175542" w:rsidRPr="004360BF">
        <w:t xml:space="preserve">Commercial </w:t>
      </w:r>
      <w:r w:rsidRPr="004360BF">
        <w:t>(HV</w:t>
      </w:r>
      <w:r w:rsidR="004778BA" w:rsidRPr="004360BF">
        <w:t xml:space="preserve"> and LV</w:t>
      </w:r>
      <w:r w:rsidRPr="004360BF">
        <w:t xml:space="preserve">) </w:t>
      </w:r>
      <w:r w:rsidR="00175542" w:rsidRPr="004360BF">
        <w:t>tariff</w:t>
      </w:r>
      <w:r w:rsidRPr="004360BF">
        <w:t>s</w:t>
      </w:r>
      <w:bookmarkEnd w:id="334"/>
      <w:bookmarkEnd w:id="335"/>
      <w:bookmarkEnd w:id="336"/>
      <w:bookmarkEnd w:id="337"/>
      <w:bookmarkEnd w:id="338"/>
      <w:bookmarkEnd w:id="339"/>
      <w:r w:rsidR="00175542" w:rsidRPr="004360BF">
        <w:t xml:space="preserve"> </w:t>
      </w:r>
    </w:p>
    <w:p w14:paraId="53766371" w14:textId="31C9EF26" w:rsidR="00175542" w:rsidRPr="004360BF" w:rsidRDefault="00175542" w:rsidP="000E2C3A">
      <w:pPr>
        <w:rPr>
          <w:lang w:val="en-AU"/>
        </w:rPr>
      </w:pPr>
      <w:r w:rsidRPr="004360BF">
        <w:rPr>
          <w:lang w:val="en-AU"/>
        </w:rPr>
        <w:t xml:space="preserve">The charging </w:t>
      </w:r>
      <w:r w:rsidR="00112A4E" w:rsidRPr="004360BF">
        <w:rPr>
          <w:lang w:val="en-AU"/>
        </w:rPr>
        <w:t>parameter</w:t>
      </w:r>
      <w:r w:rsidRPr="004360BF">
        <w:rPr>
          <w:lang w:val="en-AU"/>
        </w:rPr>
        <w:t xml:space="preserve"> for the </w:t>
      </w:r>
      <w:r w:rsidR="000D2FE8" w:rsidRPr="004360BF">
        <w:rPr>
          <w:lang w:val="en-AU"/>
        </w:rPr>
        <w:t xml:space="preserve">&gt;750 </w:t>
      </w:r>
      <w:proofErr w:type="spellStart"/>
      <w:r w:rsidR="000D2FE8" w:rsidRPr="004360BF">
        <w:rPr>
          <w:lang w:val="en-AU"/>
        </w:rPr>
        <w:t>MWh</w:t>
      </w:r>
      <w:proofErr w:type="spellEnd"/>
      <w:r w:rsidR="000D2FE8" w:rsidRPr="004360BF">
        <w:rPr>
          <w:lang w:val="en-AU"/>
        </w:rPr>
        <w:t xml:space="preserve"> per annum </w:t>
      </w:r>
      <w:r w:rsidRPr="004360BF">
        <w:rPr>
          <w:lang w:val="en-AU"/>
        </w:rPr>
        <w:t xml:space="preserve">Commercial </w:t>
      </w:r>
      <w:r w:rsidR="004D7212" w:rsidRPr="004360BF">
        <w:rPr>
          <w:lang w:val="en-AU"/>
        </w:rPr>
        <w:t xml:space="preserve">(HV </w:t>
      </w:r>
      <w:r w:rsidR="001766E3" w:rsidRPr="004360BF">
        <w:rPr>
          <w:lang w:val="en-AU"/>
        </w:rPr>
        <w:t>and</w:t>
      </w:r>
      <w:r w:rsidR="004D7212" w:rsidRPr="004360BF">
        <w:rPr>
          <w:lang w:val="en-AU"/>
        </w:rPr>
        <w:t xml:space="preserve"> LV) </w:t>
      </w:r>
      <w:r w:rsidRPr="004360BF">
        <w:rPr>
          <w:lang w:val="en-AU"/>
        </w:rPr>
        <w:t>tariff</w:t>
      </w:r>
      <w:r w:rsidR="004D7212" w:rsidRPr="004360BF">
        <w:rPr>
          <w:lang w:val="en-AU"/>
        </w:rPr>
        <w:t>s</w:t>
      </w:r>
      <w:r w:rsidRPr="004360BF">
        <w:rPr>
          <w:lang w:val="en-AU"/>
        </w:rPr>
        <w:t xml:space="preserve"> for customers with annual consumption in excess of 750 </w:t>
      </w:r>
      <w:proofErr w:type="spellStart"/>
      <w:r w:rsidRPr="004360BF">
        <w:rPr>
          <w:lang w:val="en-AU"/>
        </w:rPr>
        <w:t>MWh</w:t>
      </w:r>
      <w:proofErr w:type="spellEnd"/>
      <w:r w:rsidRPr="004360BF">
        <w:rPr>
          <w:lang w:val="en-AU"/>
        </w:rPr>
        <w:t xml:space="preserve"> </w:t>
      </w:r>
      <w:r w:rsidR="0069002F" w:rsidRPr="004360BF">
        <w:rPr>
          <w:lang w:val="en-AU"/>
        </w:rPr>
        <w:t xml:space="preserve">and connected to either the high voltage or low voltage network </w:t>
      </w:r>
      <w:r w:rsidRPr="004360BF">
        <w:rPr>
          <w:lang w:val="en-AU"/>
        </w:rPr>
        <w:t>are shown in</w:t>
      </w:r>
      <w:r w:rsidR="00E41270" w:rsidRPr="004360BF">
        <w:rPr>
          <w:lang w:val="en-AU"/>
        </w:rPr>
        <w:t xml:space="preserve"> </w:t>
      </w:r>
      <w:r w:rsidR="00CC1083" w:rsidRPr="004360BF">
        <w:rPr>
          <w:lang w:val="en-AU"/>
        </w:rPr>
        <w:fldChar w:fldCharType="begin"/>
      </w:r>
      <w:r w:rsidR="00CC1083" w:rsidRPr="004360BF">
        <w:rPr>
          <w:lang w:val="en-AU"/>
        </w:rPr>
        <w:instrText xml:space="preserve"> REF _Ref387481734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9</w:t>
      </w:r>
      <w:r w:rsidR="00CC1083" w:rsidRPr="004360BF">
        <w:rPr>
          <w:lang w:val="en-AU"/>
        </w:rPr>
        <w:fldChar w:fldCharType="end"/>
      </w:r>
      <w:r w:rsidRPr="004360BF">
        <w:rPr>
          <w:lang w:val="en-AU"/>
        </w:rPr>
        <w:t>.</w:t>
      </w:r>
    </w:p>
    <w:p w14:paraId="7FD1CEDF" w14:textId="77777777" w:rsidR="00175542" w:rsidRPr="004360BF" w:rsidRDefault="00175542" w:rsidP="00942DE7">
      <w:pPr>
        <w:pStyle w:val="Caption"/>
        <w:rPr>
          <w:lang w:val="en-AU"/>
        </w:rPr>
      </w:pPr>
      <w:bookmarkStart w:id="340" w:name="_Ref387481734"/>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9</w:t>
      </w:r>
      <w:r w:rsidR="00517DD9" w:rsidRPr="004360BF">
        <w:rPr>
          <w:lang w:val="en-AU"/>
        </w:rPr>
        <w:fldChar w:fldCharType="end"/>
      </w:r>
      <w:bookmarkEnd w:id="340"/>
      <w:r w:rsidRPr="004360BF">
        <w:rPr>
          <w:lang w:val="en-AU"/>
        </w:rPr>
        <w:t xml:space="preserve"> - </w:t>
      </w:r>
      <w:r w:rsidR="000D2FE8" w:rsidRPr="004360BF">
        <w:rPr>
          <w:lang w:val="en-AU"/>
        </w:rPr>
        <w:t>&gt;750</w:t>
      </w:r>
      <w:r w:rsidR="004C78C6" w:rsidRPr="004360BF">
        <w:rPr>
          <w:lang w:val="en-AU"/>
        </w:rPr>
        <w:t xml:space="preserve"> </w:t>
      </w:r>
      <w:proofErr w:type="spellStart"/>
      <w:r w:rsidR="000D2FE8" w:rsidRPr="004360BF">
        <w:rPr>
          <w:lang w:val="en-AU"/>
        </w:rPr>
        <w:t>MWh</w:t>
      </w:r>
      <w:proofErr w:type="spellEnd"/>
      <w:r w:rsidR="000D2FE8" w:rsidRPr="004360BF">
        <w:rPr>
          <w:lang w:val="en-AU"/>
        </w:rPr>
        <w:t xml:space="preserve"> pa </w:t>
      </w:r>
      <w:r w:rsidRPr="004360BF">
        <w:rPr>
          <w:lang w:val="en-AU"/>
        </w:rPr>
        <w:t xml:space="preserve">Commercial </w:t>
      </w:r>
      <w:r w:rsidR="0069002F" w:rsidRPr="004360BF">
        <w:rPr>
          <w:lang w:val="en-AU"/>
        </w:rPr>
        <w:t xml:space="preserve">– HV </w:t>
      </w:r>
      <w:r w:rsidR="001766E3" w:rsidRPr="004360BF">
        <w:rPr>
          <w:lang w:val="en-AU"/>
        </w:rPr>
        <w:t>and</w:t>
      </w:r>
      <w:r w:rsidR="0069002F" w:rsidRPr="004360BF">
        <w:rPr>
          <w:lang w:val="en-AU"/>
        </w:rPr>
        <w:t xml:space="preserve"> LV </w:t>
      </w:r>
      <w:r w:rsidRPr="004360BF">
        <w:rPr>
          <w:lang w:val="en-AU"/>
        </w:rPr>
        <w:t>tariff</w:t>
      </w:r>
      <w:r w:rsidR="0069002F" w:rsidRPr="004360BF">
        <w:rPr>
          <w:lang w:val="en-AU"/>
        </w:rPr>
        <w:t>s</w:t>
      </w:r>
      <w:r w:rsidRPr="004360BF">
        <w:rPr>
          <w:lang w:val="en-AU"/>
        </w:rPr>
        <w:t xml:space="preserve"> charging </w:t>
      </w:r>
      <w:r w:rsidR="00112A4E" w:rsidRPr="004360BF">
        <w:rPr>
          <w:lang w:val="en-AU"/>
        </w:rPr>
        <w:t>parameter</w:t>
      </w:r>
      <w:r w:rsidRPr="004360BF">
        <w:rPr>
          <w:lang w:val="en-AU"/>
        </w:rPr>
        <w: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701"/>
        <w:gridCol w:w="2268"/>
        <w:gridCol w:w="2268"/>
      </w:tblGrid>
      <w:tr w:rsidR="00DB3F1B" w:rsidRPr="004360BF" w14:paraId="1FC0835A" w14:textId="77777777" w:rsidTr="00D84332">
        <w:tc>
          <w:tcPr>
            <w:tcW w:w="2835" w:type="dxa"/>
            <w:vMerge w:val="restart"/>
            <w:tcBorders>
              <w:top w:val="single" w:sz="4" w:space="0" w:color="auto"/>
              <w:left w:val="single" w:sz="4" w:space="0" w:color="auto"/>
              <w:bottom w:val="single" w:sz="4" w:space="0" w:color="auto"/>
              <w:right w:val="single" w:sz="4" w:space="0" w:color="auto"/>
            </w:tcBorders>
            <w:shd w:val="solid" w:color="C6D9F1" w:fill="auto"/>
          </w:tcPr>
          <w:p w14:paraId="2EFA45A3" w14:textId="77777777" w:rsidR="00175542" w:rsidRPr="004360BF" w:rsidRDefault="00175542" w:rsidP="00112A4E">
            <w:pPr>
              <w:spacing w:before="40" w:after="40"/>
              <w:rPr>
                <w:b/>
                <w:sz w:val="22"/>
                <w:szCs w:val="22"/>
                <w:lang w:val="en-AU"/>
              </w:rPr>
            </w:pPr>
            <w:r w:rsidRPr="004360BF">
              <w:rPr>
                <w:b/>
                <w:sz w:val="22"/>
                <w:szCs w:val="22"/>
                <w:lang w:val="en-AU"/>
              </w:rPr>
              <w:t xml:space="preserve">Charging </w:t>
            </w:r>
            <w:r w:rsidR="00112A4E" w:rsidRPr="004360BF">
              <w:rPr>
                <w:b/>
                <w:sz w:val="22"/>
                <w:szCs w:val="22"/>
                <w:lang w:val="en-AU"/>
              </w:rPr>
              <w:t>Parameter</w:t>
            </w:r>
          </w:p>
        </w:tc>
        <w:tc>
          <w:tcPr>
            <w:tcW w:w="6237" w:type="dxa"/>
            <w:gridSpan w:val="3"/>
            <w:tcBorders>
              <w:top w:val="single" w:sz="4" w:space="0" w:color="auto"/>
              <w:left w:val="single" w:sz="4" w:space="0" w:color="auto"/>
              <w:bottom w:val="single" w:sz="4" w:space="0" w:color="auto"/>
              <w:right w:val="single" w:sz="4" w:space="0" w:color="auto"/>
            </w:tcBorders>
            <w:shd w:val="solid" w:color="C6D9F1" w:fill="auto"/>
          </w:tcPr>
          <w:p w14:paraId="524E452C" w14:textId="77777777" w:rsidR="00175542" w:rsidRPr="004360BF" w:rsidRDefault="00175542" w:rsidP="007B4613">
            <w:pPr>
              <w:spacing w:before="40" w:after="40"/>
              <w:jc w:val="center"/>
              <w:rPr>
                <w:b/>
                <w:sz w:val="22"/>
                <w:szCs w:val="22"/>
                <w:lang w:val="en-AU"/>
              </w:rPr>
            </w:pPr>
            <w:r w:rsidRPr="004360BF">
              <w:rPr>
                <w:b/>
                <w:sz w:val="22"/>
                <w:szCs w:val="22"/>
                <w:lang w:val="en-AU"/>
              </w:rPr>
              <w:t>Tariff</w:t>
            </w:r>
            <w:r w:rsidR="00DB3F1B" w:rsidRPr="004360BF">
              <w:rPr>
                <w:b/>
                <w:sz w:val="22"/>
                <w:szCs w:val="22"/>
                <w:lang w:val="en-AU"/>
              </w:rPr>
              <w:t xml:space="preserve"> (&gt;750</w:t>
            </w:r>
            <w:r w:rsidR="004C78C6" w:rsidRPr="004360BF">
              <w:rPr>
                <w:b/>
                <w:sz w:val="22"/>
                <w:szCs w:val="22"/>
                <w:lang w:val="en-AU"/>
              </w:rPr>
              <w:t xml:space="preserve"> </w:t>
            </w:r>
            <w:proofErr w:type="spellStart"/>
            <w:r w:rsidR="00DB3F1B" w:rsidRPr="004360BF">
              <w:rPr>
                <w:b/>
                <w:sz w:val="22"/>
                <w:szCs w:val="22"/>
                <w:lang w:val="en-AU"/>
              </w:rPr>
              <w:t>MWh</w:t>
            </w:r>
            <w:proofErr w:type="spellEnd"/>
            <w:r w:rsidR="00DB3F1B" w:rsidRPr="004360BF">
              <w:rPr>
                <w:b/>
                <w:sz w:val="22"/>
                <w:szCs w:val="22"/>
                <w:lang w:val="en-AU"/>
              </w:rPr>
              <w:t xml:space="preserve"> pa)</w:t>
            </w:r>
          </w:p>
        </w:tc>
      </w:tr>
      <w:tr w:rsidR="00FC347A" w:rsidRPr="004360BF" w14:paraId="1BDDDAB1" w14:textId="77777777" w:rsidTr="00D84332">
        <w:tc>
          <w:tcPr>
            <w:tcW w:w="2835" w:type="dxa"/>
            <w:vMerge/>
            <w:tcBorders>
              <w:top w:val="single" w:sz="4" w:space="0" w:color="auto"/>
              <w:left w:val="single" w:sz="4" w:space="0" w:color="auto"/>
              <w:bottom w:val="single" w:sz="4" w:space="0" w:color="auto"/>
              <w:right w:val="single" w:sz="4" w:space="0" w:color="auto"/>
            </w:tcBorders>
            <w:shd w:val="solid" w:color="C6D9F1" w:fill="auto"/>
          </w:tcPr>
          <w:p w14:paraId="377BC96B" w14:textId="77777777" w:rsidR="00175542" w:rsidRPr="004360BF" w:rsidRDefault="00175542">
            <w:pPr>
              <w:spacing w:before="40" w:after="40"/>
              <w:rPr>
                <w:b/>
                <w:sz w:val="22"/>
                <w:szCs w:val="22"/>
                <w:lang w:val="en-AU"/>
              </w:rPr>
            </w:pPr>
          </w:p>
        </w:tc>
        <w:tc>
          <w:tcPr>
            <w:tcW w:w="1701" w:type="dxa"/>
            <w:tcBorders>
              <w:top w:val="single" w:sz="4" w:space="0" w:color="auto"/>
              <w:left w:val="single" w:sz="4" w:space="0" w:color="auto"/>
              <w:bottom w:val="single" w:sz="4" w:space="0" w:color="auto"/>
              <w:right w:val="single" w:sz="4" w:space="0" w:color="auto"/>
            </w:tcBorders>
            <w:shd w:val="solid" w:color="C6D9F1" w:fill="auto"/>
          </w:tcPr>
          <w:p w14:paraId="22EAF0C7" w14:textId="77777777" w:rsidR="00175542" w:rsidRPr="004360BF" w:rsidRDefault="00175542" w:rsidP="00942DE7">
            <w:pPr>
              <w:spacing w:before="40" w:after="40"/>
              <w:jc w:val="center"/>
              <w:rPr>
                <w:b/>
                <w:sz w:val="22"/>
                <w:szCs w:val="22"/>
                <w:lang w:val="en-AU"/>
              </w:rPr>
            </w:pPr>
          </w:p>
        </w:tc>
        <w:tc>
          <w:tcPr>
            <w:tcW w:w="2268" w:type="dxa"/>
            <w:tcBorders>
              <w:top w:val="single" w:sz="4" w:space="0" w:color="auto"/>
              <w:left w:val="single" w:sz="4" w:space="0" w:color="auto"/>
              <w:bottom w:val="single" w:sz="4" w:space="0" w:color="auto"/>
              <w:right w:val="single" w:sz="4" w:space="0" w:color="auto"/>
            </w:tcBorders>
            <w:shd w:val="solid" w:color="C6D9F1" w:fill="auto"/>
          </w:tcPr>
          <w:p w14:paraId="2A23D324" w14:textId="77777777" w:rsidR="00175542" w:rsidRPr="004360BF" w:rsidRDefault="00DB3F1B" w:rsidP="00942DE7">
            <w:pPr>
              <w:spacing w:before="40" w:after="40"/>
              <w:jc w:val="center"/>
              <w:rPr>
                <w:b/>
                <w:sz w:val="22"/>
                <w:szCs w:val="22"/>
                <w:lang w:val="en-AU"/>
              </w:rPr>
            </w:pPr>
            <w:r w:rsidRPr="004360BF">
              <w:rPr>
                <w:b/>
                <w:sz w:val="22"/>
                <w:szCs w:val="22"/>
                <w:lang w:val="en-AU"/>
              </w:rPr>
              <w:t xml:space="preserve">&gt;750 </w:t>
            </w:r>
            <w:r w:rsidR="00175542" w:rsidRPr="004360BF">
              <w:rPr>
                <w:b/>
                <w:sz w:val="22"/>
                <w:szCs w:val="22"/>
                <w:lang w:val="en-AU"/>
              </w:rPr>
              <w:t>Commercial LV 201</w:t>
            </w:r>
            <w:r w:rsidR="00E6689A" w:rsidRPr="004360BF">
              <w:rPr>
                <w:b/>
                <w:sz w:val="22"/>
                <w:szCs w:val="22"/>
                <w:lang w:val="en-AU"/>
              </w:rPr>
              <w:t>5</w:t>
            </w:r>
            <w:r w:rsidR="00175542" w:rsidRPr="004360BF">
              <w:rPr>
                <w:b/>
                <w:sz w:val="22"/>
                <w:szCs w:val="22"/>
                <w:lang w:val="en-AU"/>
              </w:rPr>
              <w:t>/1</w:t>
            </w:r>
            <w:r w:rsidR="00E6689A" w:rsidRPr="004360BF">
              <w:rPr>
                <w:b/>
                <w:sz w:val="22"/>
                <w:szCs w:val="22"/>
                <w:lang w:val="en-AU"/>
              </w:rPr>
              <w:t>6</w:t>
            </w:r>
          </w:p>
        </w:tc>
        <w:tc>
          <w:tcPr>
            <w:tcW w:w="2268" w:type="dxa"/>
            <w:tcBorders>
              <w:top w:val="single" w:sz="4" w:space="0" w:color="auto"/>
              <w:left w:val="single" w:sz="4" w:space="0" w:color="auto"/>
              <w:bottom w:val="single" w:sz="4" w:space="0" w:color="auto"/>
              <w:right w:val="single" w:sz="4" w:space="0" w:color="auto"/>
            </w:tcBorders>
            <w:shd w:val="solid" w:color="C6D9F1" w:fill="auto"/>
          </w:tcPr>
          <w:p w14:paraId="3B67E58B" w14:textId="77777777" w:rsidR="00175542" w:rsidRPr="004360BF" w:rsidRDefault="00DB3F1B" w:rsidP="00E6689A">
            <w:pPr>
              <w:spacing w:before="40" w:after="40"/>
              <w:jc w:val="center"/>
              <w:rPr>
                <w:b/>
                <w:sz w:val="22"/>
                <w:szCs w:val="22"/>
                <w:lang w:val="en-AU"/>
              </w:rPr>
            </w:pPr>
            <w:r w:rsidRPr="004360BF">
              <w:rPr>
                <w:b/>
                <w:sz w:val="22"/>
                <w:szCs w:val="22"/>
                <w:lang w:val="en-AU"/>
              </w:rPr>
              <w:t xml:space="preserve">&gt;750 </w:t>
            </w:r>
            <w:r w:rsidR="00175542" w:rsidRPr="004360BF">
              <w:rPr>
                <w:b/>
                <w:sz w:val="22"/>
                <w:szCs w:val="22"/>
                <w:lang w:val="en-AU"/>
              </w:rPr>
              <w:t>Commercial HV 201</w:t>
            </w:r>
            <w:r w:rsidR="00E6689A" w:rsidRPr="004360BF">
              <w:rPr>
                <w:b/>
                <w:sz w:val="22"/>
                <w:szCs w:val="22"/>
                <w:lang w:val="en-AU"/>
              </w:rPr>
              <w:t>5</w:t>
            </w:r>
            <w:r w:rsidR="00175542" w:rsidRPr="004360BF">
              <w:rPr>
                <w:b/>
                <w:sz w:val="22"/>
                <w:szCs w:val="22"/>
                <w:lang w:val="en-AU"/>
              </w:rPr>
              <w:t>/1</w:t>
            </w:r>
            <w:r w:rsidR="00E6689A" w:rsidRPr="004360BF">
              <w:rPr>
                <w:b/>
                <w:sz w:val="22"/>
                <w:szCs w:val="22"/>
                <w:lang w:val="en-AU"/>
              </w:rPr>
              <w:t>6</w:t>
            </w:r>
          </w:p>
        </w:tc>
      </w:tr>
      <w:tr w:rsidR="00DB3F1B" w:rsidRPr="004360BF" w14:paraId="07645BB6" w14:textId="77777777" w:rsidTr="00D84332">
        <w:tc>
          <w:tcPr>
            <w:tcW w:w="2835" w:type="dxa"/>
            <w:tcBorders>
              <w:top w:val="single" w:sz="4" w:space="0" w:color="auto"/>
              <w:left w:val="single" w:sz="4" w:space="0" w:color="auto"/>
              <w:bottom w:val="single" w:sz="4" w:space="0" w:color="auto"/>
              <w:right w:val="single" w:sz="4" w:space="0" w:color="auto"/>
            </w:tcBorders>
          </w:tcPr>
          <w:p w14:paraId="291B7FEF" w14:textId="77777777" w:rsidR="00175542" w:rsidRPr="004360BF" w:rsidRDefault="000D2FE8" w:rsidP="007B4613">
            <w:pPr>
              <w:spacing w:before="40" w:after="40"/>
              <w:rPr>
                <w:sz w:val="22"/>
                <w:szCs w:val="22"/>
                <w:lang w:val="en-AU"/>
              </w:rPr>
            </w:pPr>
            <w:r w:rsidRPr="004360BF">
              <w:rPr>
                <w:sz w:val="22"/>
                <w:szCs w:val="22"/>
                <w:lang w:val="en-AU"/>
              </w:rPr>
              <w:t xml:space="preserve">System Availability </w:t>
            </w:r>
            <w:r w:rsidR="00175542" w:rsidRPr="004360BF">
              <w:rPr>
                <w:sz w:val="22"/>
                <w:szCs w:val="22"/>
                <w:lang w:val="en-AU"/>
              </w:rPr>
              <w:t>Charge</w:t>
            </w:r>
          </w:p>
        </w:tc>
        <w:tc>
          <w:tcPr>
            <w:tcW w:w="6237" w:type="dxa"/>
            <w:gridSpan w:val="3"/>
            <w:tcBorders>
              <w:top w:val="single" w:sz="4" w:space="0" w:color="auto"/>
              <w:left w:val="single" w:sz="4" w:space="0" w:color="auto"/>
              <w:bottom w:val="single" w:sz="4" w:space="0" w:color="auto"/>
              <w:right w:val="single" w:sz="4" w:space="0" w:color="auto"/>
            </w:tcBorders>
          </w:tcPr>
          <w:p w14:paraId="1F07C02E" w14:textId="77777777" w:rsidR="00175542" w:rsidRPr="004360BF" w:rsidRDefault="00175542" w:rsidP="007B4613">
            <w:pPr>
              <w:spacing w:before="40" w:after="40"/>
              <w:jc w:val="center"/>
              <w:rPr>
                <w:sz w:val="22"/>
                <w:szCs w:val="22"/>
                <w:lang w:val="en-AU"/>
              </w:rPr>
            </w:pPr>
            <w:r w:rsidRPr="004360BF">
              <w:rPr>
                <w:sz w:val="22"/>
                <w:szCs w:val="22"/>
                <w:lang w:val="en-AU"/>
              </w:rPr>
              <w:t>$/day</w:t>
            </w:r>
          </w:p>
        </w:tc>
      </w:tr>
      <w:tr w:rsidR="00DB3F1B" w:rsidRPr="004360BF" w14:paraId="516B220B" w14:textId="77777777" w:rsidTr="00D84332">
        <w:tc>
          <w:tcPr>
            <w:tcW w:w="2835" w:type="dxa"/>
            <w:vMerge w:val="restart"/>
            <w:tcBorders>
              <w:top w:val="single" w:sz="4" w:space="0" w:color="auto"/>
              <w:left w:val="single" w:sz="4" w:space="0" w:color="auto"/>
              <w:bottom w:val="single" w:sz="4" w:space="0" w:color="auto"/>
              <w:right w:val="single" w:sz="4" w:space="0" w:color="auto"/>
            </w:tcBorders>
            <w:vAlign w:val="center"/>
          </w:tcPr>
          <w:p w14:paraId="301F1508" w14:textId="77777777" w:rsidR="00175542" w:rsidRPr="004360BF" w:rsidRDefault="00175542" w:rsidP="00942DE7">
            <w:pPr>
              <w:spacing w:before="40" w:after="120"/>
              <w:rPr>
                <w:b/>
                <w:sz w:val="22"/>
                <w:szCs w:val="22"/>
                <w:lang w:val="en-AU"/>
              </w:rPr>
            </w:pPr>
            <w:r w:rsidRPr="004360BF">
              <w:rPr>
                <w:sz w:val="22"/>
                <w:szCs w:val="22"/>
                <w:lang w:val="en-AU"/>
              </w:rPr>
              <w:t>Peak energy</w:t>
            </w:r>
            <w:r w:rsidRPr="004360BF">
              <w:rPr>
                <w:sz w:val="22"/>
                <w:szCs w:val="22"/>
                <w:lang w:val="en-AU"/>
              </w:rPr>
              <w:br/>
              <w:t xml:space="preserve">¢/kWh </w:t>
            </w:r>
            <w:r w:rsidRPr="004360BF">
              <w:rPr>
                <w:sz w:val="20"/>
                <w:szCs w:val="20"/>
                <w:lang w:val="en-AU"/>
              </w:rPr>
              <w:t>(a)</w:t>
            </w:r>
            <w:r w:rsidR="007B4613" w:rsidRPr="004360BF">
              <w:rPr>
                <w:sz w:val="22"/>
                <w:szCs w:val="22"/>
                <w:lang w:val="en-AU"/>
              </w:rPr>
              <w:t xml:space="preserve"> ; </w:t>
            </w:r>
            <w:r w:rsidR="001766E3" w:rsidRPr="004360BF">
              <w:rPr>
                <w:sz w:val="22"/>
                <w:szCs w:val="22"/>
                <w:lang w:val="en-AU"/>
              </w:rPr>
              <w:t>and</w:t>
            </w:r>
          </w:p>
          <w:p w14:paraId="3376AB6C" w14:textId="77777777" w:rsidR="007B4613" w:rsidRPr="004360BF" w:rsidRDefault="007B4613" w:rsidP="007B4613">
            <w:pPr>
              <w:spacing w:before="40" w:after="40"/>
              <w:rPr>
                <w:sz w:val="22"/>
                <w:szCs w:val="22"/>
                <w:lang w:val="en-AU"/>
              </w:rPr>
            </w:pPr>
            <w:r w:rsidRPr="004360BF">
              <w:rPr>
                <w:sz w:val="22"/>
                <w:szCs w:val="22"/>
                <w:lang w:val="en-AU"/>
              </w:rPr>
              <w:t>Off-peak energy</w:t>
            </w:r>
          </w:p>
          <w:p w14:paraId="6A9B2E11" w14:textId="77777777" w:rsidR="007B4613" w:rsidRPr="004360BF" w:rsidRDefault="007B4613" w:rsidP="007B4613">
            <w:pPr>
              <w:spacing w:before="40" w:after="40"/>
              <w:rPr>
                <w:sz w:val="22"/>
                <w:szCs w:val="22"/>
                <w:lang w:val="en-AU"/>
              </w:rPr>
            </w:pPr>
            <w:r w:rsidRPr="004360BF">
              <w:rPr>
                <w:sz w:val="22"/>
                <w:szCs w:val="22"/>
                <w:lang w:val="en-AU"/>
              </w:rPr>
              <w:t xml:space="preserve">¢/kWh </w:t>
            </w:r>
            <w:r w:rsidRPr="004360BF">
              <w:rPr>
                <w:sz w:val="20"/>
                <w:szCs w:val="20"/>
                <w:lang w:val="en-AU"/>
              </w:rPr>
              <w:t>(a)</w:t>
            </w:r>
          </w:p>
        </w:tc>
        <w:tc>
          <w:tcPr>
            <w:tcW w:w="6237" w:type="dxa"/>
            <w:gridSpan w:val="3"/>
            <w:tcBorders>
              <w:top w:val="single" w:sz="4" w:space="0" w:color="auto"/>
              <w:left w:val="single" w:sz="4" w:space="0" w:color="auto"/>
              <w:bottom w:val="single" w:sz="4" w:space="0" w:color="auto"/>
              <w:right w:val="single" w:sz="4" w:space="0" w:color="auto"/>
            </w:tcBorders>
          </w:tcPr>
          <w:p w14:paraId="5E43283A" w14:textId="77777777" w:rsidR="00175542" w:rsidRPr="004360BF" w:rsidRDefault="00175542" w:rsidP="007B4613">
            <w:pPr>
              <w:spacing w:before="40" w:after="40"/>
              <w:jc w:val="center"/>
              <w:rPr>
                <w:sz w:val="22"/>
                <w:szCs w:val="22"/>
                <w:lang w:val="en-AU"/>
              </w:rPr>
            </w:pPr>
            <w:r w:rsidRPr="004360BF">
              <w:rPr>
                <w:sz w:val="22"/>
                <w:szCs w:val="22"/>
                <w:lang w:val="en-AU"/>
              </w:rPr>
              <w:t>First 10,000 kWh per month</w:t>
            </w:r>
          </w:p>
        </w:tc>
      </w:tr>
      <w:tr w:rsidR="00DB3F1B" w:rsidRPr="004360BF" w14:paraId="304CEB1C" w14:textId="77777777" w:rsidTr="00D84332">
        <w:tc>
          <w:tcPr>
            <w:tcW w:w="2835" w:type="dxa"/>
            <w:vMerge/>
            <w:tcBorders>
              <w:top w:val="single" w:sz="4" w:space="0" w:color="auto"/>
              <w:left w:val="single" w:sz="4" w:space="0" w:color="auto"/>
              <w:bottom w:val="single" w:sz="4" w:space="0" w:color="auto"/>
              <w:right w:val="single" w:sz="4" w:space="0" w:color="auto"/>
            </w:tcBorders>
          </w:tcPr>
          <w:p w14:paraId="1605EC32" w14:textId="77777777" w:rsidR="00175542" w:rsidRPr="004360BF" w:rsidRDefault="00175542">
            <w:pPr>
              <w:spacing w:before="40" w:after="40"/>
              <w:rPr>
                <w:sz w:val="22"/>
                <w:szCs w:val="22"/>
                <w:lang w:val="en-AU"/>
              </w:rPr>
            </w:pPr>
          </w:p>
        </w:tc>
        <w:tc>
          <w:tcPr>
            <w:tcW w:w="6237" w:type="dxa"/>
            <w:gridSpan w:val="3"/>
            <w:tcBorders>
              <w:top w:val="single" w:sz="4" w:space="0" w:color="auto"/>
              <w:left w:val="single" w:sz="4" w:space="0" w:color="auto"/>
              <w:bottom w:val="single" w:sz="4" w:space="0" w:color="auto"/>
              <w:right w:val="single" w:sz="4" w:space="0" w:color="auto"/>
            </w:tcBorders>
          </w:tcPr>
          <w:p w14:paraId="7C42F8BA" w14:textId="77777777" w:rsidR="00175542" w:rsidRPr="004360BF" w:rsidRDefault="00175542" w:rsidP="00942DE7">
            <w:pPr>
              <w:spacing w:before="40" w:after="40"/>
              <w:jc w:val="center"/>
              <w:rPr>
                <w:b/>
                <w:sz w:val="22"/>
                <w:szCs w:val="22"/>
                <w:lang w:val="en-AU"/>
              </w:rPr>
            </w:pPr>
            <w:r w:rsidRPr="004360BF">
              <w:rPr>
                <w:sz w:val="22"/>
                <w:szCs w:val="22"/>
                <w:lang w:val="en-AU"/>
              </w:rPr>
              <w:t>Next 20,000 kWh per month</w:t>
            </w:r>
          </w:p>
        </w:tc>
      </w:tr>
      <w:tr w:rsidR="00DB3F1B" w:rsidRPr="004360BF" w14:paraId="189EA3FC" w14:textId="77777777" w:rsidTr="00D84332">
        <w:tc>
          <w:tcPr>
            <w:tcW w:w="2835" w:type="dxa"/>
            <w:vMerge/>
            <w:tcBorders>
              <w:top w:val="single" w:sz="4" w:space="0" w:color="auto"/>
              <w:left w:val="single" w:sz="4" w:space="0" w:color="auto"/>
              <w:bottom w:val="single" w:sz="4" w:space="0" w:color="auto"/>
              <w:right w:val="single" w:sz="4" w:space="0" w:color="auto"/>
            </w:tcBorders>
          </w:tcPr>
          <w:p w14:paraId="11E46E9C" w14:textId="77777777" w:rsidR="00175542" w:rsidRPr="004360BF" w:rsidRDefault="00175542">
            <w:pPr>
              <w:spacing w:before="40" w:after="40"/>
              <w:rPr>
                <w:sz w:val="22"/>
                <w:szCs w:val="22"/>
                <w:lang w:val="en-AU"/>
              </w:rPr>
            </w:pPr>
          </w:p>
        </w:tc>
        <w:tc>
          <w:tcPr>
            <w:tcW w:w="6237" w:type="dxa"/>
            <w:gridSpan w:val="3"/>
            <w:tcBorders>
              <w:top w:val="single" w:sz="4" w:space="0" w:color="auto"/>
              <w:left w:val="single" w:sz="4" w:space="0" w:color="auto"/>
              <w:bottom w:val="single" w:sz="4" w:space="0" w:color="auto"/>
              <w:right w:val="single" w:sz="4" w:space="0" w:color="auto"/>
            </w:tcBorders>
          </w:tcPr>
          <w:p w14:paraId="03741D8F" w14:textId="77777777" w:rsidR="00175542" w:rsidRPr="004360BF" w:rsidRDefault="00175542" w:rsidP="00942DE7">
            <w:pPr>
              <w:spacing w:before="40" w:after="40"/>
              <w:jc w:val="center"/>
              <w:rPr>
                <w:b/>
                <w:sz w:val="22"/>
                <w:szCs w:val="22"/>
                <w:lang w:val="en-AU"/>
              </w:rPr>
            </w:pPr>
            <w:r w:rsidRPr="004360BF">
              <w:rPr>
                <w:sz w:val="22"/>
                <w:szCs w:val="22"/>
                <w:lang w:val="en-AU"/>
              </w:rPr>
              <w:t>Next 50,000 kWh per month</w:t>
            </w:r>
          </w:p>
        </w:tc>
      </w:tr>
      <w:tr w:rsidR="00DB3F1B" w:rsidRPr="004360BF" w14:paraId="3E9FC64B" w14:textId="77777777" w:rsidTr="00D84332">
        <w:tc>
          <w:tcPr>
            <w:tcW w:w="2835" w:type="dxa"/>
            <w:vMerge/>
            <w:tcBorders>
              <w:top w:val="single" w:sz="4" w:space="0" w:color="auto"/>
              <w:left w:val="single" w:sz="4" w:space="0" w:color="auto"/>
              <w:bottom w:val="single" w:sz="4" w:space="0" w:color="auto"/>
              <w:right w:val="single" w:sz="4" w:space="0" w:color="auto"/>
            </w:tcBorders>
          </w:tcPr>
          <w:p w14:paraId="1905B465" w14:textId="77777777" w:rsidR="00175542" w:rsidRPr="004360BF" w:rsidRDefault="00175542">
            <w:pPr>
              <w:spacing w:before="40" w:after="40"/>
              <w:rPr>
                <w:sz w:val="22"/>
                <w:szCs w:val="22"/>
                <w:lang w:val="en-AU"/>
              </w:rPr>
            </w:pPr>
          </w:p>
        </w:tc>
        <w:tc>
          <w:tcPr>
            <w:tcW w:w="6237" w:type="dxa"/>
            <w:gridSpan w:val="3"/>
            <w:tcBorders>
              <w:top w:val="single" w:sz="4" w:space="0" w:color="auto"/>
              <w:left w:val="single" w:sz="4" w:space="0" w:color="auto"/>
              <w:bottom w:val="single" w:sz="4" w:space="0" w:color="auto"/>
              <w:right w:val="single" w:sz="4" w:space="0" w:color="auto"/>
            </w:tcBorders>
          </w:tcPr>
          <w:p w14:paraId="0AE642DD" w14:textId="77777777" w:rsidR="00175542" w:rsidRPr="004360BF" w:rsidRDefault="00175542" w:rsidP="00942DE7">
            <w:pPr>
              <w:spacing w:before="40" w:after="40"/>
              <w:jc w:val="center"/>
              <w:rPr>
                <w:b/>
                <w:sz w:val="22"/>
                <w:szCs w:val="22"/>
                <w:lang w:val="en-AU"/>
              </w:rPr>
            </w:pPr>
            <w:r w:rsidRPr="004360BF">
              <w:rPr>
                <w:sz w:val="22"/>
                <w:szCs w:val="22"/>
                <w:lang w:val="en-AU"/>
              </w:rPr>
              <w:t>Next 100,000 kWh per month</w:t>
            </w:r>
          </w:p>
        </w:tc>
      </w:tr>
      <w:tr w:rsidR="00DB3F1B" w:rsidRPr="004360BF" w14:paraId="0B72AF9C" w14:textId="77777777" w:rsidTr="00D84332">
        <w:tc>
          <w:tcPr>
            <w:tcW w:w="2835" w:type="dxa"/>
            <w:vMerge/>
            <w:tcBorders>
              <w:top w:val="single" w:sz="4" w:space="0" w:color="auto"/>
              <w:left w:val="single" w:sz="4" w:space="0" w:color="auto"/>
              <w:bottom w:val="single" w:sz="4" w:space="0" w:color="auto"/>
              <w:right w:val="single" w:sz="4" w:space="0" w:color="auto"/>
            </w:tcBorders>
          </w:tcPr>
          <w:p w14:paraId="1286F2F5" w14:textId="77777777" w:rsidR="00175542" w:rsidRPr="004360BF" w:rsidRDefault="00175542">
            <w:pPr>
              <w:spacing w:before="40" w:after="40"/>
              <w:rPr>
                <w:sz w:val="22"/>
                <w:szCs w:val="22"/>
                <w:lang w:val="en-AU"/>
              </w:rPr>
            </w:pPr>
          </w:p>
        </w:tc>
        <w:tc>
          <w:tcPr>
            <w:tcW w:w="6237" w:type="dxa"/>
            <w:gridSpan w:val="3"/>
            <w:tcBorders>
              <w:top w:val="single" w:sz="4" w:space="0" w:color="auto"/>
              <w:left w:val="single" w:sz="4" w:space="0" w:color="auto"/>
              <w:bottom w:val="single" w:sz="4" w:space="0" w:color="auto"/>
              <w:right w:val="single" w:sz="4" w:space="0" w:color="auto"/>
            </w:tcBorders>
          </w:tcPr>
          <w:p w14:paraId="5E234DF6" w14:textId="77777777" w:rsidR="00175542" w:rsidRPr="004360BF" w:rsidRDefault="00175542" w:rsidP="00942DE7">
            <w:pPr>
              <w:spacing w:before="40" w:after="40"/>
              <w:jc w:val="center"/>
              <w:rPr>
                <w:b/>
                <w:sz w:val="22"/>
                <w:szCs w:val="22"/>
                <w:lang w:val="en-AU"/>
              </w:rPr>
            </w:pPr>
            <w:r w:rsidRPr="004360BF">
              <w:rPr>
                <w:sz w:val="22"/>
                <w:szCs w:val="22"/>
                <w:lang w:val="en-AU"/>
              </w:rPr>
              <w:t>Any further energy per month</w:t>
            </w:r>
          </w:p>
        </w:tc>
      </w:tr>
      <w:tr w:rsidR="00DB3F1B" w:rsidRPr="004360BF" w14:paraId="01F4C205" w14:textId="77777777" w:rsidTr="00D84332">
        <w:tc>
          <w:tcPr>
            <w:tcW w:w="2835" w:type="dxa"/>
            <w:vMerge w:val="restart"/>
            <w:tcBorders>
              <w:top w:val="single" w:sz="4" w:space="0" w:color="auto"/>
              <w:left w:val="single" w:sz="4" w:space="0" w:color="auto"/>
              <w:bottom w:val="single" w:sz="4" w:space="0" w:color="auto"/>
              <w:right w:val="single" w:sz="4" w:space="0" w:color="auto"/>
            </w:tcBorders>
            <w:vAlign w:val="center"/>
          </w:tcPr>
          <w:p w14:paraId="49C7B3F6" w14:textId="77777777" w:rsidR="007B4613" w:rsidRPr="004360BF" w:rsidRDefault="00175542" w:rsidP="007B4613">
            <w:pPr>
              <w:spacing w:before="40" w:after="120"/>
              <w:rPr>
                <w:sz w:val="22"/>
                <w:szCs w:val="22"/>
                <w:lang w:val="en-AU"/>
              </w:rPr>
            </w:pPr>
            <w:r w:rsidRPr="004360BF">
              <w:rPr>
                <w:sz w:val="22"/>
                <w:szCs w:val="22"/>
                <w:lang w:val="en-AU"/>
              </w:rPr>
              <w:t xml:space="preserve">Peak demand $/kVA/month </w:t>
            </w:r>
            <w:r w:rsidRPr="004360BF">
              <w:rPr>
                <w:sz w:val="20"/>
                <w:szCs w:val="20"/>
                <w:lang w:val="en-AU"/>
              </w:rPr>
              <w:t>(a)</w:t>
            </w:r>
            <w:r w:rsidR="007B4613" w:rsidRPr="004360BF">
              <w:rPr>
                <w:sz w:val="22"/>
                <w:szCs w:val="22"/>
                <w:lang w:val="en-AU"/>
              </w:rPr>
              <w:t xml:space="preserve"> ; </w:t>
            </w:r>
            <w:r w:rsidR="001766E3" w:rsidRPr="004360BF">
              <w:rPr>
                <w:sz w:val="22"/>
                <w:szCs w:val="22"/>
                <w:lang w:val="en-AU"/>
              </w:rPr>
              <w:t>and</w:t>
            </w:r>
          </w:p>
          <w:p w14:paraId="0D4FB85D" w14:textId="77777777" w:rsidR="00175542" w:rsidRPr="004360BF" w:rsidRDefault="007B4613" w:rsidP="007B4613">
            <w:pPr>
              <w:spacing w:before="40" w:after="40"/>
              <w:rPr>
                <w:sz w:val="22"/>
                <w:szCs w:val="22"/>
                <w:lang w:val="en-AU"/>
              </w:rPr>
            </w:pPr>
            <w:r w:rsidRPr="004360BF">
              <w:rPr>
                <w:sz w:val="22"/>
                <w:szCs w:val="22"/>
                <w:lang w:val="en-AU"/>
              </w:rPr>
              <w:t xml:space="preserve">Off-peak demand $/kVA/month </w:t>
            </w:r>
            <w:r w:rsidRPr="004360BF">
              <w:rPr>
                <w:sz w:val="20"/>
                <w:szCs w:val="20"/>
                <w:lang w:val="en-AU"/>
              </w:rPr>
              <w:t>(a)</w:t>
            </w:r>
          </w:p>
        </w:tc>
        <w:tc>
          <w:tcPr>
            <w:tcW w:w="6237" w:type="dxa"/>
            <w:gridSpan w:val="3"/>
            <w:tcBorders>
              <w:top w:val="single" w:sz="4" w:space="0" w:color="auto"/>
              <w:left w:val="single" w:sz="4" w:space="0" w:color="auto"/>
              <w:bottom w:val="single" w:sz="4" w:space="0" w:color="auto"/>
              <w:right w:val="single" w:sz="4" w:space="0" w:color="auto"/>
            </w:tcBorders>
          </w:tcPr>
          <w:p w14:paraId="46609303" w14:textId="77777777" w:rsidR="00175542" w:rsidRPr="004360BF" w:rsidRDefault="00175542" w:rsidP="007B4613">
            <w:pPr>
              <w:spacing w:before="40" w:after="40"/>
              <w:jc w:val="center"/>
              <w:rPr>
                <w:sz w:val="22"/>
                <w:szCs w:val="22"/>
                <w:lang w:val="en-AU"/>
              </w:rPr>
            </w:pPr>
            <w:r w:rsidRPr="004360BF">
              <w:rPr>
                <w:sz w:val="22"/>
                <w:szCs w:val="22"/>
                <w:lang w:val="en-AU"/>
              </w:rPr>
              <w:t>First 50 kVA per month</w:t>
            </w:r>
          </w:p>
        </w:tc>
      </w:tr>
      <w:tr w:rsidR="00DB3F1B" w:rsidRPr="004360BF" w14:paraId="6DBBAC5F" w14:textId="77777777" w:rsidTr="00D84332">
        <w:tc>
          <w:tcPr>
            <w:tcW w:w="2835" w:type="dxa"/>
            <w:vMerge/>
            <w:tcBorders>
              <w:top w:val="single" w:sz="4" w:space="0" w:color="auto"/>
              <w:left w:val="single" w:sz="4" w:space="0" w:color="auto"/>
              <w:bottom w:val="single" w:sz="4" w:space="0" w:color="auto"/>
              <w:right w:val="single" w:sz="4" w:space="0" w:color="auto"/>
            </w:tcBorders>
          </w:tcPr>
          <w:p w14:paraId="25C3EAD2" w14:textId="77777777" w:rsidR="00175542" w:rsidRPr="004360BF" w:rsidRDefault="00175542">
            <w:pPr>
              <w:spacing w:before="40" w:after="40"/>
              <w:rPr>
                <w:sz w:val="22"/>
                <w:szCs w:val="22"/>
                <w:lang w:val="en-AU"/>
              </w:rPr>
            </w:pPr>
          </w:p>
        </w:tc>
        <w:tc>
          <w:tcPr>
            <w:tcW w:w="6237" w:type="dxa"/>
            <w:gridSpan w:val="3"/>
            <w:tcBorders>
              <w:top w:val="single" w:sz="4" w:space="0" w:color="auto"/>
              <w:left w:val="single" w:sz="4" w:space="0" w:color="auto"/>
              <w:bottom w:val="single" w:sz="4" w:space="0" w:color="auto"/>
              <w:right w:val="single" w:sz="4" w:space="0" w:color="auto"/>
            </w:tcBorders>
          </w:tcPr>
          <w:p w14:paraId="68144C30" w14:textId="77777777" w:rsidR="00175542" w:rsidRPr="004360BF" w:rsidRDefault="00175542" w:rsidP="00942DE7">
            <w:pPr>
              <w:spacing w:before="40" w:after="40"/>
              <w:jc w:val="center"/>
              <w:rPr>
                <w:b/>
                <w:sz w:val="22"/>
                <w:szCs w:val="22"/>
                <w:lang w:val="en-AU"/>
              </w:rPr>
            </w:pPr>
            <w:r w:rsidRPr="004360BF">
              <w:rPr>
                <w:sz w:val="22"/>
                <w:szCs w:val="22"/>
                <w:lang w:val="en-AU"/>
              </w:rPr>
              <w:t>Next 100 kVA per month</w:t>
            </w:r>
          </w:p>
        </w:tc>
      </w:tr>
      <w:tr w:rsidR="00DB3F1B" w:rsidRPr="004360BF" w14:paraId="29570585" w14:textId="77777777" w:rsidTr="00D84332">
        <w:tc>
          <w:tcPr>
            <w:tcW w:w="2835" w:type="dxa"/>
            <w:vMerge/>
            <w:tcBorders>
              <w:top w:val="single" w:sz="4" w:space="0" w:color="auto"/>
              <w:left w:val="single" w:sz="4" w:space="0" w:color="auto"/>
              <w:bottom w:val="single" w:sz="4" w:space="0" w:color="auto"/>
              <w:right w:val="single" w:sz="4" w:space="0" w:color="auto"/>
            </w:tcBorders>
          </w:tcPr>
          <w:p w14:paraId="53D097AB" w14:textId="77777777" w:rsidR="00175542" w:rsidRPr="004360BF" w:rsidRDefault="00175542">
            <w:pPr>
              <w:spacing w:before="40" w:after="40"/>
              <w:rPr>
                <w:sz w:val="22"/>
                <w:szCs w:val="22"/>
                <w:lang w:val="en-AU"/>
              </w:rPr>
            </w:pPr>
          </w:p>
        </w:tc>
        <w:tc>
          <w:tcPr>
            <w:tcW w:w="6237" w:type="dxa"/>
            <w:gridSpan w:val="3"/>
            <w:tcBorders>
              <w:top w:val="single" w:sz="4" w:space="0" w:color="auto"/>
              <w:left w:val="single" w:sz="4" w:space="0" w:color="auto"/>
              <w:bottom w:val="single" w:sz="4" w:space="0" w:color="auto"/>
              <w:right w:val="single" w:sz="4" w:space="0" w:color="auto"/>
            </w:tcBorders>
          </w:tcPr>
          <w:p w14:paraId="04576F57" w14:textId="77777777" w:rsidR="00175542" w:rsidRPr="004360BF" w:rsidRDefault="00175542" w:rsidP="00942DE7">
            <w:pPr>
              <w:spacing w:before="40" w:after="40"/>
              <w:jc w:val="center"/>
              <w:rPr>
                <w:b/>
                <w:sz w:val="22"/>
                <w:szCs w:val="22"/>
                <w:lang w:val="en-AU"/>
              </w:rPr>
            </w:pPr>
            <w:r w:rsidRPr="004360BF">
              <w:rPr>
                <w:sz w:val="22"/>
                <w:szCs w:val="22"/>
                <w:lang w:val="en-AU"/>
              </w:rPr>
              <w:t>Next 300 kVA per month</w:t>
            </w:r>
          </w:p>
        </w:tc>
      </w:tr>
      <w:tr w:rsidR="00DB3F1B" w:rsidRPr="004360BF" w14:paraId="15B7C76C" w14:textId="77777777" w:rsidTr="00D84332">
        <w:tc>
          <w:tcPr>
            <w:tcW w:w="2835" w:type="dxa"/>
            <w:vMerge/>
            <w:tcBorders>
              <w:top w:val="single" w:sz="4" w:space="0" w:color="auto"/>
              <w:left w:val="single" w:sz="4" w:space="0" w:color="auto"/>
              <w:bottom w:val="single" w:sz="4" w:space="0" w:color="auto"/>
              <w:right w:val="single" w:sz="4" w:space="0" w:color="auto"/>
            </w:tcBorders>
          </w:tcPr>
          <w:p w14:paraId="0A7B798A" w14:textId="77777777" w:rsidR="00175542" w:rsidRPr="004360BF" w:rsidRDefault="00175542">
            <w:pPr>
              <w:spacing w:before="40" w:after="40"/>
              <w:rPr>
                <w:sz w:val="22"/>
                <w:szCs w:val="22"/>
                <w:lang w:val="en-AU"/>
              </w:rPr>
            </w:pPr>
          </w:p>
        </w:tc>
        <w:tc>
          <w:tcPr>
            <w:tcW w:w="6237" w:type="dxa"/>
            <w:gridSpan w:val="3"/>
            <w:tcBorders>
              <w:top w:val="single" w:sz="4" w:space="0" w:color="auto"/>
              <w:left w:val="single" w:sz="4" w:space="0" w:color="auto"/>
              <w:bottom w:val="single" w:sz="4" w:space="0" w:color="auto"/>
              <w:right w:val="single" w:sz="4" w:space="0" w:color="auto"/>
            </w:tcBorders>
          </w:tcPr>
          <w:p w14:paraId="3DF25BC7" w14:textId="77777777" w:rsidR="00175542" w:rsidRPr="004360BF" w:rsidRDefault="00175542" w:rsidP="00942DE7">
            <w:pPr>
              <w:spacing w:before="40" w:after="40"/>
              <w:jc w:val="center"/>
              <w:rPr>
                <w:b/>
                <w:sz w:val="22"/>
                <w:szCs w:val="22"/>
                <w:lang w:val="en-AU"/>
              </w:rPr>
            </w:pPr>
            <w:r w:rsidRPr="004360BF">
              <w:rPr>
                <w:sz w:val="22"/>
                <w:szCs w:val="22"/>
                <w:lang w:val="en-AU"/>
              </w:rPr>
              <w:t>Next 500 kVA per month</w:t>
            </w:r>
          </w:p>
        </w:tc>
      </w:tr>
      <w:tr w:rsidR="00DB3F1B" w:rsidRPr="004360BF" w14:paraId="3EDFD485" w14:textId="77777777" w:rsidTr="00D84332">
        <w:tc>
          <w:tcPr>
            <w:tcW w:w="2835" w:type="dxa"/>
            <w:vMerge/>
            <w:tcBorders>
              <w:top w:val="single" w:sz="4" w:space="0" w:color="auto"/>
              <w:left w:val="single" w:sz="4" w:space="0" w:color="auto"/>
              <w:bottom w:val="single" w:sz="4" w:space="0" w:color="auto"/>
              <w:right w:val="single" w:sz="4" w:space="0" w:color="auto"/>
            </w:tcBorders>
          </w:tcPr>
          <w:p w14:paraId="466A43D0" w14:textId="77777777" w:rsidR="00175542" w:rsidRPr="004360BF" w:rsidRDefault="00175542">
            <w:pPr>
              <w:spacing w:before="40" w:after="40"/>
              <w:rPr>
                <w:sz w:val="22"/>
                <w:szCs w:val="22"/>
                <w:lang w:val="en-AU"/>
              </w:rPr>
            </w:pPr>
          </w:p>
        </w:tc>
        <w:tc>
          <w:tcPr>
            <w:tcW w:w="6237" w:type="dxa"/>
            <w:gridSpan w:val="3"/>
            <w:tcBorders>
              <w:top w:val="single" w:sz="4" w:space="0" w:color="auto"/>
              <w:left w:val="single" w:sz="4" w:space="0" w:color="auto"/>
              <w:bottom w:val="single" w:sz="4" w:space="0" w:color="auto"/>
              <w:right w:val="single" w:sz="4" w:space="0" w:color="auto"/>
            </w:tcBorders>
          </w:tcPr>
          <w:p w14:paraId="75B86AA3" w14:textId="77777777" w:rsidR="00175542" w:rsidRPr="004360BF" w:rsidRDefault="00175542" w:rsidP="00942DE7">
            <w:pPr>
              <w:spacing w:before="40" w:after="40"/>
              <w:jc w:val="center"/>
              <w:rPr>
                <w:b/>
                <w:sz w:val="22"/>
                <w:szCs w:val="22"/>
                <w:lang w:val="en-AU"/>
              </w:rPr>
            </w:pPr>
            <w:r w:rsidRPr="004360BF">
              <w:rPr>
                <w:sz w:val="22"/>
                <w:szCs w:val="22"/>
                <w:lang w:val="en-AU"/>
              </w:rPr>
              <w:t>Any further kVA per month</w:t>
            </w:r>
          </w:p>
        </w:tc>
      </w:tr>
      <w:tr w:rsidR="00175542" w:rsidRPr="004360BF" w14:paraId="1A800824" w14:textId="77777777" w:rsidTr="00D84332">
        <w:tc>
          <w:tcPr>
            <w:tcW w:w="9072" w:type="dxa"/>
            <w:gridSpan w:val="4"/>
            <w:tcBorders>
              <w:top w:val="single" w:sz="4" w:space="0" w:color="auto"/>
              <w:left w:val="single" w:sz="4" w:space="0" w:color="auto"/>
              <w:bottom w:val="single" w:sz="4" w:space="0" w:color="auto"/>
              <w:right w:val="single" w:sz="4" w:space="0" w:color="auto"/>
            </w:tcBorders>
          </w:tcPr>
          <w:p w14:paraId="2BE8BBF9" w14:textId="77777777" w:rsidR="00175542" w:rsidRPr="004360BF" w:rsidRDefault="00175542" w:rsidP="007B4613">
            <w:pPr>
              <w:spacing w:before="40" w:after="40"/>
              <w:ind w:left="568" w:hanging="568"/>
              <w:rPr>
                <w:rFonts w:cs="Tahoma"/>
                <w:sz w:val="20"/>
                <w:szCs w:val="20"/>
                <w:lang w:val="en-AU"/>
              </w:rPr>
            </w:pPr>
            <w:r w:rsidRPr="004360BF">
              <w:rPr>
                <w:rFonts w:cs="Tahoma"/>
                <w:color w:val="000000"/>
                <w:sz w:val="20"/>
                <w:szCs w:val="20"/>
                <w:lang w:val="en-AU"/>
              </w:rPr>
              <w:t>(a)</w:t>
            </w:r>
            <w:r w:rsidRPr="004360BF">
              <w:rPr>
                <w:rFonts w:cs="Tahoma"/>
                <w:color w:val="000000"/>
                <w:sz w:val="20"/>
                <w:szCs w:val="20"/>
                <w:lang w:val="en-AU"/>
              </w:rPr>
              <w:tab/>
              <w:t>Peak rates currently apply to usage between 6.00 am and 6.00 pm on any day.</w:t>
            </w:r>
            <w:r w:rsidR="00CC6CF8" w:rsidRPr="004360BF">
              <w:rPr>
                <w:rFonts w:cs="Tahoma"/>
                <w:color w:val="000000"/>
                <w:sz w:val="20"/>
                <w:szCs w:val="20"/>
                <w:lang w:val="en-AU"/>
              </w:rPr>
              <w:t xml:space="preserve"> </w:t>
            </w:r>
            <w:r w:rsidRPr="004360BF">
              <w:rPr>
                <w:rFonts w:cs="Tahoma"/>
                <w:color w:val="000000"/>
                <w:sz w:val="20"/>
                <w:szCs w:val="20"/>
                <w:lang w:val="en-AU"/>
              </w:rPr>
              <w:t>Off-peak period rates apply at other times.</w:t>
            </w:r>
          </w:p>
        </w:tc>
      </w:tr>
    </w:tbl>
    <w:p w14:paraId="11233D76" w14:textId="77777777" w:rsidR="000E2C3A" w:rsidRPr="004360BF" w:rsidRDefault="000E2C3A" w:rsidP="000E2C3A">
      <w:pPr>
        <w:spacing w:after="0"/>
        <w:rPr>
          <w:lang w:val="en-AU"/>
        </w:rPr>
      </w:pPr>
    </w:p>
    <w:p w14:paraId="3CC507E6" w14:textId="77777777" w:rsidR="006028DB" w:rsidRPr="004360BF" w:rsidRDefault="006028DB" w:rsidP="000E2C3A">
      <w:pPr>
        <w:pStyle w:val="Dottop"/>
        <w:rPr>
          <w:lang w:val="en-AU"/>
        </w:rPr>
      </w:pPr>
      <w:r w:rsidRPr="004360BF">
        <w:rPr>
          <w:lang w:val="en-AU"/>
        </w:rPr>
        <w:t xml:space="preserve">The charging </w:t>
      </w:r>
      <w:r w:rsidR="00112A4E" w:rsidRPr="004360BF">
        <w:rPr>
          <w:lang w:val="en-AU"/>
        </w:rPr>
        <w:t>parameter</w:t>
      </w:r>
      <w:r w:rsidRPr="004360BF">
        <w:rPr>
          <w:lang w:val="en-AU"/>
        </w:rPr>
        <w:t>s of the Commercial kVA tariffs would ideally recover the following cost components:</w:t>
      </w:r>
    </w:p>
    <w:p w14:paraId="6DCCCC95" w14:textId="77777777" w:rsidR="006028DB" w:rsidRPr="004360BF" w:rsidRDefault="006028DB" w:rsidP="00D61985">
      <w:pPr>
        <w:pStyle w:val="Dot"/>
        <w:rPr>
          <w:lang w:val="en-AU"/>
        </w:rPr>
      </w:pPr>
      <w:r w:rsidRPr="004360BF">
        <w:rPr>
          <w:lang w:val="en-AU"/>
        </w:rPr>
        <w:t xml:space="preserve">The peak period kVA and energy rates provide price signalling to customers.  These </w:t>
      </w:r>
      <w:r w:rsidR="00112A4E" w:rsidRPr="004360BF">
        <w:rPr>
          <w:lang w:val="en-AU"/>
        </w:rPr>
        <w:t>charging parameter</w:t>
      </w:r>
      <w:r w:rsidRPr="004360BF">
        <w:rPr>
          <w:lang w:val="en-AU"/>
        </w:rPr>
        <w:t xml:space="preserve">s would recover a cost commensurate with the LRMC </w:t>
      </w:r>
      <w:r w:rsidR="004D7212" w:rsidRPr="004360BF">
        <w:rPr>
          <w:lang w:val="en-AU"/>
        </w:rPr>
        <w:t>of supply</w:t>
      </w:r>
      <w:r w:rsidRPr="004360BF">
        <w:rPr>
          <w:lang w:val="en-AU"/>
        </w:rPr>
        <w:t>; and</w:t>
      </w:r>
    </w:p>
    <w:p w14:paraId="64D15BA6" w14:textId="18875637" w:rsidR="00175542" w:rsidRPr="004360BF" w:rsidRDefault="00EA6D49" w:rsidP="00D61985">
      <w:pPr>
        <w:pStyle w:val="Dotbot"/>
        <w:rPr>
          <w:lang w:val="en-AU"/>
        </w:rPr>
      </w:pPr>
      <w:r w:rsidRPr="004360BF">
        <w:rPr>
          <w:lang w:val="en-AU"/>
        </w:rPr>
        <w:t>The residual costs (</w:t>
      </w:r>
      <w:r w:rsidR="006261A1" w:rsidRPr="004360BF">
        <w:rPr>
          <w:lang w:val="en-AU"/>
        </w:rPr>
        <w:t xml:space="preserve">allocated </w:t>
      </w:r>
      <w:r w:rsidRPr="004360BF">
        <w:rPr>
          <w:lang w:val="en-AU"/>
        </w:rPr>
        <w:t>revenue less</w:t>
      </w:r>
      <w:r w:rsidR="006028DB" w:rsidRPr="004360BF">
        <w:rPr>
          <w:lang w:val="en-AU"/>
        </w:rPr>
        <w:t xml:space="preserve"> LRMC) would be recovered in the least distortionary manner, ideally all through a fixed charge, but in practice through</w:t>
      </w:r>
      <w:r w:rsidR="006261A1" w:rsidRPr="004360BF">
        <w:rPr>
          <w:lang w:val="en-AU"/>
        </w:rPr>
        <w:t xml:space="preserve"> both</w:t>
      </w:r>
      <w:r w:rsidR="006028DB" w:rsidRPr="004360BF">
        <w:rPr>
          <w:lang w:val="en-AU"/>
        </w:rPr>
        <w:t xml:space="preserve"> fixed and off peak charges.  </w:t>
      </w:r>
    </w:p>
    <w:p w14:paraId="4EB5E252" w14:textId="77777777" w:rsidR="00440637" w:rsidRPr="004360BF" w:rsidRDefault="00440637" w:rsidP="000E2C3A">
      <w:pPr>
        <w:rPr>
          <w:lang w:val="en-AU"/>
        </w:rPr>
      </w:pPr>
      <w:r w:rsidRPr="004360BF">
        <w:rPr>
          <w:lang w:val="en-AU"/>
        </w:rPr>
        <w:t>For kVA metered customers, the LRMC as currently calculated is approximately equal to the peak period charging components (demand and energy).  However, the current calculation of LRMC is considered to be an underestimate for reasons stated in Attachment A2.6.</w:t>
      </w:r>
    </w:p>
    <w:p w14:paraId="32B836A9" w14:textId="77777777" w:rsidR="00440637" w:rsidRPr="004360BF" w:rsidRDefault="00440637" w:rsidP="000E2C3A">
      <w:pPr>
        <w:rPr>
          <w:lang w:val="en-AU"/>
        </w:rPr>
      </w:pPr>
      <w:r w:rsidRPr="004360BF">
        <w:rPr>
          <w:lang w:val="en-AU"/>
        </w:rPr>
        <w:t>Power Networks intends to improve the cost reflectivity of these tariffs by rebalancing them to increase the peak period demand charge w</w:t>
      </w:r>
      <w:r w:rsidR="00E41270" w:rsidRPr="004360BF">
        <w:rPr>
          <w:lang w:val="en-AU"/>
        </w:rPr>
        <w:t xml:space="preserve">hilst reducing energy charges. </w:t>
      </w:r>
      <w:r w:rsidRPr="004360BF">
        <w:rPr>
          <w:lang w:val="en-AU"/>
        </w:rPr>
        <w:t xml:space="preserve">This greater emphasis on peak period demand charging is expected to have </w:t>
      </w:r>
      <w:r w:rsidRPr="004360BF">
        <w:rPr>
          <w:lang w:val="en-AU"/>
        </w:rPr>
        <w:lastRenderedPageBreak/>
        <w:t>a stronger influence on customers’ consumption patterns than a time of use energy rate.</w:t>
      </w:r>
    </w:p>
    <w:p w14:paraId="6015C730" w14:textId="77777777" w:rsidR="00175542" w:rsidRPr="004360BF" w:rsidRDefault="00175542" w:rsidP="00B30BF6">
      <w:pPr>
        <w:pStyle w:val="Heading1"/>
      </w:pPr>
      <w:bookmarkStart w:id="341" w:name="_Ref240618487"/>
      <w:bookmarkStart w:id="342" w:name="_Ref240622255"/>
      <w:bookmarkStart w:id="343" w:name="_Toc417291260"/>
      <w:bookmarkStart w:id="344" w:name="_Toc417291764"/>
      <w:bookmarkStart w:id="345" w:name="_Toc417292532"/>
      <w:bookmarkStart w:id="346" w:name="_Toc291262252"/>
      <w:bookmarkStart w:id="347" w:name="_Toc417458022"/>
      <w:bookmarkStart w:id="348" w:name="_Toc418608691"/>
      <w:bookmarkEnd w:id="307"/>
      <w:r w:rsidRPr="004360BF">
        <w:t xml:space="preserve">Power Networks’ </w:t>
      </w:r>
      <w:r w:rsidR="00D66923" w:rsidRPr="004360BF">
        <w:t>R</w:t>
      </w:r>
      <w:r w:rsidR="00D14E90" w:rsidRPr="004360BF">
        <w:t>evenue</w:t>
      </w:r>
      <w:r w:rsidRPr="004360BF">
        <w:t xml:space="preserve"> </w:t>
      </w:r>
      <w:r w:rsidR="001766E3" w:rsidRPr="004360BF">
        <w:t>and</w:t>
      </w:r>
      <w:r w:rsidR="00897576" w:rsidRPr="004360BF">
        <w:t xml:space="preserve"> </w:t>
      </w:r>
      <w:r w:rsidR="00D66923" w:rsidRPr="004360BF">
        <w:t>T</w:t>
      </w:r>
      <w:r w:rsidR="00897576" w:rsidRPr="004360BF">
        <w:t xml:space="preserve">ariff </w:t>
      </w:r>
      <w:r w:rsidR="00D66923" w:rsidRPr="004360BF">
        <w:t>C</w:t>
      </w:r>
      <w:r w:rsidR="00897576" w:rsidRPr="004360BF">
        <w:t xml:space="preserve">hanges </w:t>
      </w:r>
      <w:r w:rsidR="00D66923" w:rsidRPr="004360BF">
        <w:t xml:space="preserve">– </w:t>
      </w:r>
      <w:r w:rsidRPr="004360BF">
        <w:t>201</w:t>
      </w:r>
      <w:r w:rsidR="00375E68" w:rsidRPr="004360BF">
        <w:t>5</w:t>
      </w:r>
      <w:r w:rsidRPr="004360BF">
        <w:t>/1</w:t>
      </w:r>
      <w:r w:rsidR="00375E68" w:rsidRPr="004360BF">
        <w:t>6</w:t>
      </w:r>
      <w:bookmarkEnd w:id="341"/>
      <w:bookmarkEnd w:id="342"/>
      <w:bookmarkEnd w:id="343"/>
      <w:bookmarkEnd w:id="344"/>
      <w:bookmarkEnd w:id="345"/>
      <w:bookmarkEnd w:id="346"/>
      <w:bookmarkEnd w:id="347"/>
      <w:bookmarkEnd w:id="348"/>
    </w:p>
    <w:p w14:paraId="3E875574" w14:textId="77777777" w:rsidR="00175542" w:rsidRPr="004360BF" w:rsidRDefault="00175542" w:rsidP="00A9204B">
      <w:pPr>
        <w:rPr>
          <w:lang w:val="en-AU"/>
        </w:rPr>
      </w:pPr>
      <w:r w:rsidRPr="004360BF">
        <w:rPr>
          <w:lang w:val="en-AU"/>
        </w:rPr>
        <w:t>Power Networks’ proposed network tariffs for 201</w:t>
      </w:r>
      <w:r w:rsidR="00375E68" w:rsidRPr="004360BF">
        <w:rPr>
          <w:lang w:val="en-AU"/>
        </w:rPr>
        <w:t>5</w:t>
      </w:r>
      <w:r w:rsidRPr="004360BF">
        <w:rPr>
          <w:lang w:val="en-AU"/>
        </w:rPr>
        <w:t>/1</w:t>
      </w:r>
      <w:r w:rsidR="00375E68" w:rsidRPr="004360BF">
        <w:rPr>
          <w:lang w:val="en-AU"/>
        </w:rPr>
        <w:t>6</w:t>
      </w:r>
      <w:r w:rsidRPr="004360BF">
        <w:rPr>
          <w:lang w:val="en-AU"/>
        </w:rPr>
        <w:t xml:space="preserve"> </w:t>
      </w:r>
      <w:r w:rsidR="00BC6351" w:rsidRPr="004360BF">
        <w:rPr>
          <w:lang w:val="en-AU"/>
        </w:rPr>
        <w:t>continue</w:t>
      </w:r>
      <w:r w:rsidR="00E6689A" w:rsidRPr="004360BF">
        <w:rPr>
          <w:lang w:val="en-AU"/>
        </w:rPr>
        <w:t>s</w:t>
      </w:r>
      <w:r w:rsidR="00BC6351" w:rsidRPr="004360BF">
        <w:rPr>
          <w:lang w:val="en-AU"/>
        </w:rPr>
        <w:t xml:space="preserve"> to exclude the under recovery amount of lost revenue from the previous 2014/15 period tariffs.</w:t>
      </w:r>
      <w:r w:rsidR="00CC6CF8" w:rsidRPr="004360BF">
        <w:rPr>
          <w:lang w:val="en-AU"/>
        </w:rPr>
        <w:t xml:space="preserve"> </w:t>
      </w:r>
    </w:p>
    <w:p w14:paraId="68E614E3" w14:textId="77777777" w:rsidR="00175542" w:rsidRPr="004360BF" w:rsidRDefault="00175542" w:rsidP="00B30BF6">
      <w:pPr>
        <w:pStyle w:val="Heading2"/>
      </w:pPr>
      <w:bookmarkStart w:id="349" w:name="_Toc417291261"/>
      <w:bookmarkStart w:id="350" w:name="_Toc417291765"/>
      <w:bookmarkStart w:id="351" w:name="_Toc417292533"/>
      <w:bookmarkStart w:id="352" w:name="_Toc291262253"/>
      <w:bookmarkStart w:id="353" w:name="_Toc417458023"/>
      <w:bookmarkStart w:id="354" w:name="_Toc418608692"/>
      <w:r w:rsidRPr="004360BF">
        <w:t xml:space="preserve">Network </w:t>
      </w:r>
      <w:r w:rsidR="006A49E8" w:rsidRPr="004360BF">
        <w:t xml:space="preserve">standard control </w:t>
      </w:r>
      <w:r w:rsidRPr="004360BF">
        <w:t>revenue</w:t>
      </w:r>
      <w:r w:rsidR="00D66923" w:rsidRPr="004360BF">
        <w:t xml:space="preserve"> for 201</w:t>
      </w:r>
      <w:r w:rsidR="00375E68" w:rsidRPr="004360BF">
        <w:t>5</w:t>
      </w:r>
      <w:r w:rsidR="00D66923" w:rsidRPr="004360BF">
        <w:t>/1</w:t>
      </w:r>
      <w:r w:rsidR="00375E68" w:rsidRPr="004360BF">
        <w:t>6</w:t>
      </w:r>
      <w:bookmarkEnd w:id="349"/>
      <w:bookmarkEnd w:id="350"/>
      <w:bookmarkEnd w:id="351"/>
      <w:bookmarkEnd w:id="352"/>
      <w:bookmarkEnd w:id="353"/>
      <w:bookmarkEnd w:id="354"/>
    </w:p>
    <w:p w14:paraId="5DBC28D2" w14:textId="74D0BB98" w:rsidR="00175542" w:rsidRPr="004360BF" w:rsidRDefault="00C47AB1" w:rsidP="00B87B8D">
      <w:pPr>
        <w:rPr>
          <w:lang w:val="en-AU"/>
        </w:rPr>
      </w:pPr>
      <w:r w:rsidRPr="004360BF">
        <w:rPr>
          <w:lang w:val="en-AU"/>
        </w:rPr>
        <w:t xml:space="preserve">In the </w:t>
      </w:r>
      <w:r w:rsidR="006A49E8" w:rsidRPr="004360BF">
        <w:rPr>
          <w:lang w:val="en-AU"/>
        </w:rPr>
        <w:t>2014 NPD F</w:t>
      </w:r>
      <w:r w:rsidRPr="004360BF">
        <w:rPr>
          <w:lang w:val="en-AU"/>
        </w:rPr>
        <w:t>inal Determination, the Commission determined Power Networks’</w:t>
      </w:r>
      <w:r w:rsidR="00175542" w:rsidRPr="004360BF">
        <w:rPr>
          <w:lang w:val="en-AU"/>
        </w:rPr>
        <w:t xml:space="preserve"> revenue for standard control services in 201</w:t>
      </w:r>
      <w:r w:rsidR="00375E68" w:rsidRPr="004360BF">
        <w:rPr>
          <w:lang w:val="en-AU"/>
        </w:rPr>
        <w:t>5</w:t>
      </w:r>
      <w:r w:rsidR="00175542" w:rsidRPr="004360BF">
        <w:rPr>
          <w:lang w:val="en-AU"/>
        </w:rPr>
        <w:t>/1</w:t>
      </w:r>
      <w:r w:rsidR="00375E68" w:rsidRPr="004360BF">
        <w:rPr>
          <w:lang w:val="en-AU"/>
        </w:rPr>
        <w:t>6</w:t>
      </w:r>
      <w:r w:rsidR="00175542" w:rsidRPr="004360BF">
        <w:rPr>
          <w:lang w:val="en-AU"/>
        </w:rPr>
        <w:t xml:space="preserve"> </w:t>
      </w:r>
      <w:r w:rsidRPr="004360BF">
        <w:rPr>
          <w:lang w:val="en-AU"/>
        </w:rPr>
        <w:t xml:space="preserve">at </w:t>
      </w:r>
      <w:r w:rsidR="009F14D5" w:rsidRPr="004360BF">
        <w:rPr>
          <w:lang w:val="en-AU"/>
        </w:rPr>
        <w:t>$</w:t>
      </w:r>
      <w:r w:rsidR="0064653F" w:rsidRPr="004360BF">
        <w:rPr>
          <w:sz w:val="22"/>
          <w:szCs w:val="22"/>
          <w:lang w:val="en-AU"/>
        </w:rPr>
        <w:t>20</w:t>
      </w:r>
      <w:r w:rsidR="004532D3">
        <w:rPr>
          <w:sz w:val="22"/>
          <w:szCs w:val="22"/>
          <w:lang w:val="en-AU"/>
        </w:rPr>
        <w:t>2</w:t>
      </w:r>
      <w:r w:rsidR="0064653F" w:rsidRPr="004360BF">
        <w:rPr>
          <w:sz w:val="22"/>
          <w:szCs w:val="22"/>
          <w:lang w:val="en-AU"/>
        </w:rPr>
        <w:t>.</w:t>
      </w:r>
      <w:r w:rsidR="004532D3">
        <w:rPr>
          <w:sz w:val="22"/>
          <w:szCs w:val="22"/>
          <w:lang w:val="en-AU"/>
        </w:rPr>
        <w:t>949</w:t>
      </w:r>
      <w:r w:rsidR="0064653F" w:rsidRPr="004360BF">
        <w:rPr>
          <w:sz w:val="22"/>
          <w:szCs w:val="22"/>
          <w:lang w:val="en-AU"/>
        </w:rPr>
        <w:t xml:space="preserve"> </w:t>
      </w:r>
      <w:r w:rsidR="009F14D5" w:rsidRPr="004360BF">
        <w:rPr>
          <w:lang w:val="en-AU"/>
        </w:rPr>
        <w:t>million</w:t>
      </w:r>
      <w:r w:rsidR="006A49E8" w:rsidRPr="004360BF">
        <w:rPr>
          <w:lang w:val="en-AU"/>
        </w:rPr>
        <w:t xml:space="preserve"> (nominal)</w:t>
      </w:r>
      <w:r w:rsidR="00175542" w:rsidRPr="004360BF">
        <w:rPr>
          <w:lang w:val="en-AU"/>
        </w:rPr>
        <w:t xml:space="preserve">. </w:t>
      </w:r>
    </w:p>
    <w:p w14:paraId="1676F0C2" w14:textId="307AE67E" w:rsidR="00175542" w:rsidRPr="004360BF" w:rsidRDefault="006A49E8" w:rsidP="00D61985">
      <w:pPr>
        <w:keepNext/>
        <w:rPr>
          <w:lang w:val="en-AU"/>
        </w:rPr>
      </w:pPr>
      <w:r w:rsidRPr="004360BF">
        <w:rPr>
          <w:lang w:val="en-AU"/>
        </w:rPr>
        <w:t xml:space="preserve">In accordance with RIN clause 18.1(d), </w:t>
      </w:r>
      <w:r w:rsidR="00D61985" w:rsidRPr="004360BF">
        <w:rPr>
          <w:lang w:val="en-AU"/>
        </w:rPr>
        <w:fldChar w:fldCharType="begin"/>
      </w:r>
      <w:r w:rsidR="00D61985" w:rsidRPr="004360BF">
        <w:rPr>
          <w:lang w:val="en-AU"/>
        </w:rPr>
        <w:instrText xml:space="preserve"> REF _Ref291262355 \h </w:instrText>
      </w:r>
      <w:r w:rsidR="00D61985" w:rsidRPr="004360BF">
        <w:rPr>
          <w:lang w:val="en-AU"/>
        </w:rPr>
      </w:r>
      <w:r w:rsidR="00D61985" w:rsidRPr="004360BF">
        <w:rPr>
          <w:lang w:val="en-AU"/>
        </w:rPr>
        <w:fldChar w:fldCharType="separate"/>
      </w:r>
      <w:r w:rsidR="008D3215" w:rsidRPr="004360BF">
        <w:rPr>
          <w:lang w:val="en-AU" w:eastAsia="en-AU"/>
        </w:rPr>
        <w:t xml:space="preserve">Table </w:t>
      </w:r>
      <w:r w:rsidR="008D3215">
        <w:rPr>
          <w:noProof/>
          <w:lang w:val="en-AU" w:eastAsia="en-AU"/>
        </w:rPr>
        <w:t>10</w:t>
      </w:r>
      <w:r w:rsidR="00D61985" w:rsidRPr="004360BF">
        <w:rPr>
          <w:lang w:val="en-AU"/>
        </w:rPr>
        <w:fldChar w:fldCharType="end"/>
      </w:r>
      <w:r w:rsidR="00D61985" w:rsidRPr="004360BF">
        <w:rPr>
          <w:lang w:val="en-AU"/>
        </w:rPr>
        <w:t xml:space="preserve"> </w:t>
      </w:r>
      <w:r w:rsidRPr="004360BF">
        <w:rPr>
          <w:lang w:val="en-AU"/>
        </w:rPr>
        <w:t>sets out, for each tariff class related to standard control services, the expected weighted revenue for the 201</w:t>
      </w:r>
      <w:r w:rsidR="00375E68" w:rsidRPr="004360BF">
        <w:rPr>
          <w:lang w:val="en-AU"/>
        </w:rPr>
        <w:t>5</w:t>
      </w:r>
      <w:r w:rsidRPr="004360BF">
        <w:rPr>
          <w:lang w:val="en-AU"/>
        </w:rPr>
        <w:t>/1</w:t>
      </w:r>
      <w:r w:rsidR="00375E68" w:rsidRPr="004360BF">
        <w:rPr>
          <w:lang w:val="en-AU"/>
        </w:rPr>
        <w:t>6</w:t>
      </w:r>
      <w:r w:rsidRPr="004360BF">
        <w:rPr>
          <w:lang w:val="en-AU"/>
        </w:rPr>
        <w:t xml:space="preserve"> regulatory year</w:t>
      </w:r>
      <w:r w:rsidR="00175542" w:rsidRPr="004360BF">
        <w:rPr>
          <w:lang w:val="en-AU"/>
        </w:rPr>
        <w:t>.</w:t>
      </w:r>
      <w:r w:rsidR="00CC1083" w:rsidRPr="004360BF">
        <w:rPr>
          <w:lang w:val="en-AU"/>
        </w:rPr>
        <w:t xml:space="preserve"> The T</w:t>
      </w:r>
      <w:r w:rsidR="003F4DC1" w:rsidRPr="004360BF">
        <w:rPr>
          <w:lang w:val="en-AU"/>
        </w:rPr>
        <w:t>able also demonstrates that Power Networks complies with the 201</w:t>
      </w:r>
      <w:r w:rsidR="00375E68" w:rsidRPr="004360BF">
        <w:rPr>
          <w:lang w:val="en-AU"/>
        </w:rPr>
        <w:t>5</w:t>
      </w:r>
      <w:r w:rsidR="003F4DC1" w:rsidRPr="004360BF">
        <w:rPr>
          <w:lang w:val="en-AU"/>
        </w:rPr>
        <w:t>/1</w:t>
      </w:r>
      <w:r w:rsidR="00375E68" w:rsidRPr="004360BF">
        <w:rPr>
          <w:lang w:val="en-AU"/>
        </w:rPr>
        <w:t>6</w:t>
      </w:r>
      <w:r w:rsidR="003F4DC1" w:rsidRPr="004360BF">
        <w:rPr>
          <w:lang w:val="en-AU"/>
        </w:rPr>
        <w:t xml:space="preserve"> annual revenue requirement as per the Commission’s 2014 NPD Final Determination.</w:t>
      </w:r>
    </w:p>
    <w:p w14:paraId="6BFF0E9A" w14:textId="77777777" w:rsidR="006A49E8" w:rsidRPr="004360BF" w:rsidRDefault="00E41270" w:rsidP="00D61985">
      <w:pPr>
        <w:pStyle w:val="Caption"/>
        <w:rPr>
          <w:lang w:val="en-AU" w:eastAsia="en-AU"/>
        </w:rPr>
      </w:pPr>
      <w:bookmarkStart w:id="355" w:name="_Ref291262355"/>
      <w:r w:rsidRPr="004360BF">
        <w:rPr>
          <w:lang w:val="en-AU" w:eastAsia="en-AU"/>
        </w:rPr>
        <w:t xml:space="preserve">Table </w:t>
      </w:r>
      <w:r w:rsidR="00517DD9" w:rsidRPr="004360BF">
        <w:rPr>
          <w:lang w:val="en-AU" w:eastAsia="en-AU"/>
        </w:rPr>
        <w:fldChar w:fldCharType="begin"/>
      </w:r>
      <w:r w:rsidRPr="004360BF">
        <w:rPr>
          <w:lang w:val="en-AU" w:eastAsia="en-AU"/>
        </w:rPr>
        <w:instrText xml:space="preserve"> SEQ Table \* ARABIC </w:instrText>
      </w:r>
      <w:r w:rsidR="00517DD9" w:rsidRPr="004360BF">
        <w:rPr>
          <w:lang w:val="en-AU" w:eastAsia="en-AU"/>
        </w:rPr>
        <w:fldChar w:fldCharType="separate"/>
      </w:r>
      <w:r w:rsidR="008D3215">
        <w:rPr>
          <w:noProof/>
          <w:lang w:val="en-AU" w:eastAsia="en-AU"/>
        </w:rPr>
        <w:t>10</w:t>
      </w:r>
      <w:r w:rsidR="00517DD9" w:rsidRPr="004360BF">
        <w:rPr>
          <w:lang w:val="en-AU" w:eastAsia="en-AU"/>
        </w:rPr>
        <w:fldChar w:fldCharType="end"/>
      </w:r>
      <w:bookmarkEnd w:id="355"/>
      <w:r w:rsidRPr="004360BF">
        <w:rPr>
          <w:lang w:val="en-AU" w:eastAsia="en-AU"/>
        </w:rPr>
        <w:t xml:space="preserve"> - </w:t>
      </w:r>
      <w:r w:rsidR="006A49E8" w:rsidRPr="004360BF">
        <w:rPr>
          <w:lang w:val="en-AU" w:eastAsia="en-AU"/>
        </w:rPr>
        <w:t>Expected weighted revenue by tariff class</w:t>
      </w:r>
    </w:p>
    <w:tbl>
      <w:tblPr>
        <w:tblW w:w="0" w:type="auto"/>
        <w:tblLook w:val="04A0" w:firstRow="1" w:lastRow="0" w:firstColumn="1" w:lastColumn="0" w:noHBand="0" w:noVBand="1"/>
      </w:tblPr>
      <w:tblGrid>
        <w:gridCol w:w="1985"/>
        <w:gridCol w:w="3522"/>
      </w:tblGrid>
      <w:tr w:rsidR="00423EBA" w:rsidRPr="004360BF" w14:paraId="5A22E38E" w14:textId="77777777" w:rsidTr="00423EBA">
        <w:tc>
          <w:tcPr>
            <w:tcW w:w="1985" w:type="dxa"/>
            <w:tcBorders>
              <w:top w:val="single" w:sz="4" w:space="0" w:color="auto"/>
              <w:left w:val="single" w:sz="4" w:space="0" w:color="auto"/>
              <w:right w:val="single" w:sz="4" w:space="0" w:color="auto"/>
            </w:tcBorders>
            <w:shd w:val="solid" w:color="C6D9F1" w:themeColor="text2" w:themeTint="33" w:fill="auto"/>
          </w:tcPr>
          <w:p w14:paraId="1F8E30EA" w14:textId="00D8B220" w:rsidR="00423EBA" w:rsidRPr="004360BF" w:rsidRDefault="00423EBA" w:rsidP="00D61985">
            <w:pPr>
              <w:keepNext/>
              <w:spacing w:before="40" w:after="40"/>
              <w:jc w:val="center"/>
              <w:rPr>
                <w:b/>
                <w:sz w:val="22"/>
                <w:szCs w:val="22"/>
                <w:lang w:val="en-AU"/>
              </w:rPr>
            </w:pPr>
          </w:p>
        </w:tc>
        <w:tc>
          <w:tcPr>
            <w:tcW w:w="3522" w:type="dxa"/>
            <w:tcBorders>
              <w:top w:val="single" w:sz="4" w:space="0" w:color="auto"/>
              <w:left w:val="single" w:sz="4" w:space="0" w:color="auto"/>
              <w:right w:val="single" w:sz="4" w:space="0" w:color="auto"/>
            </w:tcBorders>
            <w:shd w:val="solid" w:color="C6D9F1" w:themeColor="text2" w:themeTint="33" w:fill="auto"/>
          </w:tcPr>
          <w:p w14:paraId="32E018C4" w14:textId="48EB93FC" w:rsidR="00423EBA" w:rsidRPr="004360BF" w:rsidRDefault="00423EBA" w:rsidP="00423EBA">
            <w:pPr>
              <w:keepNext/>
              <w:tabs>
                <w:tab w:val="left" w:pos="1191"/>
              </w:tabs>
              <w:spacing w:before="40" w:after="40"/>
              <w:jc w:val="center"/>
              <w:rPr>
                <w:b/>
                <w:sz w:val="22"/>
                <w:szCs w:val="22"/>
                <w:lang w:val="en-AU"/>
              </w:rPr>
            </w:pPr>
            <w:r w:rsidRPr="004360BF">
              <w:rPr>
                <w:b/>
                <w:sz w:val="22"/>
                <w:szCs w:val="22"/>
                <w:lang w:val="en-AU"/>
              </w:rPr>
              <w:t>2015/16</w:t>
            </w:r>
          </w:p>
        </w:tc>
      </w:tr>
      <w:tr w:rsidR="00423EBA" w:rsidRPr="004360BF" w14:paraId="4B9F1742" w14:textId="77777777" w:rsidTr="00306B81">
        <w:tc>
          <w:tcPr>
            <w:tcW w:w="1985" w:type="dxa"/>
            <w:tcBorders>
              <w:left w:val="single" w:sz="4" w:space="0" w:color="auto"/>
              <w:bottom w:val="single" w:sz="4" w:space="0" w:color="auto"/>
              <w:right w:val="single" w:sz="4" w:space="0" w:color="auto"/>
            </w:tcBorders>
            <w:shd w:val="solid" w:color="C6D9F1" w:themeColor="text2" w:themeTint="33" w:fill="auto"/>
          </w:tcPr>
          <w:p w14:paraId="07809BF3" w14:textId="77777777" w:rsidR="00423EBA" w:rsidRPr="004360BF" w:rsidRDefault="00423EBA" w:rsidP="00D61985">
            <w:pPr>
              <w:keepNext/>
              <w:spacing w:before="40" w:after="40"/>
              <w:jc w:val="center"/>
              <w:rPr>
                <w:b/>
                <w:sz w:val="22"/>
                <w:szCs w:val="22"/>
                <w:lang w:val="en-AU"/>
              </w:rPr>
            </w:pPr>
            <w:r w:rsidRPr="004360BF">
              <w:rPr>
                <w:b/>
                <w:sz w:val="22"/>
                <w:szCs w:val="22"/>
                <w:lang w:val="en-AU"/>
              </w:rPr>
              <w:t>Tariff Class</w:t>
            </w:r>
          </w:p>
        </w:tc>
        <w:tc>
          <w:tcPr>
            <w:tcW w:w="3522" w:type="dxa"/>
            <w:tcBorders>
              <w:left w:val="single" w:sz="4" w:space="0" w:color="auto"/>
              <w:bottom w:val="single" w:sz="4" w:space="0" w:color="auto"/>
              <w:right w:val="single" w:sz="4" w:space="0" w:color="auto"/>
            </w:tcBorders>
            <w:shd w:val="solid" w:color="C6D9F1" w:themeColor="text2" w:themeTint="33" w:fill="auto"/>
          </w:tcPr>
          <w:p w14:paraId="6BEB7930" w14:textId="77777777" w:rsidR="00423EBA" w:rsidRPr="004360BF" w:rsidRDefault="00423EBA" w:rsidP="00D61985">
            <w:pPr>
              <w:keepNext/>
              <w:spacing w:before="40" w:after="40"/>
              <w:jc w:val="center"/>
              <w:rPr>
                <w:b/>
                <w:sz w:val="22"/>
                <w:szCs w:val="22"/>
                <w:lang w:val="en-AU"/>
              </w:rPr>
            </w:pPr>
            <w:r w:rsidRPr="004360BF">
              <w:rPr>
                <w:b/>
                <w:sz w:val="22"/>
                <w:szCs w:val="22"/>
                <w:lang w:val="en-AU"/>
              </w:rPr>
              <w:t>Expected Weighted Revenue</w:t>
            </w:r>
          </w:p>
          <w:p w14:paraId="43952451" w14:textId="77777777" w:rsidR="00423EBA" w:rsidRPr="004360BF" w:rsidRDefault="00423EBA" w:rsidP="00D61985">
            <w:pPr>
              <w:keepNext/>
              <w:spacing w:before="40" w:after="40"/>
              <w:jc w:val="center"/>
              <w:rPr>
                <w:b/>
                <w:sz w:val="22"/>
                <w:szCs w:val="22"/>
                <w:lang w:val="en-AU"/>
              </w:rPr>
            </w:pPr>
            <w:r w:rsidRPr="004360BF">
              <w:rPr>
                <w:b/>
                <w:sz w:val="22"/>
                <w:szCs w:val="22"/>
                <w:lang w:val="en-AU"/>
              </w:rPr>
              <w:t>$’000</w:t>
            </w:r>
          </w:p>
        </w:tc>
      </w:tr>
      <w:tr w:rsidR="00423EBA" w:rsidRPr="004360BF" w14:paraId="08AAC227" w14:textId="77777777" w:rsidTr="00306B81">
        <w:tc>
          <w:tcPr>
            <w:tcW w:w="1985" w:type="dxa"/>
            <w:tcBorders>
              <w:top w:val="single" w:sz="4" w:space="0" w:color="auto"/>
              <w:left w:val="single" w:sz="4" w:space="0" w:color="auto"/>
              <w:bottom w:val="single" w:sz="4" w:space="0" w:color="auto"/>
              <w:right w:val="single" w:sz="4" w:space="0" w:color="auto"/>
            </w:tcBorders>
          </w:tcPr>
          <w:p w14:paraId="314C2508" w14:textId="77777777" w:rsidR="00423EBA" w:rsidRPr="004360BF" w:rsidRDefault="00423EBA" w:rsidP="00D61985">
            <w:pPr>
              <w:keepNext/>
              <w:spacing w:before="40" w:after="40"/>
              <w:rPr>
                <w:sz w:val="22"/>
                <w:szCs w:val="22"/>
                <w:lang w:val="en-AU"/>
              </w:rPr>
            </w:pPr>
            <w:r w:rsidRPr="004360BF">
              <w:rPr>
                <w:sz w:val="22"/>
                <w:szCs w:val="22"/>
                <w:lang w:val="en-AU"/>
              </w:rPr>
              <w:t>Commercial HV</w:t>
            </w:r>
          </w:p>
        </w:tc>
        <w:tc>
          <w:tcPr>
            <w:tcW w:w="3522" w:type="dxa"/>
            <w:tcBorders>
              <w:top w:val="single" w:sz="4" w:space="0" w:color="auto"/>
              <w:left w:val="single" w:sz="4" w:space="0" w:color="auto"/>
              <w:bottom w:val="single" w:sz="4" w:space="0" w:color="auto"/>
              <w:right w:val="single" w:sz="4" w:space="0" w:color="auto"/>
            </w:tcBorders>
          </w:tcPr>
          <w:p w14:paraId="51356684" w14:textId="5A1974EC" w:rsidR="00423EBA" w:rsidRPr="004360BF" w:rsidRDefault="00423EBA" w:rsidP="00A4552F">
            <w:pPr>
              <w:spacing w:before="40" w:after="40"/>
              <w:jc w:val="center"/>
              <w:rPr>
                <w:rFonts w:cs="Tahoma"/>
                <w:sz w:val="22"/>
                <w:szCs w:val="22"/>
                <w:lang w:val="en-AU"/>
              </w:rPr>
            </w:pPr>
            <w:r w:rsidRPr="004360BF">
              <w:rPr>
                <w:rFonts w:cs="Tahoma"/>
                <w:sz w:val="22"/>
                <w:szCs w:val="22"/>
                <w:lang w:val="en-AU"/>
              </w:rPr>
              <w:t>$</w:t>
            </w:r>
            <w:r>
              <w:rPr>
                <w:rFonts w:cs="Tahoma"/>
                <w:sz w:val="22"/>
                <w:szCs w:val="22"/>
                <w:lang w:val="en-AU"/>
              </w:rPr>
              <w:t>23,887</w:t>
            </w:r>
          </w:p>
        </w:tc>
      </w:tr>
      <w:tr w:rsidR="00423EBA" w:rsidRPr="004360BF" w14:paraId="6B33043E" w14:textId="77777777" w:rsidTr="00306B81">
        <w:tc>
          <w:tcPr>
            <w:tcW w:w="1985" w:type="dxa"/>
            <w:tcBorders>
              <w:top w:val="single" w:sz="4" w:space="0" w:color="auto"/>
              <w:left w:val="single" w:sz="4" w:space="0" w:color="auto"/>
              <w:bottom w:val="single" w:sz="4" w:space="0" w:color="auto"/>
              <w:right w:val="single" w:sz="4" w:space="0" w:color="auto"/>
            </w:tcBorders>
          </w:tcPr>
          <w:p w14:paraId="19E710BC" w14:textId="77777777" w:rsidR="00423EBA" w:rsidRPr="004360BF" w:rsidRDefault="00423EBA" w:rsidP="00D61985">
            <w:pPr>
              <w:keepNext/>
              <w:spacing w:before="40" w:after="40"/>
              <w:rPr>
                <w:sz w:val="22"/>
                <w:szCs w:val="22"/>
                <w:lang w:val="en-AU"/>
              </w:rPr>
            </w:pPr>
            <w:r w:rsidRPr="004360BF">
              <w:rPr>
                <w:sz w:val="22"/>
                <w:szCs w:val="22"/>
                <w:lang w:val="en-AU"/>
              </w:rPr>
              <w:t xml:space="preserve">Commercial </w:t>
            </w:r>
          </w:p>
        </w:tc>
        <w:tc>
          <w:tcPr>
            <w:tcW w:w="3522" w:type="dxa"/>
            <w:tcBorders>
              <w:top w:val="single" w:sz="4" w:space="0" w:color="auto"/>
              <w:left w:val="single" w:sz="4" w:space="0" w:color="auto"/>
              <w:bottom w:val="single" w:sz="4" w:space="0" w:color="auto"/>
              <w:right w:val="single" w:sz="4" w:space="0" w:color="auto"/>
            </w:tcBorders>
          </w:tcPr>
          <w:p w14:paraId="5079C979" w14:textId="74E26FB8" w:rsidR="00423EBA" w:rsidRPr="004360BF" w:rsidRDefault="00423EBA" w:rsidP="0097753E">
            <w:pPr>
              <w:spacing w:before="40" w:after="40"/>
              <w:jc w:val="center"/>
              <w:rPr>
                <w:sz w:val="22"/>
                <w:szCs w:val="22"/>
                <w:lang w:val="en-AU"/>
              </w:rPr>
            </w:pPr>
            <w:r w:rsidRPr="004360BF">
              <w:rPr>
                <w:rFonts w:cs="Tahoma"/>
                <w:sz w:val="22"/>
                <w:szCs w:val="22"/>
                <w:lang w:val="en-AU"/>
              </w:rPr>
              <w:t>$</w:t>
            </w:r>
            <w:r>
              <w:rPr>
                <w:rFonts w:cs="Tahoma"/>
                <w:sz w:val="22"/>
                <w:szCs w:val="22"/>
                <w:lang w:val="en-AU"/>
              </w:rPr>
              <w:t>97</w:t>
            </w:r>
            <w:r w:rsidRPr="004360BF">
              <w:rPr>
                <w:rFonts w:cs="Tahoma"/>
                <w:sz w:val="22"/>
                <w:szCs w:val="22"/>
                <w:lang w:val="en-AU"/>
              </w:rPr>
              <w:t>,</w:t>
            </w:r>
            <w:r>
              <w:rPr>
                <w:rFonts w:cs="Tahoma"/>
                <w:sz w:val="22"/>
                <w:szCs w:val="22"/>
                <w:lang w:val="en-AU"/>
              </w:rPr>
              <w:t>545</w:t>
            </w:r>
          </w:p>
        </w:tc>
      </w:tr>
      <w:tr w:rsidR="00423EBA" w:rsidRPr="004360BF" w14:paraId="16A608EA" w14:textId="77777777" w:rsidTr="00306B81">
        <w:tc>
          <w:tcPr>
            <w:tcW w:w="1985" w:type="dxa"/>
            <w:tcBorders>
              <w:top w:val="single" w:sz="4" w:space="0" w:color="auto"/>
              <w:left w:val="single" w:sz="4" w:space="0" w:color="auto"/>
              <w:bottom w:val="single" w:sz="4" w:space="0" w:color="auto"/>
              <w:right w:val="single" w:sz="4" w:space="0" w:color="auto"/>
            </w:tcBorders>
          </w:tcPr>
          <w:p w14:paraId="1F369DD6" w14:textId="77777777" w:rsidR="00423EBA" w:rsidRPr="004360BF" w:rsidRDefault="00423EBA" w:rsidP="00D61985">
            <w:pPr>
              <w:keepNext/>
              <w:spacing w:before="40" w:after="40"/>
              <w:rPr>
                <w:rFonts w:cs="Tahoma"/>
                <w:sz w:val="22"/>
                <w:szCs w:val="22"/>
                <w:lang w:val="en-AU"/>
              </w:rPr>
            </w:pPr>
            <w:r w:rsidRPr="004360BF">
              <w:rPr>
                <w:rFonts w:cs="Tahoma"/>
                <w:sz w:val="22"/>
                <w:szCs w:val="22"/>
                <w:lang w:val="en-AU"/>
              </w:rPr>
              <w:t>Domestic</w:t>
            </w:r>
          </w:p>
        </w:tc>
        <w:tc>
          <w:tcPr>
            <w:tcW w:w="3522" w:type="dxa"/>
            <w:tcBorders>
              <w:top w:val="single" w:sz="4" w:space="0" w:color="auto"/>
              <w:left w:val="single" w:sz="4" w:space="0" w:color="auto"/>
              <w:bottom w:val="single" w:sz="4" w:space="0" w:color="auto"/>
              <w:right w:val="single" w:sz="4" w:space="0" w:color="auto"/>
            </w:tcBorders>
          </w:tcPr>
          <w:p w14:paraId="0D51D005" w14:textId="2721505F" w:rsidR="00423EBA" w:rsidRPr="004360BF" w:rsidRDefault="00423EBA" w:rsidP="00DD2419">
            <w:pPr>
              <w:spacing w:before="40" w:after="40"/>
              <w:jc w:val="center"/>
              <w:rPr>
                <w:rFonts w:cs="Tahoma"/>
                <w:sz w:val="22"/>
                <w:szCs w:val="22"/>
                <w:lang w:val="en-AU"/>
              </w:rPr>
            </w:pPr>
            <w:r w:rsidRPr="004360BF">
              <w:rPr>
                <w:rFonts w:cs="Tahoma"/>
                <w:sz w:val="22"/>
                <w:szCs w:val="22"/>
                <w:lang w:val="en-AU"/>
              </w:rPr>
              <w:t>$</w:t>
            </w:r>
            <w:r>
              <w:rPr>
                <w:rFonts w:cs="Tahoma"/>
                <w:sz w:val="22"/>
                <w:szCs w:val="22"/>
                <w:lang w:val="en-AU"/>
              </w:rPr>
              <w:t>81</w:t>
            </w:r>
            <w:r w:rsidRPr="004360BF">
              <w:rPr>
                <w:rFonts w:cs="Tahoma"/>
                <w:sz w:val="22"/>
                <w:szCs w:val="22"/>
                <w:lang w:val="en-AU"/>
              </w:rPr>
              <w:t>,</w:t>
            </w:r>
            <w:r>
              <w:rPr>
                <w:rFonts w:cs="Tahoma"/>
                <w:sz w:val="22"/>
                <w:szCs w:val="22"/>
                <w:lang w:val="en-AU"/>
              </w:rPr>
              <w:t>517</w:t>
            </w:r>
          </w:p>
        </w:tc>
      </w:tr>
      <w:tr w:rsidR="00423EBA" w:rsidRPr="004360BF" w14:paraId="2C2A6346" w14:textId="77777777" w:rsidTr="00306B81">
        <w:tc>
          <w:tcPr>
            <w:tcW w:w="1985" w:type="dxa"/>
            <w:tcBorders>
              <w:top w:val="single" w:sz="4" w:space="0" w:color="auto"/>
              <w:left w:val="single" w:sz="4" w:space="0" w:color="auto"/>
              <w:bottom w:val="single" w:sz="4" w:space="0" w:color="auto"/>
              <w:right w:val="single" w:sz="4" w:space="0" w:color="auto"/>
            </w:tcBorders>
          </w:tcPr>
          <w:p w14:paraId="7AB0BC37" w14:textId="77777777" w:rsidR="00423EBA" w:rsidRPr="004360BF" w:rsidRDefault="00423EBA" w:rsidP="00D61985">
            <w:pPr>
              <w:keepNext/>
              <w:spacing w:before="40" w:after="40"/>
              <w:rPr>
                <w:rFonts w:cs="Tahoma"/>
                <w:b/>
                <w:sz w:val="22"/>
                <w:szCs w:val="22"/>
                <w:lang w:val="en-AU"/>
              </w:rPr>
            </w:pPr>
            <w:r w:rsidRPr="004360BF">
              <w:rPr>
                <w:rFonts w:cs="Tahoma"/>
                <w:b/>
                <w:sz w:val="22"/>
                <w:szCs w:val="22"/>
                <w:lang w:val="en-AU"/>
              </w:rPr>
              <w:t>Total</w:t>
            </w:r>
          </w:p>
        </w:tc>
        <w:tc>
          <w:tcPr>
            <w:tcW w:w="3522" w:type="dxa"/>
            <w:tcBorders>
              <w:top w:val="single" w:sz="4" w:space="0" w:color="auto"/>
              <w:left w:val="single" w:sz="4" w:space="0" w:color="auto"/>
              <w:bottom w:val="single" w:sz="4" w:space="0" w:color="auto"/>
              <w:right w:val="single" w:sz="4" w:space="0" w:color="auto"/>
            </w:tcBorders>
          </w:tcPr>
          <w:p w14:paraId="6931878F" w14:textId="7A72DC1B" w:rsidR="00423EBA" w:rsidRPr="004360BF" w:rsidRDefault="00423EBA" w:rsidP="00A4552F">
            <w:pPr>
              <w:spacing w:before="40" w:after="40"/>
              <w:jc w:val="center"/>
              <w:rPr>
                <w:rFonts w:cs="Tahoma"/>
                <w:b/>
                <w:sz w:val="22"/>
                <w:szCs w:val="22"/>
                <w:lang w:val="en-AU"/>
              </w:rPr>
            </w:pPr>
            <w:r w:rsidRPr="004360BF">
              <w:rPr>
                <w:rFonts w:cs="Tahoma"/>
                <w:b/>
                <w:sz w:val="22"/>
                <w:szCs w:val="22"/>
                <w:lang w:val="en-AU"/>
              </w:rPr>
              <w:t>$202,</w:t>
            </w:r>
            <w:r>
              <w:rPr>
                <w:rFonts w:cs="Tahoma"/>
                <w:b/>
                <w:sz w:val="22"/>
                <w:szCs w:val="22"/>
                <w:lang w:val="en-AU"/>
              </w:rPr>
              <w:t>949</w:t>
            </w:r>
          </w:p>
        </w:tc>
      </w:tr>
    </w:tbl>
    <w:p w14:paraId="4183E38F" w14:textId="77777777" w:rsidR="00D61985" w:rsidRPr="004360BF" w:rsidRDefault="00D61985" w:rsidP="00D61985">
      <w:pPr>
        <w:spacing w:after="0"/>
        <w:rPr>
          <w:lang w:val="en-AU"/>
        </w:rPr>
      </w:pPr>
      <w:bookmarkStart w:id="356" w:name="_Toc417291262"/>
      <w:bookmarkStart w:id="357" w:name="_Toc417291766"/>
      <w:bookmarkStart w:id="358" w:name="_Toc417292534"/>
      <w:bookmarkStart w:id="359" w:name="_Toc291262254"/>
      <w:bookmarkStart w:id="360" w:name="_Ref240609040"/>
    </w:p>
    <w:p w14:paraId="712F449A" w14:textId="77777777" w:rsidR="006D0DFC" w:rsidRPr="004360BF" w:rsidRDefault="006D0DFC" w:rsidP="00B30BF6">
      <w:pPr>
        <w:pStyle w:val="Heading2"/>
      </w:pPr>
      <w:bookmarkStart w:id="361" w:name="_Ref291313108"/>
      <w:bookmarkStart w:id="362" w:name="_Toc417458024"/>
      <w:bookmarkStart w:id="363" w:name="_Toc418608693"/>
      <w:r w:rsidRPr="004360BF">
        <w:t xml:space="preserve">Network tariff </w:t>
      </w:r>
      <w:r w:rsidR="00897576" w:rsidRPr="004360BF">
        <w:t xml:space="preserve">changes </w:t>
      </w:r>
      <w:r w:rsidRPr="004360BF">
        <w:t>for 201</w:t>
      </w:r>
      <w:r w:rsidR="00834FE9" w:rsidRPr="004360BF">
        <w:t>5</w:t>
      </w:r>
      <w:r w:rsidRPr="004360BF">
        <w:t>/1</w:t>
      </w:r>
      <w:r w:rsidR="00834FE9" w:rsidRPr="004360BF">
        <w:t>6</w:t>
      </w:r>
      <w:bookmarkEnd w:id="356"/>
      <w:bookmarkEnd w:id="357"/>
      <w:bookmarkEnd w:id="358"/>
      <w:bookmarkEnd w:id="359"/>
      <w:bookmarkEnd w:id="361"/>
      <w:bookmarkEnd w:id="362"/>
      <w:bookmarkEnd w:id="363"/>
    </w:p>
    <w:p w14:paraId="2E175513" w14:textId="77777777" w:rsidR="00F05699" w:rsidRPr="004360BF" w:rsidRDefault="006D0DFC" w:rsidP="00A00407">
      <w:pPr>
        <w:rPr>
          <w:lang w:val="en-AU"/>
        </w:rPr>
      </w:pPr>
      <w:r w:rsidRPr="004360BF">
        <w:rPr>
          <w:lang w:val="en-AU"/>
        </w:rPr>
        <w:t>The network tariffs for 201</w:t>
      </w:r>
      <w:r w:rsidR="00BC6351" w:rsidRPr="004360BF">
        <w:rPr>
          <w:lang w:val="en-AU"/>
        </w:rPr>
        <w:t>5</w:t>
      </w:r>
      <w:r w:rsidRPr="004360BF">
        <w:rPr>
          <w:lang w:val="en-AU"/>
        </w:rPr>
        <w:t>/1</w:t>
      </w:r>
      <w:r w:rsidR="00BC6351" w:rsidRPr="004360BF">
        <w:rPr>
          <w:lang w:val="en-AU"/>
        </w:rPr>
        <w:t>6</w:t>
      </w:r>
      <w:r w:rsidR="003F4DC1" w:rsidRPr="004360BF">
        <w:rPr>
          <w:lang w:val="en-AU"/>
        </w:rPr>
        <w:t xml:space="preserve"> and the changes from the previous regulatory year </w:t>
      </w:r>
      <w:r w:rsidRPr="004360BF">
        <w:rPr>
          <w:lang w:val="en-AU"/>
        </w:rPr>
        <w:t xml:space="preserve">are described in the following sections </w:t>
      </w:r>
      <w:r w:rsidR="0036456E" w:rsidRPr="004360BF">
        <w:rPr>
          <w:lang w:val="en-AU"/>
        </w:rPr>
        <w:fldChar w:fldCharType="begin"/>
      </w:r>
      <w:r w:rsidR="0036456E" w:rsidRPr="004360BF">
        <w:rPr>
          <w:lang w:val="en-AU"/>
        </w:rPr>
        <w:instrText xml:space="preserve"> REF _Ref291276124 \r \h </w:instrText>
      </w:r>
      <w:r w:rsidR="0036456E" w:rsidRPr="004360BF">
        <w:rPr>
          <w:lang w:val="en-AU"/>
        </w:rPr>
      </w:r>
      <w:r w:rsidR="0036456E" w:rsidRPr="004360BF">
        <w:rPr>
          <w:lang w:val="en-AU"/>
        </w:rPr>
        <w:fldChar w:fldCharType="separate"/>
      </w:r>
      <w:r w:rsidR="008D3215">
        <w:rPr>
          <w:lang w:val="en-AU"/>
        </w:rPr>
        <w:t>11.2.1</w:t>
      </w:r>
      <w:r w:rsidR="0036456E" w:rsidRPr="004360BF">
        <w:rPr>
          <w:lang w:val="en-AU"/>
        </w:rPr>
        <w:fldChar w:fldCharType="end"/>
      </w:r>
      <w:r w:rsidRPr="004360BF">
        <w:rPr>
          <w:lang w:val="en-AU"/>
        </w:rPr>
        <w:t xml:space="preserve"> to </w:t>
      </w:r>
      <w:r w:rsidR="0036456E" w:rsidRPr="004360BF">
        <w:rPr>
          <w:lang w:val="en-AU"/>
        </w:rPr>
        <w:fldChar w:fldCharType="begin"/>
      </w:r>
      <w:r w:rsidR="0036456E" w:rsidRPr="004360BF">
        <w:rPr>
          <w:lang w:val="en-AU"/>
        </w:rPr>
        <w:instrText xml:space="preserve"> REF _Ref240536708 \r \h </w:instrText>
      </w:r>
      <w:r w:rsidR="0036456E" w:rsidRPr="004360BF">
        <w:rPr>
          <w:lang w:val="en-AU"/>
        </w:rPr>
      </w:r>
      <w:r w:rsidR="0036456E" w:rsidRPr="004360BF">
        <w:rPr>
          <w:lang w:val="en-AU"/>
        </w:rPr>
        <w:fldChar w:fldCharType="separate"/>
      </w:r>
      <w:r w:rsidR="008D3215">
        <w:rPr>
          <w:lang w:val="en-AU"/>
        </w:rPr>
        <w:t>11.2.5</w:t>
      </w:r>
      <w:r w:rsidR="0036456E" w:rsidRPr="004360BF">
        <w:rPr>
          <w:lang w:val="en-AU"/>
        </w:rPr>
        <w:fldChar w:fldCharType="end"/>
      </w:r>
      <w:r w:rsidR="003F4DC1" w:rsidRPr="004360BF">
        <w:rPr>
          <w:lang w:val="en-AU"/>
        </w:rPr>
        <w:t>, in accordance with clause 18.1(</w:t>
      </w:r>
      <w:proofErr w:type="spellStart"/>
      <w:r w:rsidR="003F4DC1" w:rsidRPr="004360BF">
        <w:rPr>
          <w:lang w:val="en-AU"/>
        </w:rPr>
        <w:t>i</w:t>
      </w:r>
      <w:proofErr w:type="spellEnd"/>
      <w:r w:rsidR="003F4DC1" w:rsidRPr="004360BF">
        <w:rPr>
          <w:lang w:val="en-AU"/>
        </w:rPr>
        <w:t>) of the RIN</w:t>
      </w:r>
      <w:r w:rsidRPr="004360BF">
        <w:rPr>
          <w:lang w:val="en-AU"/>
        </w:rPr>
        <w:t>.</w:t>
      </w:r>
    </w:p>
    <w:p w14:paraId="3D67AF6C" w14:textId="7B6A0A3A" w:rsidR="006D0DFC" w:rsidRPr="004360BF" w:rsidRDefault="006D0DFC" w:rsidP="00A00407">
      <w:pPr>
        <w:rPr>
          <w:lang w:val="en-AU"/>
        </w:rPr>
      </w:pPr>
    </w:p>
    <w:p w14:paraId="4DC1963A" w14:textId="77777777" w:rsidR="006D0DFC" w:rsidRPr="004360BF" w:rsidRDefault="006D0DFC" w:rsidP="00EE7AA1">
      <w:pPr>
        <w:pStyle w:val="Heading3"/>
      </w:pPr>
      <w:bookmarkStart w:id="364" w:name="_Ref240536706"/>
      <w:bookmarkStart w:id="365" w:name="_Toc417291767"/>
      <w:bookmarkStart w:id="366" w:name="_Toc417292535"/>
      <w:bookmarkStart w:id="367" w:name="_Toc291262255"/>
      <w:bookmarkStart w:id="368" w:name="_Ref291276124"/>
      <w:r w:rsidRPr="004360BF">
        <w:lastRenderedPageBreak/>
        <w:t>Domestic tariff in 201</w:t>
      </w:r>
      <w:r w:rsidR="00834FE9" w:rsidRPr="004360BF">
        <w:t>5</w:t>
      </w:r>
      <w:r w:rsidRPr="004360BF">
        <w:t>/1</w:t>
      </w:r>
      <w:bookmarkEnd w:id="364"/>
      <w:r w:rsidR="00834FE9" w:rsidRPr="004360BF">
        <w:t>6</w:t>
      </w:r>
      <w:bookmarkEnd w:id="365"/>
      <w:bookmarkEnd w:id="366"/>
      <w:bookmarkEnd w:id="367"/>
      <w:bookmarkEnd w:id="368"/>
    </w:p>
    <w:p w14:paraId="16AD20AA" w14:textId="1049EE44" w:rsidR="006D0DFC" w:rsidRPr="004360BF" w:rsidRDefault="006D0DFC" w:rsidP="009A254C">
      <w:pPr>
        <w:keepNext/>
        <w:rPr>
          <w:lang w:val="en-AU"/>
        </w:rPr>
      </w:pPr>
      <w:r w:rsidRPr="004360BF">
        <w:rPr>
          <w:lang w:val="en-AU"/>
        </w:rPr>
        <w:t>The proposed domestic tariff for 201</w:t>
      </w:r>
      <w:r w:rsidR="009F14D5" w:rsidRPr="004360BF">
        <w:rPr>
          <w:lang w:val="en-AU"/>
        </w:rPr>
        <w:t>5</w:t>
      </w:r>
      <w:r w:rsidRPr="004360BF">
        <w:rPr>
          <w:lang w:val="en-AU"/>
        </w:rPr>
        <w:t>/1</w:t>
      </w:r>
      <w:r w:rsidR="009F14D5" w:rsidRPr="004360BF">
        <w:rPr>
          <w:lang w:val="en-AU"/>
        </w:rPr>
        <w:t>6</w:t>
      </w:r>
      <w:r w:rsidRPr="004360BF">
        <w:rPr>
          <w:lang w:val="en-AU"/>
        </w:rPr>
        <w:t xml:space="preserve"> and the change in each charging </w:t>
      </w:r>
      <w:r w:rsidR="00112A4E" w:rsidRPr="004360BF">
        <w:rPr>
          <w:lang w:val="en-AU"/>
        </w:rPr>
        <w:t xml:space="preserve">parameter </w:t>
      </w:r>
      <w:r w:rsidRPr="004360BF">
        <w:rPr>
          <w:lang w:val="en-AU"/>
        </w:rPr>
        <w:t>from 201</w:t>
      </w:r>
      <w:r w:rsidR="009F14D5" w:rsidRPr="004360BF">
        <w:rPr>
          <w:lang w:val="en-AU"/>
        </w:rPr>
        <w:t>4</w:t>
      </w:r>
      <w:r w:rsidRPr="004360BF">
        <w:rPr>
          <w:lang w:val="en-AU"/>
        </w:rPr>
        <w:t>/1</w:t>
      </w:r>
      <w:r w:rsidR="009F14D5" w:rsidRPr="004360BF">
        <w:rPr>
          <w:lang w:val="en-AU"/>
        </w:rPr>
        <w:t>5</w:t>
      </w:r>
      <w:r w:rsidRPr="004360BF">
        <w:rPr>
          <w:lang w:val="en-AU"/>
        </w:rPr>
        <w:t xml:space="preserve"> </w:t>
      </w:r>
      <w:r w:rsidR="00C558B4" w:rsidRPr="004360BF">
        <w:rPr>
          <w:lang w:val="en-AU"/>
        </w:rPr>
        <w:t>are</w:t>
      </w:r>
      <w:r w:rsidRPr="004360BF">
        <w:rPr>
          <w:lang w:val="en-AU"/>
        </w:rPr>
        <w:t xml:space="preserve"> shown in </w:t>
      </w:r>
      <w:r w:rsidR="00CC1083" w:rsidRPr="004360BF">
        <w:rPr>
          <w:lang w:val="en-AU"/>
        </w:rPr>
        <w:fldChar w:fldCharType="begin"/>
      </w:r>
      <w:r w:rsidR="00CC1083" w:rsidRPr="004360BF">
        <w:rPr>
          <w:lang w:val="en-AU"/>
        </w:rPr>
        <w:instrText xml:space="preserve"> REF _Ref240531612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11</w:t>
      </w:r>
      <w:r w:rsidR="00CC1083" w:rsidRPr="004360BF">
        <w:rPr>
          <w:lang w:val="en-AU"/>
        </w:rPr>
        <w:fldChar w:fldCharType="end"/>
      </w:r>
      <w:r w:rsidRPr="004360BF">
        <w:rPr>
          <w:lang w:val="en-AU"/>
        </w:rPr>
        <w:t>.</w:t>
      </w:r>
    </w:p>
    <w:p w14:paraId="0ACADB53" w14:textId="77777777" w:rsidR="006D0DFC" w:rsidRPr="004360BF" w:rsidRDefault="006D0DFC" w:rsidP="009A254C">
      <w:pPr>
        <w:pStyle w:val="Caption"/>
        <w:rPr>
          <w:lang w:val="en-AU"/>
        </w:rPr>
      </w:pPr>
      <w:bookmarkStart w:id="369" w:name="_Ref240531612"/>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11</w:t>
      </w:r>
      <w:r w:rsidR="00517DD9" w:rsidRPr="004360BF">
        <w:rPr>
          <w:lang w:val="en-AU"/>
        </w:rPr>
        <w:fldChar w:fldCharType="end"/>
      </w:r>
      <w:bookmarkEnd w:id="369"/>
      <w:r w:rsidRPr="004360BF">
        <w:rPr>
          <w:lang w:val="en-AU"/>
        </w:rPr>
        <w:t xml:space="preserve"> – Domestic tariff in 201</w:t>
      </w:r>
      <w:r w:rsidR="00834FE9" w:rsidRPr="004360BF">
        <w:rPr>
          <w:lang w:val="en-AU"/>
        </w:rPr>
        <w:t>5</w:t>
      </w:r>
      <w:r w:rsidRPr="004360BF">
        <w:rPr>
          <w:lang w:val="en-AU"/>
        </w:rPr>
        <w:t>/1</w:t>
      </w:r>
      <w:r w:rsidR="00834FE9" w:rsidRPr="004360BF">
        <w:rPr>
          <w:lang w:val="en-AU"/>
        </w:rPr>
        <w:t>6</w:t>
      </w:r>
      <w:r w:rsidRPr="004360BF">
        <w:rPr>
          <w:lang w:val="en-AU"/>
        </w:rPr>
        <w:t xml:space="preserve"> (GST exclusive)</w:t>
      </w:r>
    </w:p>
    <w:tbl>
      <w:tblPr>
        <w:tblW w:w="8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1278"/>
        <w:gridCol w:w="1227"/>
        <w:gridCol w:w="1227"/>
      </w:tblGrid>
      <w:tr w:rsidR="00834FE9" w:rsidRPr="004360BF" w14:paraId="2FB527F7" w14:textId="77777777" w:rsidTr="00375E68">
        <w:tc>
          <w:tcPr>
            <w:tcW w:w="4962" w:type="dxa"/>
            <w:tcBorders>
              <w:top w:val="single" w:sz="4" w:space="0" w:color="auto"/>
              <w:left w:val="single" w:sz="4" w:space="0" w:color="auto"/>
              <w:bottom w:val="nil"/>
              <w:right w:val="single" w:sz="4" w:space="0" w:color="auto"/>
            </w:tcBorders>
            <w:shd w:val="solid" w:color="C6D9F1" w:fill="auto"/>
          </w:tcPr>
          <w:p w14:paraId="234CB028" w14:textId="77777777" w:rsidR="00834FE9" w:rsidRPr="004360BF" w:rsidRDefault="00834FE9" w:rsidP="00897576">
            <w:pPr>
              <w:keepNext/>
              <w:spacing w:before="40" w:after="40"/>
              <w:rPr>
                <w:b/>
                <w:sz w:val="22"/>
                <w:szCs w:val="22"/>
                <w:lang w:val="en-AU"/>
              </w:rPr>
            </w:pPr>
            <w:r w:rsidRPr="004360BF">
              <w:rPr>
                <w:b/>
                <w:sz w:val="22"/>
                <w:szCs w:val="22"/>
                <w:lang w:val="en-AU"/>
              </w:rPr>
              <w:t>Tariff charging parameter</w:t>
            </w:r>
          </w:p>
        </w:tc>
        <w:tc>
          <w:tcPr>
            <w:tcW w:w="1278" w:type="dxa"/>
            <w:tcBorders>
              <w:top w:val="single" w:sz="4" w:space="0" w:color="auto"/>
              <w:left w:val="single" w:sz="4" w:space="0" w:color="auto"/>
              <w:bottom w:val="nil"/>
              <w:right w:val="single" w:sz="4" w:space="0" w:color="auto"/>
            </w:tcBorders>
            <w:shd w:val="solid" w:color="C6D9F1" w:fill="auto"/>
          </w:tcPr>
          <w:p w14:paraId="500EC06D" w14:textId="77777777" w:rsidR="00834FE9" w:rsidRPr="004360BF" w:rsidRDefault="00834FE9" w:rsidP="00D732C1">
            <w:pPr>
              <w:keepNext/>
              <w:spacing w:before="40" w:after="40"/>
              <w:jc w:val="center"/>
              <w:rPr>
                <w:b/>
                <w:sz w:val="22"/>
                <w:szCs w:val="22"/>
                <w:lang w:val="en-AU"/>
              </w:rPr>
            </w:pPr>
            <w:r w:rsidRPr="004360BF">
              <w:rPr>
                <w:b/>
                <w:sz w:val="22"/>
                <w:szCs w:val="22"/>
                <w:lang w:val="en-AU"/>
              </w:rPr>
              <w:t>2014/15</w:t>
            </w:r>
          </w:p>
        </w:tc>
        <w:tc>
          <w:tcPr>
            <w:tcW w:w="1227" w:type="dxa"/>
            <w:tcBorders>
              <w:top w:val="single" w:sz="4" w:space="0" w:color="auto"/>
              <w:left w:val="single" w:sz="4" w:space="0" w:color="auto"/>
              <w:bottom w:val="single" w:sz="4" w:space="0" w:color="auto"/>
              <w:right w:val="single" w:sz="4" w:space="0" w:color="auto"/>
            </w:tcBorders>
            <w:shd w:val="solid" w:color="C6D9F1" w:fill="auto"/>
          </w:tcPr>
          <w:p w14:paraId="60F903E4" w14:textId="77777777" w:rsidR="00834FE9" w:rsidRPr="004360BF" w:rsidRDefault="00834FE9" w:rsidP="00D732C1">
            <w:pPr>
              <w:keepNext/>
              <w:spacing w:before="40" w:after="40"/>
              <w:jc w:val="center"/>
              <w:rPr>
                <w:b/>
                <w:sz w:val="22"/>
                <w:szCs w:val="22"/>
                <w:lang w:val="en-AU"/>
              </w:rPr>
            </w:pPr>
            <w:r w:rsidRPr="004360BF">
              <w:rPr>
                <w:b/>
                <w:sz w:val="22"/>
                <w:szCs w:val="22"/>
                <w:lang w:val="en-AU"/>
              </w:rPr>
              <w:t>2015/16</w:t>
            </w:r>
          </w:p>
        </w:tc>
        <w:tc>
          <w:tcPr>
            <w:tcW w:w="1227" w:type="dxa"/>
            <w:tcBorders>
              <w:top w:val="single" w:sz="4" w:space="0" w:color="auto"/>
              <w:left w:val="single" w:sz="4" w:space="0" w:color="auto"/>
              <w:bottom w:val="single" w:sz="4" w:space="0" w:color="auto"/>
              <w:right w:val="single" w:sz="4" w:space="0" w:color="auto"/>
            </w:tcBorders>
            <w:shd w:val="solid" w:color="C6D9F1" w:fill="auto"/>
          </w:tcPr>
          <w:p w14:paraId="4C172A0E" w14:textId="77777777" w:rsidR="00834FE9" w:rsidRPr="004360BF" w:rsidRDefault="00834FE9" w:rsidP="00D732C1">
            <w:pPr>
              <w:keepNext/>
              <w:spacing w:before="40" w:after="40"/>
              <w:jc w:val="center"/>
              <w:rPr>
                <w:b/>
                <w:sz w:val="22"/>
                <w:szCs w:val="22"/>
                <w:lang w:val="en-AU"/>
              </w:rPr>
            </w:pPr>
            <w:r w:rsidRPr="004360BF">
              <w:rPr>
                <w:b/>
                <w:sz w:val="22"/>
                <w:szCs w:val="22"/>
                <w:lang w:val="en-AU"/>
              </w:rPr>
              <w:t>Price change</w:t>
            </w:r>
          </w:p>
        </w:tc>
      </w:tr>
      <w:tr w:rsidR="006C200E" w:rsidRPr="004360BF" w14:paraId="53F6C99A" w14:textId="77777777" w:rsidTr="00EF43A2">
        <w:tc>
          <w:tcPr>
            <w:tcW w:w="4962" w:type="dxa"/>
            <w:tcBorders>
              <w:top w:val="single" w:sz="4" w:space="0" w:color="auto"/>
              <w:left w:val="single" w:sz="4" w:space="0" w:color="auto"/>
              <w:bottom w:val="nil"/>
              <w:right w:val="single" w:sz="4" w:space="0" w:color="auto"/>
            </w:tcBorders>
          </w:tcPr>
          <w:p w14:paraId="53CAF024" w14:textId="77777777" w:rsidR="006C200E" w:rsidRPr="004360BF" w:rsidRDefault="006C200E" w:rsidP="00D732C1">
            <w:pPr>
              <w:keepNext/>
              <w:spacing w:before="40" w:after="40"/>
              <w:rPr>
                <w:sz w:val="22"/>
                <w:szCs w:val="22"/>
                <w:lang w:val="en-AU"/>
              </w:rPr>
            </w:pPr>
            <w:r w:rsidRPr="004360BF">
              <w:rPr>
                <w:sz w:val="22"/>
                <w:szCs w:val="22"/>
                <w:lang w:val="en-AU"/>
              </w:rPr>
              <w:t>System Availability Charge ¢/day</w:t>
            </w:r>
          </w:p>
        </w:tc>
        <w:tc>
          <w:tcPr>
            <w:tcW w:w="1278" w:type="dxa"/>
            <w:tcBorders>
              <w:top w:val="single" w:sz="4" w:space="0" w:color="auto"/>
              <w:left w:val="single" w:sz="4" w:space="0" w:color="auto"/>
              <w:bottom w:val="single" w:sz="4" w:space="0" w:color="auto"/>
              <w:right w:val="single" w:sz="4" w:space="0" w:color="auto"/>
            </w:tcBorders>
          </w:tcPr>
          <w:p w14:paraId="2B6B84DF" w14:textId="77777777" w:rsidR="006C200E" w:rsidRPr="004360BF" w:rsidRDefault="006C200E" w:rsidP="00D732C1">
            <w:pPr>
              <w:keepNext/>
              <w:spacing w:before="40" w:after="40"/>
              <w:jc w:val="right"/>
              <w:rPr>
                <w:sz w:val="22"/>
                <w:szCs w:val="22"/>
                <w:lang w:val="en-AU"/>
              </w:rPr>
            </w:pPr>
            <w:r w:rsidRPr="004360BF">
              <w:rPr>
                <w:sz w:val="22"/>
                <w:szCs w:val="22"/>
                <w:lang w:val="en-AU"/>
              </w:rPr>
              <w:t>36.487</w:t>
            </w:r>
          </w:p>
        </w:tc>
        <w:tc>
          <w:tcPr>
            <w:tcW w:w="1227" w:type="dxa"/>
            <w:tcBorders>
              <w:top w:val="single" w:sz="4" w:space="0" w:color="auto"/>
              <w:left w:val="single" w:sz="4" w:space="0" w:color="auto"/>
              <w:bottom w:val="nil"/>
              <w:right w:val="single" w:sz="4" w:space="0" w:color="auto"/>
            </w:tcBorders>
          </w:tcPr>
          <w:p w14:paraId="56D53926" w14:textId="2C1B0754" w:rsidR="006C200E" w:rsidRPr="004360BF" w:rsidRDefault="006C200E" w:rsidP="00D732C1">
            <w:pPr>
              <w:keepNext/>
              <w:spacing w:before="40" w:after="40"/>
              <w:jc w:val="right"/>
              <w:rPr>
                <w:sz w:val="22"/>
                <w:szCs w:val="22"/>
                <w:lang w:val="en-AU"/>
              </w:rPr>
            </w:pPr>
            <w:r w:rsidRPr="00EF43A2">
              <w:rPr>
                <w:sz w:val="22"/>
                <w:szCs w:val="22"/>
                <w:lang w:val="en-AU"/>
              </w:rPr>
              <w:t>40.885</w:t>
            </w:r>
          </w:p>
        </w:tc>
        <w:tc>
          <w:tcPr>
            <w:tcW w:w="1227" w:type="dxa"/>
            <w:tcBorders>
              <w:top w:val="single" w:sz="4" w:space="0" w:color="auto"/>
              <w:left w:val="single" w:sz="4" w:space="0" w:color="auto"/>
              <w:bottom w:val="nil"/>
              <w:right w:val="single" w:sz="4" w:space="0" w:color="auto"/>
            </w:tcBorders>
          </w:tcPr>
          <w:p w14:paraId="4CFE5459" w14:textId="23F4DE49" w:rsidR="006C200E" w:rsidRPr="004360BF" w:rsidRDefault="006C200E" w:rsidP="00D732C1">
            <w:pPr>
              <w:keepNext/>
              <w:spacing w:before="40" w:after="40"/>
              <w:jc w:val="right"/>
              <w:rPr>
                <w:sz w:val="22"/>
                <w:szCs w:val="22"/>
                <w:lang w:val="en-AU"/>
              </w:rPr>
            </w:pPr>
            <w:r w:rsidRPr="00EF43A2">
              <w:rPr>
                <w:sz w:val="22"/>
                <w:szCs w:val="22"/>
                <w:lang w:val="en-AU"/>
              </w:rPr>
              <w:t>12.1%</w:t>
            </w:r>
          </w:p>
        </w:tc>
      </w:tr>
      <w:tr w:rsidR="006C200E" w:rsidRPr="004360BF" w14:paraId="4937D10E" w14:textId="77777777" w:rsidTr="00EF43A2">
        <w:tc>
          <w:tcPr>
            <w:tcW w:w="4962" w:type="dxa"/>
            <w:tcBorders>
              <w:top w:val="single" w:sz="4" w:space="0" w:color="auto"/>
              <w:left w:val="single" w:sz="4" w:space="0" w:color="auto"/>
              <w:bottom w:val="single" w:sz="4" w:space="0" w:color="auto"/>
              <w:right w:val="single" w:sz="4" w:space="0" w:color="auto"/>
            </w:tcBorders>
          </w:tcPr>
          <w:p w14:paraId="3DA0E8AB" w14:textId="77777777" w:rsidR="006C200E" w:rsidRPr="004360BF" w:rsidRDefault="006C200E" w:rsidP="00D732C1">
            <w:pPr>
              <w:keepNext/>
              <w:spacing w:before="40" w:after="40"/>
              <w:rPr>
                <w:sz w:val="22"/>
                <w:szCs w:val="22"/>
                <w:lang w:val="en-AU"/>
              </w:rPr>
            </w:pPr>
            <w:r w:rsidRPr="004360BF">
              <w:rPr>
                <w:sz w:val="22"/>
                <w:szCs w:val="22"/>
                <w:lang w:val="en-AU"/>
              </w:rPr>
              <w:t>First 500 kWh per month ¢/kWh</w:t>
            </w:r>
          </w:p>
        </w:tc>
        <w:tc>
          <w:tcPr>
            <w:tcW w:w="1278" w:type="dxa"/>
            <w:tcBorders>
              <w:top w:val="single" w:sz="4" w:space="0" w:color="auto"/>
              <w:left w:val="single" w:sz="4" w:space="0" w:color="auto"/>
              <w:bottom w:val="single" w:sz="4" w:space="0" w:color="auto"/>
              <w:right w:val="single" w:sz="4" w:space="0" w:color="auto"/>
            </w:tcBorders>
          </w:tcPr>
          <w:p w14:paraId="610ACC26" w14:textId="77777777" w:rsidR="006C200E" w:rsidRPr="004360BF" w:rsidRDefault="006C200E" w:rsidP="00D732C1">
            <w:pPr>
              <w:keepNext/>
              <w:spacing w:before="40" w:after="40"/>
              <w:jc w:val="right"/>
              <w:rPr>
                <w:sz w:val="22"/>
                <w:szCs w:val="22"/>
                <w:lang w:val="en-AU"/>
              </w:rPr>
            </w:pPr>
            <w:r w:rsidRPr="004360BF">
              <w:rPr>
                <w:sz w:val="22"/>
                <w:szCs w:val="22"/>
                <w:lang w:val="en-AU"/>
              </w:rPr>
              <w:t>12.580</w:t>
            </w:r>
          </w:p>
        </w:tc>
        <w:tc>
          <w:tcPr>
            <w:tcW w:w="1227" w:type="dxa"/>
            <w:tcBorders>
              <w:top w:val="single" w:sz="4" w:space="0" w:color="auto"/>
              <w:left w:val="single" w:sz="4" w:space="0" w:color="auto"/>
              <w:bottom w:val="single" w:sz="4" w:space="0" w:color="auto"/>
              <w:right w:val="single" w:sz="4" w:space="0" w:color="auto"/>
            </w:tcBorders>
          </w:tcPr>
          <w:p w14:paraId="7646BA73" w14:textId="2EE27A4A" w:rsidR="006C200E" w:rsidRPr="004360BF" w:rsidRDefault="006C200E" w:rsidP="00D732C1">
            <w:pPr>
              <w:keepNext/>
              <w:spacing w:before="40" w:after="40"/>
              <w:jc w:val="right"/>
              <w:rPr>
                <w:sz w:val="22"/>
                <w:szCs w:val="22"/>
                <w:lang w:val="en-AU"/>
              </w:rPr>
            </w:pPr>
            <w:r w:rsidRPr="00EF43A2">
              <w:rPr>
                <w:sz w:val="22"/>
                <w:szCs w:val="22"/>
                <w:lang w:val="en-AU"/>
              </w:rPr>
              <w:t>14.034</w:t>
            </w:r>
          </w:p>
        </w:tc>
        <w:tc>
          <w:tcPr>
            <w:tcW w:w="1227" w:type="dxa"/>
            <w:tcBorders>
              <w:top w:val="single" w:sz="4" w:space="0" w:color="auto"/>
              <w:left w:val="single" w:sz="4" w:space="0" w:color="auto"/>
              <w:bottom w:val="single" w:sz="4" w:space="0" w:color="auto"/>
              <w:right w:val="single" w:sz="4" w:space="0" w:color="auto"/>
            </w:tcBorders>
          </w:tcPr>
          <w:p w14:paraId="126BB628" w14:textId="417A3742" w:rsidR="006C200E" w:rsidRPr="004360BF" w:rsidRDefault="006C200E" w:rsidP="00D732C1">
            <w:pPr>
              <w:keepNext/>
              <w:spacing w:before="40" w:after="40"/>
              <w:jc w:val="right"/>
              <w:rPr>
                <w:sz w:val="22"/>
                <w:szCs w:val="22"/>
                <w:lang w:val="en-AU"/>
              </w:rPr>
            </w:pPr>
            <w:r w:rsidRPr="00EF43A2">
              <w:rPr>
                <w:sz w:val="22"/>
                <w:szCs w:val="22"/>
                <w:lang w:val="en-AU"/>
              </w:rPr>
              <w:t>11.6%</w:t>
            </w:r>
          </w:p>
        </w:tc>
      </w:tr>
      <w:tr w:rsidR="006C200E" w:rsidRPr="004360BF" w14:paraId="6A03116F" w14:textId="77777777" w:rsidTr="00EF43A2">
        <w:tc>
          <w:tcPr>
            <w:tcW w:w="4962" w:type="dxa"/>
            <w:tcBorders>
              <w:top w:val="single" w:sz="4" w:space="0" w:color="auto"/>
              <w:left w:val="single" w:sz="4" w:space="0" w:color="auto"/>
              <w:bottom w:val="single" w:sz="4" w:space="0" w:color="auto"/>
              <w:right w:val="single" w:sz="4" w:space="0" w:color="auto"/>
            </w:tcBorders>
          </w:tcPr>
          <w:p w14:paraId="7D5BEC96" w14:textId="4C4D2AC0" w:rsidR="006C200E" w:rsidRPr="004360BF" w:rsidRDefault="006C200E" w:rsidP="00D732C1">
            <w:pPr>
              <w:keepNext/>
              <w:spacing w:before="40" w:after="40"/>
              <w:rPr>
                <w:sz w:val="22"/>
                <w:szCs w:val="22"/>
                <w:lang w:val="en-AU"/>
              </w:rPr>
            </w:pPr>
            <w:r w:rsidRPr="004360BF">
              <w:rPr>
                <w:sz w:val="22"/>
                <w:szCs w:val="22"/>
                <w:lang w:val="en-AU"/>
              </w:rPr>
              <w:t>Next 500 kWh per month ¢/kWh</w:t>
            </w:r>
          </w:p>
        </w:tc>
        <w:tc>
          <w:tcPr>
            <w:tcW w:w="1278" w:type="dxa"/>
            <w:tcBorders>
              <w:top w:val="single" w:sz="4" w:space="0" w:color="auto"/>
              <w:left w:val="single" w:sz="4" w:space="0" w:color="auto"/>
              <w:bottom w:val="single" w:sz="4" w:space="0" w:color="auto"/>
              <w:right w:val="single" w:sz="4" w:space="0" w:color="auto"/>
            </w:tcBorders>
          </w:tcPr>
          <w:p w14:paraId="4A9022EA" w14:textId="77777777" w:rsidR="006C200E" w:rsidRPr="004360BF" w:rsidRDefault="006C200E" w:rsidP="00D732C1">
            <w:pPr>
              <w:keepNext/>
              <w:spacing w:before="40" w:after="40"/>
              <w:jc w:val="right"/>
              <w:rPr>
                <w:sz w:val="22"/>
                <w:szCs w:val="22"/>
                <w:lang w:val="en-AU"/>
              </w:rPr>
            </w:pPr>
            <w:r w:rsidRPr="004360BF">
              <w:rPr>
                <w:sz w:val="22"/>
                <w:szCs w:val="22"/>
                <w:lang w:val="en-AU"/>
              </w:rPr>
              <w:t>12.580</w:t>
            </w:r>
          </w:p>
        </w:tc>
        <w:tc>
          <w:tcPr>
            <w:tcW w:w="1227" w:type="dxa"/>
            <w:tcBorders>
              <w:top w:val="single" w:sz="4" w:space="0" w:color="auto"/>
              <w:left w:val="single" w:sz="4" w:space="0" w:color="auto"/>
              <w:bottom w:val="single" w:sz="4" w:space="0" w:color="auto"/>
              <w:right w:val="single" w:sz="4" w:space="0" w:color="auto"/>
            </w:tcBorders>
          </w:tcPr>
          <w:p w14:paraId="16983E8E" w14:textId="29D36BFC" w:rsidR="006C200E" w:rsidRPr="004360BF" w:rsidRDefault="006C200E" w:rsidP="00D732C1">
            <w:pPr>
              <w:keepNext/>
              <w:spacing w:before="40" w:after="40"/>
              <w:jc w:val="right"/>
              <w:rPr>
                <w:sz w:val="22"/>
                <w:szCs w:val="22"/>
                <w:lang w:val="en-AU"/>
              </w:rPr>
            </w:pPr>
            <w:r w:rsidRPr="00EF43A2">
              <w:rPr>
                <w:sz w:val="22"/>
                <w:szCs w:val="22"/>
                <w:lang w:val="en-AU"/>
              </w:rPr>
              <w:t>14.034</w:t>
            </w:r>
          </w:p>
        </w:tc>
        <w:tc>
          <w:tcPr>
            <w:tcW w:w="1227" w:type="dxa"/>
            <w:tcBorders>
              <w:top w:val="single" w:sz="4" w:space="0" w:color="auto"/>
              <w:left w:val="single" w:sz="4" w:space="0" w:color="auto"/>
              <w:bottom w:val="single" w:sz="4" w:space="0" w:color="auto"/>
              <w:right w:val="single" w:sz="4" w:space="0" w:color="auto"/>
            </w:tcBorders>
          </w:tcPr>
          <w:p w14:paraId="69A4955D" w14:textId="08A6B8AB" w:rsidR="006C200E" w:rsidRPr="004360BF" w:rsidRDefault="006C200E" w:rsidP="00D732C1">
            <w:pPr>
              <w:keepNext/>
              <w:spacing w:before="40" w:after="40"/>
              <w:jc w:val="right"/>
              <w:rPr>
                <w:sz w:val="22"/>
                <w:szCs w:val="22"/>
                <w:lang w:val="en-AU"/>
              </w:rPr>
            </w:pPr>
            <w:r w:rsidRPr="00EF43A2">
              <w:rPr>
                <w:sz w:val="22"/>
                <w:szCs w:val="22"/>
                <w:lang w:val="en-AU"/>
              </w:rPr>
              <w:t>11.6%</w:t>
            </w:r>
          </w:p>
        </w:tc>
      </w:tr>
      <w:tr w:rsidR="006C200E" w:rsidRPr="004360BF" w14:paraId="3E080CAB" w14:textId="77777777" w:rsidTr="00CC503E">
        <w:tc>
          <w:tcPr>
            <w:tcW w:w="4962" w:type="dxa"/>
            <w:tcBorders>
              <w:top w:val="single" w:sz="4" w:space="0" w:color="auto"/>
              <w:left w:val="single" w:sz="4" w:space="0" w:color="auto"/>
              <w:bottom w:val="single" w:sz="4" w:space="0" w:color="auto"/>
              <w:right w:val="single" w:sz="4" w:space="0" w:color="auto"/>
            </w:tcBorders>
          </w:tcPr>
          <w:p w14:paraId="12C0CACF" w14:textId="476DEC3B" w:rsidR="006C200E" w:rsidRPr="004360BF" w:rsidRDefault="006C200E" w:rsidP="00D732C1">
            <w:pPr>
              <w:keepNext/>
              <w:spacing w:before="40" w:after="40"/>
              <w:rPr>
                <w:sz w:val="22"/>
                <w:szCs w:val="22"/>
                <w:lang w:val="en-AU"/>
              </w:rPr>
            </w:pPr>
            <w:r w:rsidRPr="004360BF">
              <w:rPr>
                <w:sz w:val="22"/>
                <w:szCs w:val="22"/>
                <w:lang w:val="en-AU"/>
              </w:rPr>
              <w:t>Energy used above 1,000 kWh per month ¢/kWh</w:t>
            </w:r>
          </w:p>
        </w:tc>
        <w:tc>
          <w:tcPr>
            <w:tcW w:w="1278" w:type="dxa"/>
            <w:tcBorders>
              <w:top w:val="single" w:sz="4" w:space="0" w:color="auto"/>
              <w:left w:val="single" w:sz="4" w:space="0" w:color="auto"/>
              <w:bottom w:val="single" w:sz="4" w:space="0" w:color="auto"/>
              <w:right w:val="single" w:sz="4" w:space="0" w:color="auto"/>
            </w:tcBorders>
          </w:tcPr>
          <w:p w14:paraId="093127DE" w14:textId="77777777" w:rsidR="006C200E" w:rsidRPr="004360BF" w:rsidRDefault="006C200E" w:rsidP="00D732C1">
            <w:pPr>
              <w:keepNext/>
              <w:spacing w:before="40" w:after="40"/>
              <w:jc w:val="right"/>
              <w:rPr>
                <w:sz w:val="22"/>
                <w:szCs w:val="22"/>
                <w:lang w:val="en-AU"/>
              </w:rPr>
            </w:pPr>
            <w:r w:rsidRPr="004360BF">
              <w:rPr>
                <w:sz w:val="22"/>
                <w:szCs w:val="22"/>
                <w:lang w:val="en-AU"/>
              </w:rPr>
              <w:t>10.199</w:t>
            </w:r>
          </w:p>
        </w:tc>
        <w:tc>
          <w:tcPr>
            <w:tcW w:w="1227" w:type="dxa"/>
            <w:tcBorders>
              <w:top w:val="single" w:sz="4" w:space="0" w:color="auto"/>
              <w:left w:val="single" w:sz="4" w:space="0" w:color="auto"/>
              <w:bottom w:val="single" w:sz="4" w:space="0" w:color="auto"/>
              <w:right w:val="single" w:sz="4" w:space="0" w:color="auto"/>
            </w:tcBorders>
          </w:tcPr>
          <w:p w14:paraId="3DD319C2" w14:textId="7F073BDA" w:rsidR="006C200E" w:rsidRPr="004360BF" w:rsidRDefault="006C200E" w:rsidP="00CC503E">
            <w:pPr>
              <w:keepNext/>
              <w:spacing w:before="40" w:after="40"/>
              <w:jc w:val="right"/>
              <w:rPr>
                <w:sz w:val="22"/>
                <w:szCs w:val="22"/>
                <w:lang w:val="en-AU"/>
              </w:rPr>
            </w:pPr>
            <w:r w:rsidRPr="00EF43A2">
              <w:rPr>
                <w:sz w:val="22"/>
                <w:szCs w:val="22"/>
                <w:lang w:val="en-AU"/>
              </w:rPr>
              <w:t>11.707</w:t>
            </w:r>
          </w:p>
        </w:tc>
        <w:tc>
          <w:tcPr>
            <w:tcW w:w="1227" w:type="dxa"/>
            <w:tcBorders>
              <w:top w:val="single" w:sz="4" w:space="0" w:color="auto"/>
              <w:left w:val="single" w:sz="4" w:space="0" w:color="auto"/>
              <w:bottom w:val="single" w:sz="4" w:space="0" w:color="auto"/>
              <w:right w:val="single" w:sz="4" w:space="0" w:color="auto"/>
            </w:tcBorders>
          </w:tcPr>
          <w:p w14:paraId="66900476" w14:textId="53902230" w:rsidR="006C200E" w:rsidRPr="004360BF" w:rsidRDefault="006C200E" w:rsidP="00CC503E">
            <w:pPr>
              <w:keepNext/>
              <w:spacing w:before="40" w:after="40"/>
              <w:jc w:val="right"/>
              <w:rPr>
                <w:sz w:val="22"/>
                <w:szCs w:val="22"/>
                <w:lang w:val="en-AU"/>
              </w:rPr>
            </w:pPr>
            <w:r w:rsidRPr="00EF43A2">
              <w:rPr>
                <w:sz w:val="22"/>
                <w:szCs w:val="22"/>
                <w:lang w:val="en-AU"/>
              </w:rPr>
              <w:t>14.8%</w:t>
            </w:r>
          </w:p>
        </w:tc>
      </w:tr>
    </w:tbl>
    <w:p w14:paraId="55DAC1E1" w14:textId="77777777" w:rsidR="00F47A47" w:rsidRPr="004360BF" w:rsidRDefault="00F47A47" w:rsidP="00F47A47">
      <w:pPr>
        <w:spacing w:after="0"/>
        <w:rPr>
          <w:lang w:val="en-AU" w:eastAsia="en-AU"/>
        </w:rPr>
      </w:pPr>
    </w:p>
    <w:p w14:paraId="444CB2B3" w14:textId="77777777" w:rsidR="006D0DFC" w:rsidRPr="004360BF" w:rsidRDefault="003F4DC1" w:rsidP="00EE7AA1">
      <w:pPr>
        <w:pStyle w:val="Heading3"/>
      </w:pPr>
      <w:bookmarkStart w:id="370" w:name="_Toc417291768"/>
      <w:bookmarkStart w:id="371" w:name="_Toc417292536"/>
      <w:bookmarkStart w:id="372" w:name="_Toc291262256"/>
      <w:r w:rsidRPr="004360BF">
        <w:t xml:space="preserve">&lt;750 </w:t>
      </w:r>
      <w:proofErr w:type="spellStart"/>
      <w:r w:rsidRPr="004360BF">
        <w:t>MWh</w:t>
      </w:r>
      <w:proofErr w:type="spellEnd"/>
      <w:r w:rsidRPr="004360BF">
        <w:t xml:space="preserve"> pa </w:t>
      </w:r>
      <w:r w:rsidR="006D0DFC" w:rsidRPr="004360BF">
        <w:t>Commercial tariff in 201</w:t>
      </w:r>
      <w:r w:rsidR="00834FE9" w:rsidRPr="004360BF">
        <w:t>5</w:t>
      </w:r>
      <w:r w:rsidR="006D0DFC" w:rsidRPr="004360BF">
        <w:t>/1</w:t>
      </w:r>
      <w:r w:rsidR="00834FE9" w:rsidRPr="004360BF">
        <w:t>6</w:t>
      </w:r>
      <w:bookmarkEnd w:id="370"/>
      <w:bookmarkEnd w:id="371"/>
      <w:bookmarkEnd w:id="372"/>
    </w:p>
    <w:p w14:paraId="4D704E53" w14:textId="477D39B6" w:rsidR="006D0DFC" w:rsidRPr="004360BF" w:rsidRDefault="006D0DFC" w:rsidP="009A254C">
      <w:pPr>
        <w:keepNext/>
        <w:rPr>
          <w:lang w:val="en-AU"/>
        </w:rPr>
      </w:pPr>
      <w:r w:rsidRPr="004360BF">
        <w:rPr>
          <w:lang w:val="en-AU"/>
        </w:rPr>
        <w:t xml:space="preserve">The proposed </w:t>
      </w:r>
      <w:r w:rsidR="003F4DC1" w:rsidRPr="004360BF">
        <w:rPr>
          <w:lang w:val="en-AU"/>
        </w:rPr>
        <w:t>&lt;750</w:t>
      </w:r>
      <w:r w:rsidR="004C78C6" w:rsidRPr="004360BF">
        <w:rPr>
          <w:lang w:val="en-AU"/>
        </w:rPr>
        <w:t xml:space="preserve"> </w:t>
      </w:r>
      <w:proofErr w:type="spellStart"/>
      <w:r w:rsidR="003F4DC1" w:rsidRPr="004360BF">
        <w:rPr>
          <w:lang w:val="en-AU"/>
        </w:rPr>
        <w:t>MWh</w:t>
      </w:r>
      <w:proofErr w:type="spellEnd"/>
      <w:r w:rsidR="003F4DC1" w:rsidRPr="004360BF">
        <w:rPr>
          <w:lang w:val="en-AU"/>
        </w:rPr>
        <w:t xml:space="preserve"> pa </w:t>
      </w:r>
      <w:r w:rsidRPr="004360BF">
        <w:rPr>
          <w:lang w:val="en-AU"/>
        </w:rPr>
        <w:t>commercial tariff for 201</w:t>
      </w:r>
      <w:r w:rsidR="00834FE9" w:rsidRPr="004360BF">
        <w:rPr>
          <w:lang w:val="en-AU"/>
        </w:rPr>
        <w:t>5</w:t>
      </w:r>
      <w:r w:rsidRPr="004360BF">
        <w:rPr>
          <w:lang w:val="en-AU"/>
        </w:rPr>
        <w:t>/1</w:t>
      </w:r>
      <w:r w:rsidR="00834FE9" w:rsidRPr="004360BF">
        <w:rPr>
          <w:lang w:val="en-AU"/>
        </w:rPr>
        <w:t>6</w:t>
      </w:r>
      <w:r w:rsidRPr="004360BF">
        <w:rPr>
          <w:lang w:val="en-AU"/>
        </w:rPr>
        <w:t xml:space="preserve"> and the change in each charging </w:t>
      </w:r>
      <w:r w:rsidR="00112A4E" w:rsidRPr="004360BF">
        <w:rPr>
          <w:lang w:val="en-AU"/>
        </w:rPr>
        <w:t>parameter</w:t>
      </w:r>
      <w:r w:rsidRPr="004360BF">
        <w:rPr>
          <w:lang w:val="en-AU"/>
        </w:rPr>
        <w:t xml:space="preserve"> from 201</w:t>
      </w:r>
      <w:r w:rsidR="009F14D5" w:rsidRPr="004360BF">
        <w:rPr>
          <w:lang w:val="en-AU"/>
        </w:rPr>
        <w:t>4</w:t>
      </w:r>
      <w:r w:rsidRPr="004360BF">
        <w:rPr>
          <w:lang w:val="en-AU"/>
        </w:rPr>
        <w:t>/1</w:t>
      </w:r>
      <w:r w:rsidR="009F14D5" w:rsidRPr="004360BF">
        <w:rPr>
          <w:lang w:val="en-AU"/>
        </w:rPr>
        <w:t>5</w:t>
      </w:r>
      <w:r w:rsidRPr="004360BF">
        <w:rPr>
          <w:lang w:val="en-AU"/>
        </w:rPr>
        <w:t xml:space="preserve"> </w:t>
      </w:r>
      <w:r w:rsidR="00C558B4" w:rsidRPr="004360BF">
        <w:rPr>
          <w:lang w:val="en-AU"/>
        </w:rPr>
        <w:t>are</w:t>
      </w:r>
      <w:r w:rsidRPr="004360BF">
        <w:rPr>
          <w:lang w:val="en-AU"/>
        </w:rPr>
        <w:t xml:space="preserve"> shown in </w:t>
      </w:r>
      <w:r w:rsidR="0036456E" w:rsidRPr="004360BF">
        <w:rPr>
          <w:lang w:val="en-AU"/>
        </w:rPr>
        <w:fldChar w:fldCharType="begin"/>
      </w:r>
      <w:r w:rsidR="0036456E" w:rsidRPr="004360BF">
        <w:rPr>
          <w:lang w:val="en-AU"/>
        </w:rPr>
        <w:instrText xml:space="preserve"> REF _Ref240535525 \h </w:instrText>
      </w:r>
      <w:r w:rsidR="0036456E" w:rsidRPr="004360BF">
        <w:rPr>
          <w:lang w:val="en-AU"/>
        </w:rPr>
      </w:r>
      <w:r w:rsidR="0036456E" w:rsidRPr="004360BF">
        <w:rPr>
          <w:lang w:val="en-AU"/>
        </w:rPr>
        <w:fldChar w:fldCharType="separate"/>
      </w:r>
      <w:r w:rsidR="008D3215" w:rsidRPr="004360BF">
        <w:rPr>
          <w:lang w:val="en-AU"/>
        </w:rPr>
        <w:t xml:space="preserve">Table </w:t>
      </w:r>
      <w:r w:rsidR="008D3215">
        <w:rPr>
          <w:noProof/>
          <w:lang w:val="en-AU"/>
        </w:rPr>
        <w:t>12</w:t>
      </w:r>
      <w:r w:rsidR="0036456E" w:rsidRPr="004360BF">
        <w:rPr>
          <w:lang w:val="en-AU"/>
        </w:rPr>
        <w:fldChar w:fldCharType="end"/>
      </w:r>
      <w:r w:rsidRPr="004360BF">
        <w:rPr>
          <w:lang w:val="en-AU"/>
        </w:rPr>
        <w:t>.</w:t>
      </w:r>
    </w:p>
    <w:p w14:paraId="6879A310" w14:textId="77777777" w:rsidR="006D0DFC" w:rsidRPr="004360BF" w:rsidRDefault="006D0DFC" w:rsidP="009A254C">
      <w:pPr>
        <w:pStyle w:val="Caption"/>
        <w:rPr>
          <w:lang w:val="en-AU"/>
        </w:rPr>
      </w:pPr>
      <w:bookmarkStart w:id="373" w:name="_Ref240535525"/>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12</w:t>
      </w:r>
      <w:r w:rsidR="00517DD9" w:rsidRPr="004360BF">
        <w:rPr>
          <w:lang w:val="en-AU"/>
        </w:rPr>
        <w:fldChar w:fldCharType="end"/>
      </w:r>
      <w:bookmarkEnd w:id="373"/>
      <w:r w:rsidRPr="004360BF">
        <w:rPr>
          <w:lang w:val="en-AU"/>
        </w:rPr>
        <w:t xml:space="preserve"> – </w:t>
      </w:r>
      <w:r w:rsidR="009F14D5" w:rsidRPr="004360BF">
        <w:rPr>
          <w:lang w:val="en-AU"/>
        </w:rPr>
        <w:t>&lt;</w:t>
      </w:r>
      <w:r w:rsidR="003914F2" w:rsidRPr="004360BF">
        <w:rPr>
          <w:lang w:val="en-AU"/>
        </w:rPr>
        <w:t xml:space="preserve">750 </w:t>
      </w:r>
      <w:proofErr w:type="spellStart"/>
      <w:r w:rsidR="003914F2" w:rsidRPr="004360BF">
        <w:rPr>
          <w:lang w:val="en-AU"/>
        </w:rPr>
        <w:t>MWh</w:t>
      </w:r>
      <w:proofErr w:type="spellEnd"/>
      <w:r w:rsidR="003914F2" w:rsidRPr="004360BF">
        <w:rPr>
          <w:lang w:val="en-AU"/>
        </w:rPr>
        <w:t xml:space="preserve"> pa </w:t>
      </w:r>
      <w:r w:rsidRPr="004360BF">
        <w:rPr>
          <w:lang w:val="en-AU"/>
        </w:rPr>
        <w:t>Commercial ta</w:t>
      </w:r>
      <w:r w:rsidR="00EA6D6E" w:rsidRPr="004360BF">
        <w:rPr>
          <w:lang w:val="en-AU"/>
        </w:rPr>
        <w:t>riff in 2014/15 (GST exclusive)</w:t>
      </w:r>
    </w:p>
    <w:tbl>
      <w:tblPr>
        <w:tblW w:w="8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1278"/>
        <w:gridCol w:w="1227"/>
        <w:gridCol w:w="1227"/>
      </w:tblGrid>
      <w:tr w:rsidR="00834FE9" w:rsidRPr="004360BF" w14:paraId="3C785251" w14:textId="77777777" w:rsidTr="00375E68">
        <w:tc>
          <w:tcPr>
            <w:tcW w:w="5103" w:type="dxa"/>
            <w:tcBorders>
              <w:top w:val="single" w:sz="4" w:space="0" w:color="auto"/>
              <w:left w:val="single" w:sz="4" w:space="0" w:color="auto"/>
              <w:bottom w:val="nil"/>
              <w:right w:val="single" w:sz="4" w:space="0" w:color="auto"/>
            </w:tcBorders>
            <w:shd w:val="solid" w:color="C6D9F1" w:fill="auto"/>
          </w:tcPr>
          <w:p w14:paraId="1D717FA5" w14:textId="77777777" w:rsidR="00834FE9" w:rsidRPr="004360BF" w:rsidRDefault="00834FE9" w:rsidP="00D732C1">
            <w:pPr>
              <w:keepNext/>
              <w:spacing w:before="40" w:after="40"/>
              <w:rPr>
                <w:b/>
                <w:sz w:val="22"/>
                <w:szCs w:val="22"/>
                <w:lang w:val="en-AU"/>
              </w:rPr>
            </w:pPr>
            <w:r w:rsidRPr="004360BF">
              <w:rPr>
                <w:b/>
                <w:sz w:val="22"/>
                <w:szCs w:val="22"/>
                <w:lang w:val="en-AU"/>
              </w:rPr>
              <w:t>Tariff charging parameter</w:t>
            </w:r>
          </w:p>
        </w:tc>
        <w:tc>
          <w:tcPr>
            <w:tcW w:w="1278" w:type="dxa"/>
            <w:tcBorders>
              <w:top w:val="single" w:sz="4" w:space="0" w:color="auto"/>
              <w:left w:val="single" w:sz="4" w:space="0" w:color="auto"/>
              <w:bottom w:val="nil"/>
              <w:right w:val="single" w:sz="4" w:space="0" w:color="auto"/>
            </w:tcBorders>
            <w:shd w:val="solid" w:color="C6D9F1" w:fill="auto"/>
          </w:tcPr>
          <w:p w14:paraId="263AA6D3" w14:textId="77777777" w:rsidR="00834FE9" w:rsidRPr="004360BF" w:rsidRDefault="00834FE9" w:rsidP="00D732C1">
            <w:pPr>
              <w:keepNext/>
              <w:spacing w:before="40" w:after="40"/>
              <w:jc w:val="center"/>
              <w:rPr>
                <w:b/>
                <w:sz w:val="22"/>
                <w:szCs w:val="22"/>
                <w:lang w:val="en-AU"/>
              </w:rPr>
            </w:pPr>
            <w:r w:rsidRPr="004360BF">
              <w:rPr>
                <w:b/>
                <w:sz w:val="22"/>
                <w:szCs w:val="22"/>
                <w:lang w:val="en-AU"/>
              </w:rPr>
              <w:t>2014/15</w:t>
            </w:r>
          </w:p>
        </w:tc>
        <w:tc>
          <w:tcPr>
            <w:tcW w:w="1227" w:type="dxa"/>
            <w:tcBorders>
              <w:top w:val="single" w:sz="4" w:space="0" w:color="auto"/>
              <w:left w:val="single" w:sz="4" w:space="0" w:color="auto"/>
              <w:bottom w:val="single" w:sz="4" w:space="0" w:color="auto"/>
              <w:right w:val="single" w:sz="4" w:space="0" w:color="auto"/>
            </w:tcBorders>
            <w:shd w:val="solid" w:color="C6D9F1" w:fill="auto"/>
          </w:tcPr>
          <w:p w14:paraId="331EA3E0" w14:textId="77777777" w:rsidR="00834FE9" w:rsidRPr="004360BF" w:rsidRDefault="00834FE9" w:rsidP="00D732C1">
            <w:pPr>
              <w:keepNext/>
              <w:spacing w:before="40" w:after="40"/>
              <w:jc w:val="center"/>
              <w:rPr>
                <w:b/>
                <w:sz w:val="22"/>
                <w:szCs w:val="22"/>
                <w:lang w:val="en-AU"/>
              </w:rPr>
            </w:pPr>
            <w:r w:rsidRPr="004360BF">
              <w:rPr>
                <w:b/>
                <w:sz w:val="22"/>
                <w:szCs w:val="22"/>
                <w:lang w:val="en-AU"/>
              </w:rPr>
              <w:t>2015/16</w:t>
            </w:r>
          </w:p>
        </w:tc>
        <w:tc>
          <w:tcPr>
            <w:tcW w:w="1227" w:type="dxa"/>
            <w:tcBorders>
              <w:top w:val="single" w:sz="4" w:space="0" w:color="auto"/>
              <w:left w:val="single" w:sz="4" w:space="0" w:color="auto"/>
              <w:bottom w:val="single" w:sz="4" w:space="0" w:color="auto"/>
              <w:right w:val="single" w:sz="4" w:space="0" w:color="auto"/>
            </w:tcBorders>
            <w:shd w:val="solid" w:color="C6D9F1" w:fill="auto"/>
          </w:tcPr>
          <w:p w14:paraId="39819D32" w14:textId="77777777" w:rsidR="00834FE9" w:rsidRPr="004360BF" w:rsidRDefault="00834FE9" w:rsidP="00D732C1">
            <w:pPr>
              <w:keepNext/>
              <w:spacing w:before="40" w:after="40"/>
              <w:jc w:val="center"/>
              <w:rPr>
                <w:b/>
                <w:sz w:val="22"/>
                <w:szCs w:val="22"/>
                <w:lang w:val="en-AU"/>
              </w:rPr>
            </w:pPr>
            <w:r w:rsidRPr="004360BF">
              <w:rPr>
                <w:b/>
                <w:sz w:val="22"/>
                <w:szCs w:val="22"/>
                <w:lang w:val="en-AU"/>
              </w:rPr>
              <w:t>Price change</w:t>
            </w:r>
          </w:p>
        </w:tc>
      </w:tr>
      <w:tr w:rsidR="006C200E" w:rsidRPr="004360BF" w14:paraId="6FB3AF28" w14:textId="77777777" w:rsidTr="00375E68">
        <w:tc>
          <w:tcPr>
            <w:tcW w:w="5103" w:type="dxa"/>
            <w:tcBorders>
              <w:top w:val="single" w:sz="4" w:space="0" w:color="auto"/>
              <w:left w:val="single" w:sz="4" w:space="0" w:color="auto"/>
              <w:bottom w:val="nil"/>
              <w:right w:val="single" w:sz="4" w:space="0" w:color="auto"/>
            </w:tcBorders>
          </w:tcPr>
          <w:p w14:paraId="6EFACE61" w14:textId="77777777" w:rsidR="006C200E" w:rsidRPr="004360BF" w:rsidRDefault="006C200E" w:rsidP="00D732C1">
            <w:pPr>
              <w:keepNext/>
              <w:spacing w:before="40" w:after="40"/>
              <w:rPr>
                <w:sz w:val="22"/>
                <w:szCs w:val="22"/>
                <w:lang w:val="en-AU"/>
              </w:rPr>
            </w:pPr>
            <w:r w:rsidRPr="004360BF">
              <w:rPr>
                <w:sz w:val="22"/>
                <w:szCs w:val="22"/>
                <w:lang w:val="en-AU"/>
              </w:rPr>
              <w:t>System Availability Charge ¢/day</w:t>
            </w:r>
          </w:p>
        </w:tc>
        <w:tc>
          <w:tcPr>
            <w:tcW w:w="1278" w:type="dxa"/>
            <w:tcBorders>
              <w:top w:val="single" w:sz="4" w:space="0" w:color="auto"/>
              <w:left w:val="single" w:sz="4" w:space="0" w:color="auto"/>
              <w:bottom w:val="single" w:sz="4" w:space="0" w:color="auto"/>
              <w:right w:val="single" w:sz="4" w:space="0" w:color="auto"/>
            </w:tcBorders>
          </w:tcPr>
          <w:p w14:paraId="26CC6117" w14:textId="77777777" w:rsidR="006C200E" w:rsidRPr="004360BF" w:rsidRDefault="006C200E" w:rsidP="00D732C1">
            <w:pPr>
              <w:keepNext/>
              <w:spacing w:before="40" w:after="40"/>
              <w:jc w:val="right"/>
              <w:rPr>
                <w:sz w:val="22"/>
                <w:szCs w:val="22"/>
                <w:lang w:val="en-AU"/>
              </w:rPr>
            </w:pPr>
            <w:r w:rsidRPr="004360BF">
              <w:rPr>
                <w:sz w:val="22"/>
                <w:szCs w:val="22"/>
                <w:lang w:val="en-AU"/>
              </w:rPr>
              <w:t>63.678</w:t>
            </w:r>
          </w:p>
        </w:tc>
        <w:tc>
          <w:tcPr>
            <w:tcW w:w="1227" w:type="dxa"/>
            <w:tcBorders>
              <w:top w:val="single" w:sz="4" w:space="0" w:color="auto"/>
              <w:left w:val="single" w:sz="4" w:space="0" w:color="auto"/>
              <w:bottom w:val="nil"/>
              <w:right w:val="single" w:sz="4" w:space="0" w:color="auto"/>
            </w:tcBorders>
          </w:tcPr>
          <w:p w14:paraId="09B580F5" w14:textId="5B7C7F5A" w:rsidR="006C200E" w:rsidRPr="004360BF" w:rsidRDefault="006C200E" w:rsidP="00D732C1">
            <w:pPr>
              <w:keepNext/>
              <w:spacing w:before="40" w:after="40"/>
              <w:jc w:val="right"/>
              <w:rPr>
                <w:sz w:val="22"/>
                <w:szCs w:val="22"/>
                <w:lang w:val="en-AU"/>
              </w:rPr>
            </w:pPr>
            <w:r w:rsidRPr="00EF43A2">
              <w:rPr>
                <w:sz w:val="22"/>
                <w:szCs w:val="22"/>
                <w:lang w:val="en-AU"/>
              </w:rPr>
              <w:t>75.812</w:t>
            </w:r>
          </w:p>
        </w:tc>
        <w:tc>
          <w:tcPr>
            <w:tcW w:w="1227" w:type="dxa"/>
            <w:tcBorders>
              <w:top w:val="single" w:sz="4" w:space="0" w:color="auto"/>
              <w:left w:val="single" w:sz="4" w:space="0" w:color="auto"/>
              <w:bottom w:val="nil"/>
              <w:right w:val="single" w:sz="4" w:space="0" w:color="auto"/>
            </w:tcBorders>
          </w:tcPr>
          <w:p w14:paraId="1320E311" w14:textId="522E7975" w:rsidR="006C200E" w:rsidRPr="004360BF" w:rsidRDefault="006C200E" w:rsidP="00D732C1">
            <w:pPr>
              <w:keepNext/>
              <w:spacing w:before="40" w:after="40"/>
              <w:jc w:val="right"/>
              <w:rPr>
                <w:sz w:val="22"/>
                <w:szCs w:val="22"/>
                <w:lang w:val="en-AU"/>
              </w:rPr>
            </w:pPr>
            <w:r w:rsidRPr="00EF43A2">
              <w:rPr>
                <w:sz w:val="22"/>
                <w:szCs w:val="22"/>
                <w:lang w:val="en-AU"/>
              </w:rPr>
              <w:t>19.1%</w:t>
            </w:r>
          </w:p>
        </w:tc>
      </w:tr>
      <w:tr w:rsidR="006C200E" w:rsidRPr="004360BF" w14:paraId="0C072F60" w14:textId="77777777" w:rsidTr="00375E68">
        <w:tc>
          <w:tcPr>
            <w:tcW w:w="5103" w:type="dxa"/>
            <w:tcBorders>
              <w:top w:val="single" w:sz="4" w:space="0" w:color="auto"/>
              <w:left w:val="single" w:sz="4" w:space="0" w:color="auto"/>
              <w:bottom w:val="single" w:sz="4" w:space="0" w:color="auto"/>
              <w:right w:val="single" w:sz="4" w:space="0" w:color="auto"/>
            </w:tcBorders>
          </w:tcPr>
          <w:p w14:paraId="5B538345" w14:textId="5F0C5D29" w:rsidR="006C200E" w:rsidRPr="004360BF" w:rsidRDefault="006C200E" w:rsidP="008640F6">
            <w:pPr>
              <w:keepNext/>
              <w:spacing w:before="40" w:after="40"/>
              <w:rPr>
                <w:sz w:val="22"/>
                <w:szCs w:val="22"/>
                <w:lang w:val="en-AU"/>
              </w:rPr>
            </w:pPr>
            <w:r w:rsidRPr="004360BF">
              <w:rPr>
                <w:sz w:val="22"/>
                <w:szCs w:val="22"/>
                <w:lang w:val="en-AU"/>
              </w:rPr>
              <w:t>First 1,000 kWh per month ¢/kWh</w:t>
            </w:r>
          </w:p>
        </w:tc>
        <w:tc>
          <w:tcPr>
            <w:tcW w:w="1278" w:type="dxa"/>
            <w:tcBorders>
              <w:top w:val="single" w:sz="4" w:space="0" w:color="auto"/>
              <w:left w:val="single" w:sz="4" w:space="0" w:color="auto"/>
              <w:bottom w:val="single" w:sz="4" w:space="0" w:color="auto"/>
              <w:right w:val="single" w:sz="4" w:space="0" w:color="auto"/>
            </w:tcBorders>
          </w:tcPr>
          <w:p w14:paraId="2DDFE414" w14:textId="77777777" w:rsidR="006C200E" w:rsidRPr="004360BF" w:rsidRDefault="006C200E" w:rsidP="00D732C1">
            <w:pPr>
              <w:keepNext/>
              <w:spacing w:before="40" w:after="40"/>
              <w:jc w:val="right"/>
              <w:rPr>
                <w:sz w:val="22"/>
                <w:szCs w:val="22"/>
                <w:lang w:val="en-AU"/>
              </w:rPr>
            </w:pPr>
            <w:r w:rsidRPr="004360BF">
              <w:rPr>
                <w:sz w:val="22"/>
                <w:szCs w:val="22"/>
                <w:lang w:val="en-AU"/>
              </w:rPr>
              <w:t>12.580</w:t>
            </w:r>
          </w:p>
        </w:tc>
        <w:tc>
          <w:tcPr>
            <w:tcW w:w="1227" w:type="dxa"/>
            <w:tcBorders>
              <w:top w:val="single" w:sz="4" w:space="0" w:color="auto"/>
              <w:left w:val="single" w:sz="4" w:space="0" w:color="auto"/>
              <w:bottom w:val="single" w:sz="4" w:space="0" w:color="auto"/>
              <w:right w:val="single" w:sz="4" w:space="0" w:color="auto"/>
            </w:tcBorders>
          </w:tcPr>
          <w:p w14:paraId="013DB055" w14:textId="5BF66E92" w:rsidR="006C200E" w:rsidRPr="004360BF" w:rsidRDefault="006C200E" w:rsidP="00D732C1">
            <w:pPr>
              <w:keepNext/>
              <w:spacing w:before="40" w:after="40"/>
              <w:jc w:val="right"/>
              <w:rPr>
                <w:sz w:val="22"/>
                <w:szCs w:val="22"/>
                <w:lang w:val="en-AU"/>
              </w:rPr>
            </w:pPr>
            <w:r w:rsidRPr="00EF43A2">
              <w:rPr>
                <w:sz w:val="22"/>
                <w:szCs w:val="22"/>
                <w:lang w:val="en-AU"/>
              </w:rPr>
              <w:t>13.971</w:t>
            </w:r>
          </w:p>
        </w:tc>
        <w:tc>
          <w:tcPr>
            <w:tcW w:w="1227" w:type="dxa"/>
            <w:tcBorders>
              <w:top w:val="single" w:sz="4" w:space="0" w:color="auto"/>
              <w:left w:val="single" w:sz="4" w:space="0" w:color="auto"/>
              <w:bottom w:val="single" w:sz="4" w:space="0" w:color="auto"/>
              <w:right w:val="single" w:sz="4" w:space="0" w:color="auto"/>
            </w:tcBorders>
          </w:tcPr>
          <w:p w14:paraId="36A250EC" w14:textId="17FCB48D" w:rsidR="006C200E" w:rsidRPr="004360BF" w:rsidRDefault="006C200E" w:rsidP="00D732C1">
            <w:pPr>
              <w:keepNext/>
              <w:spacing w:before="40" w:after="40"/>
              <w:jc w:val="right"/>
              <w:rPr>
                <w:sz w:val="22"/>
                <w:szCs w:val="22"/>
                <w:lang w:val="en-AU"/>
              </w:rPr>
            </w:pPr>
            <w:r w:rsidRPr="00EF43A2">
              <w:rPr>
                <w:sz w:val="22"/>
                <w:szCs w:val="22"/>
                <w:lang w:val="en-AU"/>
              </w:rPr>
              <w:t>11.1%</w:t>
            </w:r>
          </w:p>
        </w:tc>
      </w:tr>
      <w:tr w:rsidR="006C200E" w:rsidRPr="004360BF" w14:paraId="6EAD78C5" w14:textId="77777777" w:rsidTr="00375E68">
        <w:tc>
          <w:tcPr>
            <w:tcW w:w="5103" w:type="dxa"/>
            <w:tcBorders>
              <w:top w:val="single" w:sz="4" w:space="0" w:color="auto"/>
              <w:left w:val="single" w:sz="4" w:space="0" w:color="auto"/>
              <w:bottom w:val="single" w:sz="4" w:space="0" w:color="auto"/>
              <w:right w:val="single" w:sz="4" w:space="0" w:color="auto"/>
            </w:tcBorders>
          </w:tcPr>
          <w:p w14:paraId="0AB13950" w14:textId="785EE3E7" w:rsidR="006C200E" w:rsidRPr="004360BF" w:rsidRDefault="006C200E" w:rsidP="00D732C1">
            <w:pPr>
              <w:keepNext/>
              <w:spacing w:before="40" w:after="40"/>
              <w:rPr>
                <w:sz w:val="22"/>
                <w:szCs w:val="22"/>
                <w:lang w:val="en-AU"/>
              </w:rPr>
            </w:pPr>
            <w:r w:rsidRPr="004360BF">
              <w:rPr>
                <w:sz w:val="22"/>
                <w:szCs w:val="22"/>
                <w:lang w:val="en-AU"/>
              </w:rPr>
              <w:t>Next 1,000 kWh per month ¢/kWh</w:t>
            </w:r>
          </w:p>
        </w:tc>
        <w:tc>
          <w:tcPr>
            <w:tcW w:w="1278" w:type="dxa"/>
            <w:tcBorders>
              <w:top w:val="single" w:sz="4" w:space="0" w:color="auto"/>
              <w:left w:val="single" w:sz="4" w:space="0" w:color="auto"/>
              <w:bottom w:val="single" w:sz="4" w:space="0" w:color="auto"/>
              <w:right w:val="single" w:sz="4" w:space="0" w:color="auto"/>
            </w:tcBorders>
          </w:tcPr>
          <w:p w14:paraId="4BF077D2" w14:textId="77777777" w:rsidR="006C200E" w:rsidRPr="004360BF" w:rsidRDefault="006C200E" w:rsidP="00D732C1">
            <w:pPr>
              <w:keepNext/>
              <w:spacing w:before="40" w:after="40"/>
              <w:jc w:val="right"/>
              <w:rPr>
                <w:sz w:val="22"/>
                <w:szCs w:val="22"/>
                <w:lang w:val="en-AU"/>
              </w:rPr>
            </w:pPr>
            <w:r w:rsidRPr="004360BF">
              <w:rPr>
                <w:sz w:val="22"/>
                <w:szCs w:val="22"/>
                <w:lang w:val="en-AU"/>
              </w:rPr>
              <w:t>10.199</w:t>
            </w:r>
          </w:p>
        </w:tc>
        <w:tc>
          <w:tcPr>
            <w:tcW w:w="1227" w:type="dxa"/>
            <w:tcBorders>
              <w:top w:val="single" w:sz="4" w:space="0" w:color="auto"/>
              <w:left w:val="single" w:sz="4" w:space="0" w:color="auto"/>
              <w:bottom w:val="single" w:sz="4" w:space="0" w:color="auto"/>
              <w:right w:val="single" w:sz="4" w:space="0" w:color="auto"/>
            </w:tcBorders>
          </w:tcPr>
          <w:p w14:paraId="6331913F" w14:textId="54A75312" w:rsidR="006C200E" w:rsidRPr="004360BF" w:rsidRDefault="006C200E" w:rsidP="00D732C1">
            <w:pPr>
              <w:keepNext/>
              <w:spacing w:before="40" w:after="40"/>
              <w:jc w:val="right"/>
              <w:rPr>
                <w:sz w:val="22"/>
                <w:szCs w:val="22"/>
                <w:lang w:val="en-AU"/>
              </w:rPr>
            </w:pPr>
            <w:r w:rsidRPr="00EF43A2">
              <w:rPr>
                <w:sz w:val="22"/>
                <w:szCs w:val="22"/>
                <w:lang w:val="en-AU"/>
              </w:rPr>
              <w:t>11.466</w:t>
            </w:r>
          </w:p>
        </w:tc>
        <w:tc>
          <w:tcPr>
            <w:tcW w:w="1227" w:type="dxa"/>
            <w:tcBorders>
              <w:top w:val="single" w:sz="4" w:space="0" w:color="auto"/>
              <w:left w:val="single" w:sz="4" w:space="0" w:color="auto"/>
              <w:bottom w:val="single" w:sz="4" w:space="0" w:color="auto"/>
              <w:right w:val="single" w:sz="4" w:space="0" w:color="auto"/>
            </w:tcBorders>
          </w:tcPr>
          <w:p w14:paraId="7F9E158B" w14:textId="322ACF2D" w:rsidR="006C200E" w:rsidRPr="004360BF" w:rsidRDefault="006C200E" w:rsidP="00D732C1">
            <w:pPr>
              <w:keepNext/>
              <w:spacing w:before="40" w:after="40"/>
              <w:jc w:val="right"/>
              <w:rPr>
                <w:sz w:val="22"/>
                <w:szCs w:val="22"/>
                <w:lang w:val="en-AU"/>
              </w:rPr>
            </w:pPr>
            <w:r w:rsidRPr="00EF43A2">
              <w:rPr>
                <w:sz w:val="22"/>
                <w:szCs w:val="22"/>
                <w:lang w:val="en-AU"/>
              </w:rPr>
              <w:t>12.4%</w:t>
            </w:r>
          </w:p>
        </w:tc>
      </w:tr>
      <w:tr w:rsidR="006C200E" w:rsidRPr="004360BF" w14:paraId="44B86729" w14:textId="77777777" w:rsidTr="00375E68">
        <w:tc>
          <w:tcPr>
            <w:tcW w:w="5103" w:type="dxa"/>
            <w:tcBorders>
              <w:top w:val="single" w:sz="4" w:space="0" w:color="auto"/>
              <w:left w:val="single" w:sz="4" w:space="0" w:color="auto"/>
              <w:bottom w:val="single" w:sz="4" w:space="0" w:color="auto"/>
              <w:right w:val="single" w:sz="4" w:space="0" w:color="auto"/>
            </w:tcBorders>
          </w:tcPr>
          <w:p w14:paraId="0FFF0066" w14:textId="77777777" w:rsidR="006C200E" w:rsidRPr="004360BF" w:rsidRDefault="006C200E" w:rsidP="00D732C1">
            <w:pPr>
              <w:keepNext/>
              <w:spacing w:before="40" w:after="40"/>
              <w:rPr>
                <w:sz w:val="22"/>
                <w:szCs w:val="22"/>
                <w:lang w:val="en-AU"/>
              </w:rPr>
            </w:pPr>
            <w:r w:rsidRPr="004360BF">
              <w:rPr>
                <w:sz w:val="22"/>
                <w:szCs w:val="22"/>
                <w:lang w:val="en-AU"/>
              </w:rPr>
              <w:t>Energy used above 2,000 kWh per month ¢/kWh</w:t>
            </w:r>
          </w:p>
        </w:tc>
        <w:tc>
          <w:tcPr>
            <w:tcW w:w="1278" w:type="dxa"/>
            <w:tcBorders>
              <w:top w:val="single" w:sz="4" w:space="0" w:color="auto"/>
              <w:left w:val="single" w:sz="4" w:space="0" w:color="auto"/>
              <w:bottom w:val="single" w:sz="4" w:space="0" w:color="auto"/>
              <w:right w:val="single" w:sz="4" w:space="0" w:color="auto"/>
            </w:tcBorders>
          </w:tcPr>
          <w:p w14:paraId="44BF1302" w14:textId="77777777" w:rsidR="006C200E" w:rsidRPr="004360BF" w:rsidRDefault="006C200E" w:rsidP="00D732C1">
            <w:pPr>
              <w:keepNext/>
              <w:spacing w:before="40" w:after="40"/>
              <w:jc w:val="right"/>
              <w:rPr>
                <w:sz w:val="22"/>
                <w:szCs w:val="22"/>
                <w:lang w:val="en-AU"/>
              </w:rPr>
            </w:pPr>
            <w:r w:rsidRPr="004360BF">
              <w:rPr>
                <w:sz w:val="22"/>
                <w:szCs w:val="22"/>
                <w:lang w:val="en-AU"/>
              </w:rPr>
              <w:t>10.199</w:t>
            </w:r>
          </w:p>
        </w:tc>
        <w:tc>
          <w:tcPr>
            <w:tcW w:w="1227" w:type="dxa"/>
            <w:tcBorders>
              <w:top w:val="single" w:sz="4" w:space="0" w:color="auto"/>
              <w:left w:val="single" w:sz="4" w:space="0" w:color="auto"/>
              <w:bottom w:val="single" w:sz="4" w:space="0" w:color="auto"/>
              <w:right w:val="single" w:sz="4" w:space="0" w:color="auto"/>
            </w:tcBorders>
          </w:tcPr>
          <w:p w14:paraId="71491847" w14:textId="2F5AD1EE" w:rsidR="006C200E" w:rsidRPr="004360BF" w:rsidRDefault="006C200E" w:rsidP="00D732C1">
            <w:pPr>
              <w:keepNext/>
              <w:spacing w:before="40" w:after="40"/>
              <w:jc w:val="right"/>
              <w:rPr>
                <w:sz w:val="22"/>
                <w:szCs w:val="22"/>
                <w:lang w:val="en-AU"/>
              </w:rPr>
            </w:pPr>
            <w:r w:rsidRPr="00EF43A2">
              <w:rPr>
                <w:sz w:val="22"/>
                <w:szCs w:val="22"/>
                <w:lang w:val="en-AU"/>
              </w:rPr>
              <w:t>11.466</w:t>
            </w:r>
          </w:p>
        </w:tc>
        <w:tc>
          <w:tcPr>
            <w:tcW w:w="1227" w:type="dxa"/>
            <w:tcBorders>
              <w:top w:val="single" w:sz="4" w:space="0" w:color="auto"/>
              <w:left w:val="single" w:sz="4" w:space="0" w:color="auto"/>
              <w:bottom w:val="single" w:sz="4" w:space="0" w:color="auto"/>
              <w:right w:val="single" w:sz="4" w:space="0" w:color="auto"/>
            </w:tcBorders>
          </w:tcPr>
          <w:p w14:paraId="1C3552DB" w14:textId="4A347678" w:rsidR="006C200E" w:rsidRPr="004360BF" w:rsidRDefault="006C200E" w:rsidP="00D732C1">
            <w:pPr>
              <w:keepNext/>
              <w:spacing w:before="40" w:after="40"/>
              <w:jc w:val="right"/>
              <w:rPr>
                <w:sz w:val="22"/>
                <w:szCs w:val="22"/>
                <w:lang w:val="en-AU"/>
              </w:rPr>
            </w:pPr>
            <w:r w:rsidRPr="00EF43A2">
              <w:rPr>
                <w:sz w:val="22"/>
                <w:szCs w:val="22"/>
                <w:lang w:val="en-AU"/>
              </w:rPr>
              <w:t>12.4%</w:t>
            </w:r>
          </w:p>
        </w:tc>
      </w:tr>
    </w:tbl>
    <w:p w14:paraId="715A744C" w14:textId="77777777" w:rsidR="006D0DFC" w:rsidRPr="004360BF" w:rsidRDefault="006D0DFC" w:rsidP="009A254C">
      <w:pPr>
        <w:spacing w:after="0"/>
        <w:rPr>
          <w:lang w:val="en-AU"/>
        </w:rPr>
      </w:pPr>
    </w:p>
    <w:p w14:paraId="362C70BC" w14:textId="77777777" w:rsidR="006D0DFC" w:rsidRPr="004360BF" w:rsidRDefault="003F4DC1" w:rsidP="00EE7AA1">
      <w:pPr>
        <w:pStyle w:val="Heading3"/>
      </w:pPr>
      <w:bookmarkStart w:id="374" w:name="_Toc417291769"/>
      <w:bookmarkStart w:id="375" w:name="_Toc417292537"/>
      <w:bookmarkStart w:id="376" w:name="_Toc291262257"/>
      <w:r w:rsidRPr="004360BF">
        <w:t>Unmetered</w:t>
      </w:r>
      <w:r w:rsidR="006D0DFC" w:rsidRPr="004360BF">
        <w:t xml:space="preserve"> tariffs in 201</w:t>
      </w:r>
      <w:r w:rsidR="00834FE9" w:rsidRPr="004360BF">
        <w:t>5</w:t>
      </w:r>
      <w:r w:rsidR="006D0DFC" w:rsidRPr="004360BF">
        <w:t>/1</w:t>
      </w:r>
      <w:r w:rsidR="00834FE9" w:rsidRPr="004360BF">
        <w:t>6</w:t>
      </w:r>
      <w:bookmarkEnd w:id="374"/>
      <w:bookmarkEnd w:id="375"/>
      <w:bookmarkEnd w:id="376"/>
    </w:p>
    <w:p w14:paraId="61EDB024" w14:textId="0AF8F355" w:rsidR="006D0DFC" w:rsidRPr="004360BF" w:rsidRDefault="006D0DFC" w:rsidP="00825A8A">
      <w:pPr>
        <w:keepNext/>
        <w:rPr>
          <w:lang w:val="en-AU"/>
        </w:rPr>
      </w:pPr>
      <w:r w:rsidRPr="004360BF">
        <w:rPr>
          <w:lang w:val="en-AU"/>
        </w:rPr>
        <w:t xml:space="preserve">The proposed </w:t>
      </w:r>
      <w:r w:rsidR="003F4DC1" w:rsidRPr="004360BF">
        <w:rPr>
          <w:lang w:val="en-AU"/>
        </w:rPr>
        <w:t>unmetered</w:t>
      </w:r>
      <w:r w:rsidRPr="004360BF">
        <w:rPr>
          <w:lang w:val="en-AU"/>
        </w:rPr>
        <w:t xml:space="preserve"> tariffs for 201</w:t>
      </w:r>
      <w:r w:rsidR="00834FE9" w:rsidRPr="004360BF">
        <w:rPr>
          <w:lang w:val="en-AU"/>
        </w:rPr>
        <w:t>5</w:t>
      </w:r>
      <w:r w:rsidRPr="004360BF">
        <w:rPr>
          <w:lang w:val="en-AU"/>
        </w:rPr>
        <w:t>/1</w:t>
      </w:r>
      <w:r w:rsidR="00834FE9" w:rsidRPr="004360BF">
        <w:rPr>
          <w:lang w:val="en-AU"/>
        </w:rPr>
        <w:t>6</w:t>
      </w:r>
      <w:r w:rsidRPr="004360BF">
        <w:rPr>
          <w:lang w:val="en-AU"/>
        </w:rPr>
        <w:t xml:space="preserve"> and the change in each charging </w:t>
      </w:r>
      <w:r w:rsidR="00112A4E" w:rsidRPr="004360BF">
        <w:rPr>
          <w:lang w:val="en-AU"/>
        </w:rPr>
        <w:t>parameter</w:t>
      </w:r>
      <w:r w:rsidRPr="004360BF">
        <w:rPr>
          <w:lang w:val="en-AU"/>
        </w:rPr>
        <w:t xml:space="preserve"> from 201</w:t>
      </w:r>
      <w:r w:rsidR="009F14D5" w:rsidRPr="004360BF">
        <w:rPr>
          <w:lang w:val="en-AU"/>
        </w:rPr>
        <w:t>4</w:t>
      </w:r>
      <w:r w:rsidRPr="004360BF">
        <w:rPr>
          <w:lang w:val="en-AU"/>
        </w:rPr>
        <w:t>/1</w:t>
      </w:r>
      <w:r w:rsidR="009F14D5" w:rsidRPr="004360BF">
        <w:rPr>
          <w:lang w:val="en-AU"/>
        </w:rPr>
        <w:t>5</w:t>
      </w:r>
      <w:r w:rsidRPr="004360BF">
        <w:rPr>
          <w:lang w:val="en-AU"/>
        </w:rPr>
        <w:t xml:space="preserve"> </w:t>
      </w:r>
      <w:r w:rsidR="00B87B8D" w:rsidRPr="004360BF">
        <w:rPr>
          <w:lang w:val="en-AU"/>
        </w:rPr>
        <w:t>are</w:t>
      </w:r>
      <w:r w:rsidRPr="004360BF">
        <w:rPr>
          <w:lang w:val="en-AU"/>
        </w:rPr>
        <w:t xml:space="preserve"> shown in </w:t>
      </w:r>
      <w:r w:rsidR="0036456E" w:rsidRPr="004360BF">
        <w:rPr>
          <w:lang w:val="en-AU"/>
        </w:rPr>
        <w:fldChar w:fldCharType="begin"/>
      </w:r>
      <w:r w:rsidR="0036456E" w:rsidRPr="004360BF">
        <w:rPr>
          <w:lang w:val="en-AU"/>
        </w:rPr>
        <w:instrText xml:space="preserve"> REF _Ref240535574 \h </w:instrText>
      </w:r>
      <w:r w:rsidR="0036456E" w:rsidRPr="004360BF">
        <w:rPr>
          <w:lang w:val="en-AU"/>
        </w:rPr>
      </w:r>
      <w:r w:rsidR="0036456E" w:rsidRPr="004360BF">
        <w:rPr>
          <w:lang w:val="en-AU"/>
        </w:rPr>
        <w:fldChar w:fldCharType="separate"/>
      </w:r>
      <w:r w:rsidR="008D3215" w:rsidRPr="004360BF">
        <w:rPr>
          <w:lang w:val="en-AU"/>
        </w:rPr>
        <w:t xml:space="preserve">Table </w:t>
      </w:r>
      <w:r w:rsidR="008D3215">
        <w:rPr>
          <w:noProof/>
          <w:lang w:val="en-AU"/>
        </w:rPr>
        <w:t>13</w:t>
      </w:r>
      <w:r w:rsidR="0036456E" w:rsidRPr="004360BF">
        <w:rPr>
          <w:lang w:val="en-AU"/>
        </w:rPr>
        <w:fldChar w:fldCharType="end"/>
      </w:r>
      <w:r w:rsidRPr="004360BF">
        <w:rPr>
          <w:lang w:val="en-AU"/>
        </w:rPr>
        <w:t>.</w:t>
      </w:r>
    </w:p>
    <w:p w14:paraId="768B38BB" w14:textId="77777777" w:rsidR="006D0DFC" w:rsidRPr="004360BF" w:rsidRDefault="006D0DFC" w:rsidP="00825A8A">
      <w:pPr>
        <w:pStyle w:val="Caption"/>
        <w:rPr>
          <w:lang w:val="en-AU"/>
        </w:rPr>
      </w:pPr>
      <w:bookmarkStart w:id="377" w:name="_Ref240535574"/>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13</w:t>
      </w:r>
      <w:r w:rsidR="00517DD9" w:rsidRPr="004360BF">
        <w:rPr>
          <w:lang w:val="en-AU"/>
        </w:rPr>
        <w:fldChar w:fldCharType="end"/>
      </w:r>
      <w:bookmarkEnd w:id="377"/>
      <w:r w:rsidRPr="004360BF">
        <w:rPr>
          <w:lang w:val="en-AU"/>
        </w:rPr>
        <w:t xml:space="preserve"> – </w:t>
      </w:r>
      <w:r w:rsidR="003914F2" w:rsidRPr="004360BF">
        <w:rPr>
          <w:lang w:val="en-AU"/>
        </w:rPr>
        <w:t>Unmetered</w:t>
      </w:r>
      <w:r w:rsidRPr="004360BF">
        <w:rPr>
          <w:lang w:val="en-AU"/>
        </w:rPr>
        <w:t xml:space="preserve"> tariffs in 201</w:t>
      </w:r>
      <w:r w:rsidR="009F14D5" w:rsidRPr="004360BF">
        <w:rPr>
          <w:lang w:val="en-AU"/>
        </w:rPr>
        <w:t>5</w:t>
      </w:r>
      <w:r w:rsidRPr="004360BF">
        <w:rPr>
          <w:lang w:val="en-AU"/>
        </w:rPr>
        <w:t>/1</w:t>
      </w:r>
      <w:r w:rsidR="009F14D5" w:rsidRPr="004360BF">
        <w:rPr>
          <w:lang w:val="en-AU"/>
        </w:rPr>
        <w:t>6</w:t>
      </w:r>
      <w:r w:rsidRPr="004360BF">
        <w:rPr>
          <w:lang w:val="en-AU"/>
        </w:rPr>
        <w:t xml:space="preserve"> (GST exclusive) </w:t>
      </w:r>
    </w:p>
    <w:tbl>
      <w:tblPr>
        <w:tblW w:w="8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1278"/>
        <w:gridCol w:w="1274"/>
        <w:gridCol w:w="1157"/>
      </w:tblGrid>
      <w:tr w:rsidR="00834FE9" w:rsidRPr="004360BF" w14:paraId="71058582" w14:textId="77777777" w:rsidTr="00917F81">
        <w:tc>
          <w:tcPr>
            <w:tcW w:w="5103" w:type="dxa"/>
            <w:tcBorders>
              <w:top w:val="single" w:sz="4" w:space="0" w:color="auto"/>
              <w:left w:val="single" w:sz="4" w:space="0" w:color="auto"/>
              <w:bottom w:val="nil"/>
              <w:right w:val="single" w:sz="4" w:space="0" w:color="auto"/>
            </w:tcBorders>
            <w:shd w:val="solid" w:color="C6D9F1" w:fill="auto"/>
          </w:tcPr>
          <w:p w14:paraId="560C4E1A" w14:textId="77777777" w:rsidR="00834FE9" w:rsidRPr="004360BF" w:rsidRDefault="00834FE9" w:rsidP="00D732C1">
            <w:pPr>
              <w:keepNext/>
              <w:spacing w:before="40" w:after="40"/>
              <w:rPr>
                <w:b/>
                <w:sz w:val="22"/>
                <w:szCs w:val="22"/>
                <w:lang w:val="en-AU"/>
              </w:rPr>
            </w:pPr>
            <w:r w:rsidRPr="004360BF">
              <w:rPr>
                <w:b/>
                <w:sz w:val="22"/>
                <w:szCs w:val="22"/>
                <w:lang w:val="en-AU"/>
              </w:rPr>
              <w:t>Tariff charging parameter</w:t>
            </w:r>
          </w:p>
        </w:tc>
        <w:tc>
          <w:tcPr>
            <w:tcW w:w="1278" w:type="dxa"/>
            <w:tcBorders>
              <w:top w:val="single" w:sz="4" w:space="0" w:color="auto"/>
              <w:left w:val="single" w:sz="4" w:space="0" w:color="auto"/>
              <w:bottom w:val="nil"/>
              <w:right w:val="single" w:sz="4" w:space="0" w:color="auto"/>
            </w:tcBorders>
            <w:shd w:val="solid" w:color="C6D9F1" w:fill="auto"/>
          </w:tcPr>
          <w:p w14:paraId="311D1223" w14:textId="77777777" w:rsidR="00834FE9" w:rsidRPr="004360BF" w:rsidRDefault="00834FE9" w:rsidP="00D732C1">
            <w:pPr>
              <w:keepNext/>
              <w:spacing w:before="40" w:after="40"/>
              <w:jc w:val="center"/>
              <w:rPr>
                <w:b/>
                <w:sz w:val="22"/>
                <w:szCs w:val="22"/>
                <w:lang w:val="en-AU"/>
              </w:rPr>
            </w:pPr>
            <w:r w:rsidRPr="004360BF">
              <w:rPr>
                <w:b/>
                <w:sz w:val="22"/>
                <w:szCs w:val="22"/>
                <w:lang w:val="en-AU"/>
              </w:rPr>
              <w:t>2014/15</w:t>
            </w:r>
          </w:p>
        </w:tc>
        <w:tc>
          <w:tcPr>
            <w:tcW w:w="1274" w:type="dxa"/>
            <w:tcBorders>
              <w:top w:val="single" w:sz="4" w:space="0" w:color="auto"/>
              <w:left w:val="single" w:sz="4" w:space="0" w:color="auto"/>
              <w:bottom w:val="single" w:sz="4" w:space="0" w:color="auto"/>
              <w:right w:val="single" w:sz="4" w:space="0" w:color="auto"/>
            </w:tcBorders>
            <w:shd w:val="solid" w:color="C6D9F1" w:fill="auto"/>
          </w:tcPr>
          <w:p w14:paraId="434DA8A0" w14:textId="77777777" w:rsidR="00834FE9" w:rsidRPr="004360BF" w:rsidRDefault="00834FE9" w:rsidP="00D732C1">
            <w:pPr>
              <w:keepNext/>
              <w:spacing w:before="40" w:after="40"/>
              <w:jc w:val="center"/>
              <w:rPr>
                <w:b/>
                <w:sz w:val="22"/>
                <w:szCs w:val="22"/>
                <w:lang w:val="en-AU"/>
              </w:rPr>
            </w:pPr>
            <w:r w:rsidRPr="004360BF">
              <w:rPr>
                <w:b/>
                <w:sz w:val="22"/>
                <w:szCs w:val="22"/>
                <w:lang w:val="en-AU"/>
              </w:rPr>
              <w:t>2015/16</w:t>
            </w:r>
          </w:p>
        </w:tc>
        <w:tc>
          <w:tcPr>
            <w:tcW w:w="1157" w:type="dxa"/>
            <w:tcBorders>
              <w:top w:val="single" w:sz="4" w:space="0" w:color="auto"/>
              <w:left w:val="single" w:sz="4" w:space="0" w:color="auto"/>
              <w:bottom w:val="single" w:sz="4" w:space="0" w:color="auto"/>
              <w:right w:val="single" w:sz="4" w:space="0" w:color="auto"/>
            </w:tcBorders>
            <w:shd w:val="solid" w:color="C6D9F1" w:fill="auto"/>
          </w:tcPr>
          <w:p w14:paraId="154AC8C9" w14:textId="77777777" w:rsidR="00834FE9" w:rsidRPr="004360BF" w:rsidRDefault="00834FE9" w:rsidP="00D732C1">
            <w:pPr>
              <w:keepNext/>
              <w:spacing w:before="40" w:after="40"/>
              <w:jc w:val="center"/>
              <w:rPr>
                <w:b/>
                <w:sz w:val="22"/>
                <w:szCs w:val="22"/>
                <w:lang w:val="en-AU"/>
              </w:rPr>
            </w:pPr>
            <w:r w:rsidRPr="004360BF">
              <w:rPr>
                <w:b/>
                <w:sz w:val="22"/>
                <w:szCs w:val="22"/>
                <w:lang w:val="en-AU"/>
              </w:rPr>
              <w:t>Price change</w:t>
            </w:r>
          </w:p>
        </w:tc>
      </w:tr>
      <w:tr w:rsidR="0004391C" w:rsidRPr="004360BF" w14:paraId="0B00C5EC" w14:textId="77777777" w:rsidTr="0004391C">
        <w:tc>
          <w:tcPr>
            <w:tcW w:w="5103" w:type="dxa"/>
            <w:tcBorders>
              <w:top w:val="single" w:sz="4" w:space="0" w:color="auto"/>
              <w:left w:val="single" w:sz="4" w:space="0" w:color="auto"/>
              <w:bottom w:val="nil"/>
              <w:right w:val="single" w:sz="4" w:space="0" w:color="auto"/>
            </w:tcBorders>
          </w:tcPr>
          <w:p w14:paraId="7BDFB8CB" w14:textId="77777777" w:rsidR="0004391C" w:rsidRPr="004360BF" w:rsidRDefault="0004391C" w:rsidP="003F4DC1">
            <w:pPr>
              <w:keepNext/>
              <w:spacing w:before="40" w:after="40"/>
              <w:rPr>
                <w:sz w:val="22"/>
                <w:szCs w:val="22"/>
                <w:lang w:val="en-AU"/>
              </w:rPr>
            </w:pPr>
            <w:r w:rsidRPr="004360BF">
              <w:rPr>
                <w:sz w:val="22"/>
                <w:szCs w:val="22"/>
                <w:lang w:val="en-AU"/>
              </w:rPr>
              <w:t>Unmetered energy for street lighting and similar consumption profiled unmetered supplies ¢/kWh</w:t>
            </w:r>
          </w:p>
        </w:tc>
        <w:tc>
          <w:tcPr>
            <w:tcW w:w="1278" w:type="dxa"/>
            <w:tcBorders>
              <w:top w:val="single" w:sz="4" w:space="0" w:color="auto"/>
              <w:left w:val="single" w:sz="4" w:space="0" w:color="auto"/>
              <w:bottom w:val="single" w:sz="4" w:space="0" w:color="auto"/>
              <w:right w:val="single" w:sz="4" w:space="0" w:color="auto"/>
            </w:tcBorders>
            <w:vAlign w:val="center"/>
          </w:tcPr>
          <w:p w14:paraId="50C14B97" w14:textId="77777777" w:rsidR="0004391C" w:rsidRPr="004360BF" w:rsidRDefault="0004391C" w:rsidP="00B87B8D">
            <w:pPr>
              <w:keepNext/>
              <w:spacing w:before="40" w:after="40"/>
              <w:jc w:val="right"/>
              <w:rPr>
                <w:sz w:val="22"/>
                <w:szCs w:val="22"/>
                <w:lang w:val="en-AU"/>
              </w:rPr>
            </w:pPr>
            <w:r w:rsidRPr="004360BF">
              <w:rPr>
                <w:sz w:val="22"/>
                <w:szCs w:val="22"/>
                <w:lang w:val="en-AU"/>
              </w:rPr>
              <w:t>7.215</w:t>
            </w:r>
          </w:p>
        </w:tc>
        <w:tc>
          <w:tcPr>
            <w:tcW w:w="1274" w:type="dxa"/>
            <w:tcBorders>
              <w:top w:val="single" w:sz="4" w:space="0" w:color="auto"/>
              <w:left w:val="single" w:sz="4" w:space="0" w:color="auto"/>
              <w:bottom w:val="nil"/>
              <w:right w:val="single" w:sz="4" w:space="0" w:color="auto"/>
            </w:tcBorders>
            <w:vAlign w:val="center"/>
          </w:tcPr>
          <w:p w14:paraId="227DC5D6" w14:textId="7D0508FD" w:rsidR="0004391C" w:rsidRPr="004360BF" w:rsidRDefault="0004391C" w:rsidP="0004391C">
            <w:pPr>
              <w:keepNext/>
              <w:spacing w:before="40" w:after="40"/>
              <w:jc w:val="right"/>
              <w:rPr>
                <w:sz w:val="22"/>
                <w:szCs w:val="22"/>
                <w:lang w:val="en-AU"/>
              </w:rPr>
            </w:pPr>
            <w:r w:rsidRPr="004360BF">
              <w:rPr>
                <w:sz w:val="22"/>
                <w:szCs w:val="22"/>
                <w:lang w:val="en-AU"/>
              </w:rPr>
              <w:t>7.359</w:t>
            </w:r>
          </w:p>
        </w:tc>
        <w:tc>
          <w:tcPr>
            <w:tcW w:w="1157" w:type="dxa"/>
            <w:tcBorders>
              <w:top w:val="single" w:sz="4" w:space="0" w:color="auto"/>
              <w:left w:val="single" w:sz="4" w:space="0" w:color="auto"/>
              <w:bottom w:val="nil"/>
              <w:right w:val="single" w:sz="4" w:space="0" w:color="auto"/>
            </w:tcBorders>
            <w:vAlign w:val="center"/>
          </w:tcPr>
          <w:p w14:paraId="4E1B5E62" w14:textId="4536D316" w:rsidR="0004391C" w:rsidRPr="004360BF" w:rsidRDefault="0004391C" w:rsidP="0004391C">
            <w:pPr>
              <w:keepNext/>
              <w:spacing w:before="40" w:after="40"/>
              <w:jc w:val="right"/>
              <w:rPr>
                <w:sz w:val="22"/>
                <w:szCs w:val="22"/>
                <w:lang w:val="en-AU"/>
              </w:rPr>
            </w:pPr>
            <w:r w:rsidRPr="004360BF">
              <w:rPr>
                <w:sz w:val="22"/>
                <w:szCs w:val="22"/>
                <w:lang w:val="en-AU"/>
              </w:rPr>
              <w:t>2.0%</w:t>
            </w:r>
          </w:p>
        </w:tc>
      </w:tr>
      <w:tr w:rsidR="0004391C" w:rsidRPr="004360BF" w14:paraId="5579C48D" w14:textId="77777777" w:rsidTr="0004391C">
        <w:tc>
          <w:tcPr>
            <w:tcW w:w="5103" w:type="dxa"/>
            <w:tcBorders>
              <w:top w:val="single" w:sz="4" w:space="0" w:color="auto"/>
              <w:left w:val="single" w:sz="4" w:space="0" w:color="auto"/>
              <w:bottom w:val="single" w:sz="4" w:space="0" w:color="auto"/>
              <w:right w:val="single" w:sz="4" w:space="0" w:color="auto"/>
            </w:tcBorders>
          </w:tcPr>
          <w:p w14:paraId="37B5ACED" w14:textId="77777777" w:rsidR="0004391C" w:rsidRPr="004360BF" w:rsidRDefault="0004391C" w:rsidP="003F4DC1">
            <w:pPr>
              <w:keepNext/>
              <w:spacing w:before="40" w:after="40"/>
              <w:rPr>
                <w:sz w:val="22"/>
                <w:szCs w:val="22"/>
                <w:lang w:val="en-AU"/>
              </w:rPr>
            </w:pPr>
            <w:r w:rsidRPr="004360BF">
              <w:rPr>
                <w:sz w:val="22"/>
                <w:szCs w:val="22"/>
                <w:lang w:val="en-AU"/>
              </w:rPr>
              <w:t>Unmetered energy for traffic lights and similar unmetered 24 hour supplies ¢/kWh</w:t>
            </w:r>
          </w:p>
        </w:tc>
        <w:tc>
          <w:tcPr>
            <w:tcW w:w="1278" w:type="dxa"/>
            <w:tcBorders>
              <w:top w:val="single" w:sz="4" w:space="0" w:color="auto"/>
              <w:left w:val="single" w:sz="4" w:space="0" w:color="auto"/>
              <w:bottom w:val="single" w:sz="4" w:space="0" w:color="auto"/>
              <w:right w:val="single" w:sz="4" w:space="0" w:color="auto"/>
            </w:tcBorders>
            <w:vAlign w:val="center"/>
          </w:tcPr>
          <w:p w14:paraId="4FB7D0CB" w14:textId="77777777" w:rsidR="0004391C" w:rsidRPr="004360BF" w:rsidRDefault="0004391C" w:rsidP="00B87B8D">
            <w:pPr>
              <w:keepNext/>
              <w:spacing w:before="40" w:after="40"/>
              <w:jc w:val="right"/>
              <w:rPr>
                <w:sz w:val="22"/>
                <w:szCs w:val="22"/>
                <w:lang w:val="en-AU"/>
              </w:rPr>
            </w:pPr>
            <w:r w:rsidRPr="004360BF">
              <w:rPr>
                <w:sz w:val="22"/>
                <w:szCs w:val="22"/>
                <w:lang w:val="en-AU"/>
              </w:rPr>
              <w:t>7.215</w:t>
            </w:r>
          </w:p>
        </w:tc>
        <w:tc>
          <w:tcPr>
            <w:tcW w:w="1274" w:type="dxa"/>
            <w:tcBorders>
              <w:top w:val="single" w:sz="4" w:space="0" w:color="auto"/>
              <w:left w:val="single" w:sz="4" w:space="0" w:color="auto"/>
              <w:bottom w:val="single" w:sz="4" w:space="0" w:color="auto"/>
              <w:right w:val="single" w:sz="4" w:space="0" w:color="auto"/>
            </w:tcBorders>
            <w:vAlign w:val="center"/>
          </w:tcPr>
          <w:p w14:paraId="59D1EDA3" w14:textId="59B1BFB8" w:rsidR="0004391C" w:rsidRPr="004360BF" w:rsidRDefault="0004391C" w:rsidP="0004391C">
            <w:pPr>
              <w:keepNext/>
              <w:spacing w:before="40" w:after="40"/>
              <w:jc w:val="right"/>
              <w:rPr>
                <w:sz w:val="22"/>
                <w:szCs w:val="22"/>
                <w:lang w:val="en-AU"/>
              </w:rPr>
            </w:pPr>
            <w:r w:rsidRPr="004360BF">
              <w:rPr>
                <w:sz w:val="22"/>
                <w:szCs w:val="22"/>
                <w:lang w:val="en-AU"/>
              </w:rPr>
              <w:t>8.</w:t>
            </w:r>
            <w:r w:rsidR="006C200E">
              <w:rPr>
                <w:sz w:val="22"/>
                <w:szCs w:val="22"/>
                <w:lang w:val="en-AU"/>
              </w:rPr>
              <w:t>446</w:t>
            </w:r>
          </w:p>
        </w:tc>
        <w:tc>
          <w:tcPr>
            <w:tcW w:w="1157" w:type="dxa"/>
            <w:tcBorders>
              <w:top w:val="single" w:sz="4" w:space="0" w:color="auto"/>
              <w:left w:val="single" w:sz="4" w:space="0" w:color="auto"/>
              <w:bottom w:val="single" w:sz="4" w:space="0" w:color="auto"/>
              <w:right w:val="single" w:sz="4" w:space="0" w:color="auto"/>
            </w:tcBorders>
            <w:vAlign w:val="center"/>
          </w:tcPr>
          <w:p w14:paraId="659663A6" w14:textId="1314E5CA" w:rsidR="0004391C" w:rsidRPr="004360BF" w:rsidRDefault="0004391C" w:rsidP="0004391C">
            <w:pPr>
              <w:keepNext/>
              <w:spacing w:before="40" w:after="40"/>
              <w:jc w:val="right"/>
              <w:rPr>
                <w:sz w:val="22"/>
                <w:szCs w:val="22"/>
                <w:lang w:val="en-AU"/>
              </w:rPr>
            </w:pPr>
            <w:r w:rsidRPr="004360BF">
              <w:rPr>
                <w:sz w:val="22"/>
                <w:szCs w:val="22"/>
                <w:lang w:val="en-AU"/>
              </w:rPr>
              <w:t>17.</w:t>
            </w:r>
            <w:r w:rsidR="006C200E">
              <w:rPr>
                <w:sz w:val="22"/>
                <w:szCs w:val="22"/>
                <w:lang w:val="en-AU"/>
              </w:rPr>
              <w:t>1</w:t>
            </w:r>
            <w:r w:rsidRPr="004360BF">
              <w:rPr>
                <w:sz w:val="22"/>
                <w:szCs w:val="22"/>
                <w:lang w:val="en-AU"/>
              </w:rPr>
              <w:t>%</w:t>
            </w:r>
          </w:p>
        </w:tc>
      </w:tr>
    </w:tbl>
    <w:p w14:paraId="3B76289E" w14:textId="77777777" w:rsidR="006D0DFC" w:rsidRPr="004360BF" w:rsidRDefault="006D0DFC" w:rsidP="00825A8A">
      <w:pPr>
        <w:spacing w:after="0"/>
        <w:rPr>
          <w:lang w:val="en-AU"/>
        </w:rPr>
      </w:pPr>
    </w:p>
    <w:p w14:paraId="3F01159B" w14:textId="77777777" w:rsidR="006D0DFC" w:rsidRPr="004360BF" w:rsidRDefault="00BD1A63" w:rsidP="00EE7AA1">
      <w:pPr>
        <w:pStyle w:val="Heading3"/>
      </w:pPr>
      <w:bookmarkStart w:id="378" w:name="_Toc417291770"/>
      <w:bookmarkStart w:id="379" w:name="_Toc417292538"/>
      <w:bookmarkStart w:id="380" w:name="_Toc291262258"/>
      <w:r w:rsidRPr="004360BF">
        <w:lastRenderedPageBreak/>
        <w:t xml:space="preserve">&gt;750 </w:t>
      </w:r>
      <w:proofErr w:type="spellStart"/>
      <w:r w:rsidRPr="004360BF">
        <w:t>MWh</w:t>
      </w:r>
      <w:proofErr w:type="spellEnd"/>
      <w:r w:rsidRPr="004360BF">
        <w:t xml:space="preserve"> pa </w:t>
      </w:r>
      <w:r w:rsidR="006D0DFC" w:rsidRPr="004360BF">
        <w:t>Commercial Low Voltage tariff in 201</w:t>
      </w:r>
      <w:r w:rsidR="00834FE9" w:rsidRPr="004360BF">
        <w:t>5</w:t>
      </w:r>
      <w:r w:rsidR="006D0DFC" w:rsidRPr="004360BF">
        <w:t>/1</w:t>
      </w:r>
      <w:r w:rsidR="00834FE9" w:rsidRPr="004360BF">
        <w:t>6</w:t>
      </w:r>
      <w:bookmarkEnd w:id="378"/>
      <w:bookmarkEnd w:id="379"/>
      <w:bookmarkEnd w:id="380"/>
    </w:p>
    <w:p w14:paraId="27A6BDD7" w14:textId="6F743420" w:rsidR="006D0DFC" w:rsidRPr="004360BF" w:rsidRDefault="006D0DFC" w:rsidP="00825A8A">
      <w:pPr>
        <w:keepNext/>
        <w:rPr>
          <w:lang w:val="en-AU"/>
        </w:rPr>
      </w:pPr>
      <w:r w:rsidRPr="004360BF">
        <w:rPr>
          <w:lang w:val="en-AU"/>
        </w:rPr>
        <w:t xml:space="preserve">The proposed tariff for </w:t>
      </w:r>
      <w:r w:rsidR="00B87B8D" w:rsidRPr="004360BF">
        <w:rPr>
          <w:lang w:val="en-AU"/>
        </w:rPr>
        <w:t>l</w:t>
      </w:r>
      <w:r w:rsidRPr="004360BF">
        <w:rPr>
          <w:lang w:val="en-AU"/>
        </w:rPr>
        <w:t xml:space="preserve">ow </w:t>
      </w:r>
      <w:r w:rsidR="00B87B8D" w:rsidRPr="004360BF">
        <w:rPr>
          <w:lang w:val="en-AU"/>
        </w:rPr>
        <w:t>v</w:t>
      </w:r>
      <w:r w:rsidRPr="004360BF">
        <w:rPr>
          <w:lang w:val="en-AU"/>
        </w:rPr>
        <w:t xml:space="preserve">oltage connected </w:t>
      </w:r>
      <w:r w:rsidR="003914F2" w:rsidRPr="004360BF">
        <w:rPr>
          <w:lang w:val="en-AU"/>
        </w:rPr>
        <w:t xml:space="preserve">commercial </w:t>
      </w:r>
      <w:r w:rsidRPr="004360BF">
        <w:rPr>
          <w:lang w:val="en-AU"/>
        </w:rPr>
        <w:t>customers with consumption of more than 750 </w:t>
      </w:r>
      <w:proofErr w:type="spellStart"/>
      <w:r w:rsidRPr="004360BF">
        <w:rPr>
          <w:lang w:val="en-AU"/>
        </w:rPr>
        <w:t>MWh</w:t>
      </w:r>
      <w:proofErr w:type="spellEnd"/>
      <w:r w:rsidRPr="004360BF">
        <w:rPr>
          <w:lang w:val="en-AU"/>
        </w:rPr>
        <w:t xml:space="preserve"> per annum in 201</w:t>
      </w:r>
      <w:r w:rsidR="00834FE9" w:rsidRPr="004360BF">
        <w:rPr>
          <w:lang w:val="en-AU"/>
        </w:rPr>
        <w:t>5</w:t>
      </w:r>
      <w:r w:rsidRPr="004360BF">
        <w:rPr>
          <w:lang w:val="en-AU"/>
        </w:rPr>
        <w:t>/1</w:t>
      </w:r>
      <w:r w:rsidR="00834FE9" w:rsidRPr="004360BF">
        <w:rPr>
          <w:lang w:val="en-AU"/>
        </w:rPr>
        <w:t>6</w:t>
      </w:r>
      <w:r w:rsidRPr="004360BF">
        <w:rPr>
          <w:lang w:val="en-AU"/>
        </w:rPr>
        <w:t xml:space="preserve"> is shown in </w:t>
      </w:r>
      <w:r w:rsidR="0036456E" w:rsidRPr="004360BF">
        <w:rPr>
          <w:lang w:val="en-AU"/>
        </w:rPr>
        <w:fldChar w:fldCharType="begin"/>
      </w:r>
      <w:r w:rsidR="0036456E" w:rsidRPr="004360BF">
        <w:rPr>
          <w:lang w:val="en-AU"/>
        </w:rPr>
        <w:instrText xml:space="preserve"> REF _Ref240536374 \h </w:instrText>
      </w:r>
      <w:r w:rsidR="0036456E" w:rsidRPr="004360BF">
        <w:rPr>
          <w:lang w:val="en-AU"/>
        </w:rPr>
      </w:r>
      <w:r w:rsidR="0036456E" w:rsidRPr="004360BF">
        <w:rPr>
          <w:lang w:val="en-AU"/>
        </w:rPr>
        <w:fldChar w:fldCharType="separate"/>
      </w:r>
      <w:r w:rsidR="008D3215" w:rsidRPr="004360BF">
        <w:rPr>
          <w:lang w:val="en-AU"/>
        </w:rPr>
        <w:t xml:space="preserve">Table </w:t>
      </w:r>
      <w:r w:rsidR="008D3215">
        <w:rPr>
          <w:noProof/>
          <w:lang w:val="en-AU"/>
        </w:rPr>
        <w:t>14</w:t>
      </w:r>
      <w:r w:rsidR="0036456E" w:rsidRPr="004360BF">
        <w:rPr>
          <w:lang w:val="en-AU"/>
        </w:rPr>
        <w:fldChar w:fldCharType="end"/>
      </w:r>
      <w:r w:rsidRPr="004360BF">
        <w:rPr>
          <w:lang w:val="en-AU"/>
        </w:rPr>
        <w:t xml:space="preserve">, with the change in each charging </w:t>
      </w:r>
      <w:r w:rsidR="00112A4E" w:rsidRPr="004360BF">
        <w:rPr>
          <w:lang w:val="en-AU"/>
        </w:rPr>
        <w:t>parameter</w:t>
      </w:r>
      <w:r w:rsidRPr="004360BF">
        <w:rPr>
          <w:lang w:val="en-AU"/>
        </w:rPr>
        <w:t xml:space="preserve"> from 201</w:t>
      </w:r>
      <w:r w:rsidR="00E74593" w:rsidRPr="004360BF">
        <w:rPr>
          <w:lang w:val="en-AU"/>
        </w:rPr>
        <w:t>4</w:t>
      </w:r>
      <w:r w:rsidRPr="004360BF">
        <w:rPr>
          <w:lang w:val="en-AU"/>
        </w:rPr>
        <w:t>/1</w:t>
      </w:r>
      <w:r w:rsidR="00E74593" w:rsidRPr="004360BF">
        <w:rPr>
          <w:lang w:val="en-AU"/>
        </w:rPr>
        <w:t>5</w:t>
      </w:r>
      <w:r w:rsidRPr="004360BF">
        <w:rPr>
          <w:lang w:val="en-AU"/>
        </w:rPr>
        <w:t>.</w:t>
      </w:r>
    </w:p>
    <w:p w14:paraId="42CDB57A" w14:textId="77777777" w:rsidR="006D0DFC" w:rsidRPr="004360BF" w:rsidRDefault="006D0DFC" w:rsidP="00825A8A">
      <w:pPr>
        <w:pStyle w:val="Caption"/>
        <w:rPr>
          <w:lang w:val="en-AU"/>
        </w:rPr>
      </w:pPr>
      <w:bookmarkStart w:id="381" w:name="_Ref240536374"/>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14</w:t>
      </w:r>
      <w:r w:rsidR="00517DD9" w:rsidRPr="004360BF">
        <w:rPr>
          <w:lang w:val="en-AU"/>
        </w:rPr>
        <w:fldChar w:fldCharType="end"/>
      </w:r>
      <w:bookmarkEnd w:id="381"/>
      <w:r w:rsidRPr="004360BF">
        <w:rPr>
          <w:lang w:val="en-AU"/>
        </w:rPr>
        <w:t xml:space="preserve"> – </w:t>
      </w:r>
      <w:r w:rsidR="003914F2" w:rsidRPr="004360BF">
        <w:rPr>
          <w:lang w:val="en-AU"/>
        </w:rPr>
        <w:t xml:space="preserve">&gt;750 </w:t>
      </w:r>
      <w:proofErr w:type="spellStart"/>
      <w:r w:rsidR="003914F2" w:rsidRPr="004360BF">
        <w:rPr>
          <w:lang w:val="en-AU"/>
        </w:rPr>
        <w:t>MWh</w:t>
      </w:r>
      <w:proofErr w:type="spellEnd"/>
      <w:r w:rsidR="003914F2" w:rsidRPr="004360BF">
        <w:rPr>
          <w:lang w:val="en-AU"/>
        </w:rPr>
        <w:t xml:space="preserve"> pa </w:t>
      </w:r>
      <w:r w:rsidRPr="004360BF">
        <w:rPr>
          <w:lang w:val="en-AU"/>
        </w:rPr>
        <w:t>Commercial LV ta</w:t>
      </w:r>
      <w:r w:rsidR="00F55D15" w:rsidRPr="004360BF">
        <w:rPr>
          <w:lang w:val="en-AU"/>
        </w:rPr>
        <w:t>riff in 201</w:t>
      </w:r>
      <w:r w:rsidR="004D777E" w:rsidRPr="004360BF">
        <w:rPr>
          <w:lang w:val="en-AU"/>
        </w:rPr>
        <w:t>5</w:t>
      </w:r>
      <w:r w:rsidR="00F55D15" w:rsidRPr="004360BF">
        <w:rPr>
          <w:lang w:val="en-AU"/>
        </w:rPr>
        <w:t>/1</w:t>
      </w:r>
      <w:r w:rsidR="004D777E" w:rsidRPr="004360BF">
        <w:rPr>
          <w:lang w:val="en-AU"/>
        </w:rPr>
        <w:t>6</w:t>
      </w:r>
      <w:r w:rsidR="00F55D15" w:rsidRPr="004360BF">
        <w:rPr>
          <w:lang w:val="en-AU"/>
        </w:rPr>
        <w:t xml:space="preserve"> (GST exclusive)</w:t>
      </w:r>
    </w:p>
    <w:tbl>
      <w:tblPr>
        <w:tblW w:w="8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1278"/>
        <w:gridCol w:w="1227"/>
        <w:gridCol w:w="1227"/>
      </w:tblGrid>
      <w:tr w:rsidR="00834FE9" w:rsidRPr="004360BF" w14:paraId="28718ABF" w14:textId="77777777" w:rsidTr="00375E68">
        <w:tc>
          <w:tcPr>
            <w:tcW w:w="4820" w:type="dxa"/>
            <w:tcBorders>
              <w:top w:val="single" w:sz="4" w:space="0" w:color="auto"/>
              <w:left w:val="single" w:sz="4" w:space="0" w:color="auto"/>
              <w:bottom w:val="nil"/>
              <w:right w:val="single" w:sz="4" w:space="0" w:color="auto"/>
            </w:tcBorders>
            <w:shd w:val="solid" w:color="C6D9F1" w:fill="auto"/>
          </w:tcPr>
          <w:p w14:paraId="68B7D106" w14:textId="77777777" w:rsidR="00834FE9" w:rsidRPr="004360BF" w:rsidRDefault="00834FE9" w:rsidP="00D732C1">
            <w:pPr>
              <w:keepNext/>
              <w:spacing w:before="40" w:after="40"/>
              <w:rPr>
                <w:b/>
                <w:sz w:val="22"/>
                <w:szCs w:val="22"/>
                <w:lang w:val="en-AU"/>
              </w:rPr>
            </w:pPr>
            <w:r w:rsidRPr="004360BF">
              <w:rPr>
                <w:b/>
                <w:sz w:val="22"/>
                <w:szCs w:val="22"/>
                <w:lang w:val="en-AU"/>
              </w:rPr>
              <w:t>Tariff charging parameter</w:t>
            </w:r>
          </w:p>
        </w:tc>
        <w:tc>
          <w:tcPr>
            <w:tcW w:w="1278" w:type="dxa"/>
            <w:tcBorders>
              <w:top w:val="single" w:sz="4" w:space="0" w:color="auto"/>
              <w:left w:val="single" w:sz="4" w:space="0" w:color="auto"/>
              <w:bottom w:val="nil"/>
              <w:right w:val="single" w:sz="4" w:space="0" w:color="auto"/>
            </w:tcBorders>
            <w:shd w:val="solid" w:color="C6D9F1" w:fill="auto"/>
          </w:tcPr>
          <w:p w14:paraId="6EDACCDC" w14:textId="77777777" w:rsidR="00834FE9" w:rsidRPr="004360BF" w:rsidRDefault="00834FE9" w:rsidP="00D732C1">
            <w:pPr>
              <w:keepNext/>
              <w:spacing w:before="40" w:after="40"/>
              <w:jc w:val="center"/>
              <w:rPr>
                <w:b/>
                <w:sz w:val="22"/>
                <w:szCs w:val="22"/>
                <w:lang w:val="en-AU"/>
              </w:rPr>
            </w:pPr>
            <w:r w:rsidRPr="004360BF">
              <w:rPr>
                <w:b/>
                <w:sz w:val="22"/>
                <w:szCs w:val="22"/>
                <w:lang w:val="en-AU"/>
              </w:rPr>
              <w:t>2014/15</w:t>
            </w:r>
          </w:p>
        </w:tc>
        <w:tc>
          <w:tcPr>
            <w:tcW w:w="1227" w:type="dxa"/>
            <w:tcBorders>
              <w:top w:val="single" w:sz="4" w:space="0" w:color="auto"/>
              <w:left w:val="single" w:sz="4" w:space="0" w:color="auto"/>
              <w:bottom w:val="single" w:sz="4" w:space="0" w:color="auto"/>
              <w:right w:val="single" w:sz="4" w:space="0" w:color="auto"/>
            </w:tcBorders>
            <w:shd w:val="solid" w:color="C6D9F1" w:fill="auto"/>
          </w:tcPr>
          <w:p w14:paraId="5AF21386" w14:textId="77777777" w:rsidR="00834FE9" w:rsidRPr="004360BF" w:rsidRDefault="00834FE9" w:rsidP="00D732C1">
            <w:pPr>
              <w:keepNext/>
              <w:spacing w:before="40" w:after="40"/>
              <w:jc w:val="center"/>
              <w:rPr>
                <w:b/>
                <w:sz w:val="22"/>
                <w:szCs w:val="22"/>
                <w:lang w:val="en-AU"/>
              </w:rPr>
            </w:pPr>
            <w:r w:rsidRPr="004360BF">
              <w:rPr>
                <w:b/>
                <w:sz w:val="22"/>
                <w:szCs w:val="22"/>
                <w:lang w:val="en-AU"/>
              </w:rPr>
              <w:t>2015/16</w:t>
            </w:r>
          </w:p>
        </w:tc>
        <w:tc>
          <w:tcPr>
            <w:tcW w:w="1227" w:type="dxa"/>
            <w:tcBorders>
              <w:top w:val="single" w:sz="4" w:space="0" w:color="auto"/>
              <w:left w:val="single" w:sz="4" w:space="0" w:color="auto"/>
              <w:bottom w:val="single" w:sz="4" w:space="0" w:color="auto"/>
              <w:right w:val="single" w:sz="4" w:space="0" w:color="auto"/>
            </w:tcBorders>
            <w:shd w:val="solid" w:color="C6D9F1" w:fill="auto"/>
          </w:tcPr>
          <w:p w14:paraId="13E3E269" w14:textId="77777777" w:rsidR="00834FE9" w:rsidRPr="004360BF" w:rsidRDefault="00834FE9" w:rsidP="00D732C1">
            <w:pPr>
              <w:keepNext/>
              <w:spacing w:before="40" w:after="40"/>
              <w:jc w:val="center"/>
              <w:rPr>
                <w:b/>
                <w:sz w:val="22"/>
                <w:szCs w:val="22"/>
                <w:lang w:val="en-AU"/>
              </w:rPr>
            </w:pPr>
            <w:r w:rsidRPr="004360BF">
              <w:rPr>
                <w:b/>
                <w:sz w:val="22"/>
                <w:szCs w:val="22"/>
                <w:lang w:val="en-AU"/>
              </w:rPr>
              <w:t>Price change</w:t>
            </w:r>
          </w:p>
        </w:tc>
      </w:tr>
      <w:tr w:rsidR="00A048CB" w:rsidRPr="004360BF" w14:paraId="56990CCD" w14:textId="77777777" w:rsidTr="00375E68">
        <w:tc>
          <w:tcPr>
            <w:tcW w:w="4820" w:type="dxa"/>
            <w:tcBorders>
              <w:top w:val="single" w:sz="4" w:space="0" w:color="auto"/>
              <w:left w:val="single" w:sz="4" w:space="0" w:color="auto"/>
              <w:bottom w:val="single" w:sz="4" w:space="0" w:color="auto"/>
              <w:right w:val="single" w:sz="4" w:space="0" w:color="auto"/>
            </w:tcBorders>
          </w:tcPr>
          <w:p w14:paraId="26E4887F" w14:textId="77777777" w:rsidR="00A048CB" w:rsidRPr="004360BF" w:rsidRDefault="00A048CB" w:rsidP="00D732C1">
            <w:pPr>
              <w:keepNext/>
              <w:spacing w:before="40" w:after="40"/>
              <w:rPr>
                <w:rFonts w:cs="Tahoma"/>
                <w:sz w:val="22"/>
                <w:szCs w:val="22"/>
                <w:lang w:val="en-AU"/>
              </w:rPr>
            </w:pPr>
            <w:r w:rsidRPr="004360BF">
              <w:rPr>
                <w:sz w:val="22"/>
                <w:szCs w:val="22"/>
                <w:lang w:val="en-AU"/>
              </w:rPr>
              <w:t>System Availability Charge $/month</w:t>
            </w:r>
          </w:p>
        </w:tc>
        <w:tc>
          <w:tcPr>
            <w:tcW w:w="1278" w:type="dxa"/>
            <w:tcBorders>
              <w:top w:val="single" w:sz="4" w:space="0" w:color="auto"/>
              <w:left w:val="single" w:sz="4" w:space="0" w:color="auto"/>
              <w:bottom w:val="single" w:sz="4" w:space="0" w:color="auto"/>
              <w:right w:val="single" w:sz="4" w:space="0" w:color="auto"/>
            </w:tcBorders>
          </w:tcPr>
          <w:p w14:paraId="28553213"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772.723</w:t>
            </w:r>
          </w:p>
        </w:tc>
        <w:tc>
          <w:tcPr>
            <w:tcW w:w="1227" w:type="dxa"/>
            <w:tcBorders>
              <w:top w:val="single" w:sz="4" w:space="0" w:color="auto"/>
              <w:left w:val="single" w:sz="4" w:space="0" w:color="auto"/>
              <w:bottom w:val="single" w:sz="4" w:space="0" w:color="auto"/>
              <w:right w:val="single" w:sz="4" w:space="0" w:color="auto"/>
            </w:tcBorders>
          </w:tcPr>
          <w:p w14:paraId="676ED6BF" w14:textId="23C03819" w:rsidR="00A048CB" w:rsidRPr="004360BF" w:rsidRDefault="00A048CB" w:rsidP="00D732C1">
            <w:pPr>
              <w:keepNext/>
              <w:spacing w:before="40" w:after="40"/>
              <w:jc w:val="right"/>
              <w:rPr>
                <w:sz w:val="22"/>
                <w:szCs w:val="22"/>
                <w:lang w:val="en-AU"/>
              </w:rPr>
            </w:pPr>
            <w:r w:rsidRPr="00626B7C">
              <w:rPr>
                <w:sz w:val="22"/>
                <w:szCs w:val="22"/>
                <w:lang w:val="en-AU"/>
              </w:rPr>
              <w:t>827.237</w:t>
            </w:r>
          </w:p>
        </w:tc>
        <w:tc>
          <w:tcPr>
            <w:tcW w:w="1227" w:type="dxa"/>
            <w:tcBorders>
              <w:top w:val="single" w:sz="4" w:space="0" w:color="auto"/>
              <w:left w:val="single" w:sz="4" w:space="0" w:color="auto"/>
              <w:bottom w:val="single" w:sz="4" w:space="0" w:color="auto"/>
              <w:right w:val="single" w:sz="4" w:space="0" w:color="auto"/>
            </w:tcBorders>
          </w:tcPr>
          <w:p w14:paraId="2231410B" w14:textId="2034D606" w:rsidR="00A048CB" w:rsidRPr="004360BF" w:rsidRDefault="00A048CB" w:rsidP="00D732C1">
            <w:pPr>
              <w:keepNext/>
              <w:spacing w:before="40" w:after="40"/>
              <w:jc w:val="right"/>
              <w:rPr>
                <w:sz w:val="22"/>
                <w:szCs w:val="22"/>
                <w:lang w:val="en-AU"/>
              </w:rPr>
            </w:pPr>
            <w:r w:rsidRPr="00626B7C">
              <w:rPr>
                <w:sz w:val="22"/>
                <w:szCs w:val="22"/>
                <w:lang w:val="en-AU"/>
              </w:rPr>
              <w:t>7.1%</w:t>
            </w:r>
          </w:p>
        </w:tc>
      </w:tr>
      <w:tr w:rsidR="00A048CB" w:rsidRPr="004360BF" w14:paraId="6440E124" w14:textId="77777777" w:rsidTr="00375E68">
        <w:tc>
          <w:tcPr>
            <w:tcW w:w="4820" w:type="dxa"/>
            <w:tcBorders>
              <w:top w:val="single" w:sz="4" w:space="0" w:color="auto"/>
              <w:left w:val="single" w:sz="4" w:space="0" w:color="auto"/>
              <w:bottom w:val="single" w:sz="4" w:space="0" w:color="auto"/>
              <w:right w:val="nil"/>
            </w:tcBorders>
          </w:tcPr>
          <w:p w14:paraId="488CEB17" w14:textId="77777777" w:rsidR="00A048CB" w:rsidRPr="004360BF" w:rsidRDefault="00A048CB" w:rsidP="00D732C1">
            <w:pPr>
              <w:keepNext/>
              <w:spacing w:before="40" w:after="40"/>
              <w:rPr>
                <w:rFonts w:cs="Tahoma"/>
                <w:b/>
                <w:i/>
                <w:sz w:val="22"/>
                <w:szCs w:val="22"/>
                <w:lang w:val="en-AU"/>
              </w:rPr>
            </w:pPr>
            <w:r w:rsidRPr="004360BF">
              <w:rPr>
                <w:b/>
                <w:i/>
                <w:sz w:val="22"/>
                <w:szCs w:val="22"/>
                <w:lang w:val="en-AU"/>
              </w:rPr>
              <w:t>Peak period energy (c/kWh)</w:t>
            </w:r>
          </w:p>
        </w:tc>
        <w:tc>
          <w:tcPr>
            <w:tcW w:w="1278" w:type="dxa"/>
            <w:tcBorders>
              <w:top w:val="single" w:sz="4" w:space="0" w:color="auto"/>
              <w:left w:val="nil"/>
              <w:bottom w:val="single" w:sz="4" w:space="0" w:color="auto"/>
              <w:right w:val="nil"/>
            </w:tcBorders>
          </w:tcPr>
          <w:p w14:paraId="6123AA4B" w14:textId="77777777" w:rsidR="00A048CB" w:rsidRPr="004360BF" w:rsidRDefault="00A048CB" w:rsidP="00D732C1">
            <w:pPr>
              <w:keepNext/>
              <w:spacing w:before="40" w:after="40"/>
              <w:jc w:val="right"/>
              <w:rPr>
                <w:rFonts w:cs="Tahoma"/>
                <w:sz w:val="22"/>
                <w:szCs w:val="22"/>
                <w:lang w:val="en-AU"/>
              </w:rPr>
            </w:pPr>
          </w:p>
        </w:tc>
        <w:tc>
          <w:tcPr>
            <w:tcW w:w="1227" w:type="dxa"/>
            <w:tcBorders>
              <w:top w:val="single" w:sz="4" w:space="0" w:color="auto"/>
              <w:left w:val="nil"/>
              <w:bottom w:val="single" w:sz="4" w:space="0" w:color="auto"/>
              <w:right w:val="nil"/>
            </w:tcBorders>
          </w:tcPr>
          <w:p w14:paraId="3048F064" w14:textId="77777777" w:rsidR="00A048CB" w:rsidRPr="004360BF" w:rsidRDefault="00A048CB" w:rsidP="00D732C1">
            <w:pPr>
              <w:keepNext/>
              <w:spacing w:before="40" w:after="40"/>
              <w:jc w:val="right"/>
              <w:rPr>
                <w:sz w:val="22"/>
                <w:szCs w:val="22"/>
                <w:lang w:val="en-AU"/>
              </w:rPr>
            </w:pPr>
          </w:p>
        </w:tc>
        <w:tc>
          <w:tcPr>
            <w:tcW w:w="1227" w:type="dxa"/>
            <w:tcBorders>
              <w:top w:val="single" w:sz="4" w:space="0" w:color="auto"/>
              <w:left w:val="nil"/>
              <w:bottom w:val="single" w:sz="4" w:space="0" w:color="auto"/>
              <w:right w:val="single" w:sz="4" w:space="0" w:color="auto"/>
            </w:tcBorders>
          </w:tcPr>
          <w:p w14:paraId="793AEA71" w14:textId="77777777" w:rsidR="00A048CB" w:rsidRPr="004360BF" w:rsidRDefault="00A048CB" w:rsidP="00D732C1">
            <w:pPr>
              <w:keepNext/>
              <w:spacing w:before="40" w:after="40"/>
              <w:jc w:val="right"/>
              <w:rPr>
                <w:sz w:val="22"/>
                <w:szCs w:val="22"/>
                <w:lang w:val="en-AU"/>
              </w:rPr>
            </w:pPr>
          </w:p>
        </w:tc>
      </w:tr>
      <w:tr w:rsidR="00A048CB" w:rsidRPr="004360BF" w14:paraId="0BF2D94D" w14:textId="77777777" w:rsidTr="00375E68">
        <w:tc>
          <w:tcPr>
            <w:tcW w:w="4820" w:type="dxa"/>
            <w:tcBorders>
              <w:top w:val="single" w:sz="4" w:space="0" w:color="auto"/>
              <w:left w:val="single" w:sz="4" w:space="0" w:color="auto"/>
              <w:bottom w:val="single" w:sz="4" w:space="0" w:color="auto"/>
              <w:right w:val="single" w:sz="4" w:space="0" w:color="auto"/>
            </w:tcBorders>
          </w:tcPr>
          <w:p w14:paraId="280A1818" w14:textId="77777777" w:rsidR="00A048CB" w:rsidRPr="004360BF" w:rsidRDefault="00A048CB" w:rsidP="00D732C1">
            <w:pPr>
              <w:keepNext/>
              <w:spacing w:before="40" w:after="40"/>
              <w:rPr>
                <w:rFonts w:cs="Tahoma"/>
                <w:sz w:val="22"/>
                <w:szCs w:val="22"/>
                <w:lang w:val="en-AU"/>
              </w:rPr>
            </w:pPr>
            <w:r w:rsidRPr="004360BF">
              <w:rPr>
                <w:sz w:val="22"/>
                <w:szCs w:val="22"/>
                <w:lang w:val="en-AU"/>
              </w:rPr>
              <w:t>First 10,000 kWh per month</w:t>
            </w:r>
          </w:p>
        </w:tc>
        <w:tc>
          <w:tcPr>
            <w:tcW w:w="1278" w:type="dxa"/>
            <w:tcBorders>
              <w:top w:val="single" w:sz="4" w:space="0" w:color="auto"/>
              <w:left w:val="single" w:sz="4" w:space="0" w:color="auto"/>
              <w:bottom w:val="single" w:sz="4" w:space="0" w:color="auto"/>
              <w:right w:val="single" w:sz="4" w:space="0" w:color="auto"/>
            </w:tcBorders>
          </w:tcPr>
          <w:p w14:paraId="264B076B" w14:textId="77777777" w:rsidR="00A048CB" w:rsidRPr="0072554D" w:rsidRDefault="00A048CB" w:rsidP="00D732C1">
            <w:pPr>
              <w:keepNext/>
              <w:spacing w:before="40" w:after="40"/>
              <w:jc w:val="right"/>
              <w:rPr>
                <w:sz w:val="22"/>
                <w:szCs w:val="22"/>
                <w:lang w:val="en-AU"/>
              </w:rPr>
            </w:pPr>
            <w:r w:rsidRPr="004360BF">
              <w:rPr>
                <w:sz w:val="22"/>
                <w:szCs w:val="22"/>
                <w:lang w:val="en-AU"/>
              </w:rPr>
              <w:t>6.740</w:t>
            </w:r>
          </w:p>
        </w:tc>
        <w:tc>
          <w:tcPr>
            <w:tcW w:w="1227" w:type="dxa"/>
            <w:tcBorders>
              <w:top w:val="single" w:sz="4" w:space="0" w:color="auto"/>
              <w:left w:val="single" w:sz="4" w:space="0" w:color="auto"/>
              <w:bottom w:val="single" w:sz="4" w:space="0" w:color="auto"/>
              <w:right w:val="single" w:sz="4" w:space="0" w:color="auto"/>
            </w:tcBorders>
          </w:tcPr>
          <w:p w14:paraId="27685E47" w14:textId="26036DD6" w:rsidR="00A048CB" w:rsidRPr="004360BF" w:rsidRDefault="00A048CB" w:rsidP="00D732C1">
            <w:pPr>
              <w:keepNext/>
              <w:spacing w:before="40" w:after="40"/>
              <w:jc w:val="right"/>
              <w:rPr>
                <w:sz w:val="22"/>
                <w:szCs w:val="22"/>
                <w:lang w:val="en-AU"/>
              </w:rPr>
            </w:pPr>
            <w:r w:rsidRPr="00626B7C">
              <w:rPr>
                <w:sz w:val="22"/>
                <w:szCs w:val="22"/>
                <w:lang w:val="en-AU"/>
              </w:rPr>
              <w:t>6.987</w:t>
            </w:r>
          </w:p>
        </w:tc>
        <w:tc>
          <w:tcPr>
            <w:tcW w:w="1227" w:type="dxa"/>
            <w:tcBorders>
              <w:top w:val="single" w:sz="4" w:space="0" w:color="auto"/>
              <w:left w:val="single" w:sz="4" w:space="0" w:color="auto"/>
              <w:bottom w:val="single" w:sz="4" w:space="0" w:color="auto"/>
              <w:right w:val="single" w:sz="4" w:space="0" w:color="auto"/>
            </w:tcBorders>
          </w:tcPr>
          <w:p w14:paraId="69F58B6E" w14:textId="6C99736C" w:rsidR="00A048CB" w:rsidRPr="004360BF" w:rsidRDefault="00A048CB" w:rsidP="00D732C1">
            <w:pPr>
              <w:keepNext/>
              <w:spacing w:before="40" w:after="40"/>
              <w:jc w:val="right"/>
              <w:rPr>
                <w:sz w:val="22"/>
                <w:szCs w:val="22"/>
                <w:lang w:val="en-AU"/>
              </w:rPr>
            </w:pPr>
            <w:r w:rsidRPr="00626B7C">
              <w:rPr>
                <w:sz w:val="22"/>
                <w:szCs w:val="22"/>
                <w:lang w:val="en-AU"/>
              </w:rPr>
              <w:t>7.9%</w:t>
            </w:r>
          </w:p>
        </w:tc>
      </w:tr>
      <w:tr w:rsidR="00A048CB" w:rsidRPr="004360BF" w14:paraId="58059B11" w14:textId="77777777" w:rsidTr="00375E68">
        <w:tc>
          <w:tcPr>
            <w:tcW w:w="4820" w:type="dxa"/>
            <w:tcBorders>
              <w:top w:val="single" w:sz="4" w:space="0" w:color="auto"/>
              <w:left w:val="single" w:sz="4" w:space="0" w:color="auto"/>
              <w:bottom w:val="single" w:sz="4" w:space="0" w:color="auto"/>
              <w:right w:val="single" w:sz="4" w:space="0" w:color="auto"/>
            </w:tcBorders>
          </w:tcPr>
          <w:p w14:paraId="7E870662" w14:textId="77777777" w:rsidR="00A048CB" w:rsidRPr="004360BF" w:rsidRDefault="00A048CB" w:rsidP="00D732C1">
            <w:pPr>
              <w:keepNext/>
              <w:spacing w:before="40" w:after="40"/>
              <w:rPr>
                <w:rFonts w:cs="Tahoma"/>
                <w:sz w:val="22"/>
                <w:szCs w:val="22"/>
                <w:lang w:val="en-AU"/>
              </w:rPr>
            </w:pPr>
            <w:r w:rsidRPr="004360BF">
              <w:rPr>
                <w:sz w:val="22"/>
                <w:szCs w:val="22"/>
                <w:lang w:val="en-AU"/>
              </w:rPr>
              <w:t>Next 20,000 kWh per month</w:t>
            </w:r>
          </w:p>
        </w:tc>
        <w:tc>
          <w:tcPr>
            <w:tcW w:w="1278" w:type="dxa"/>
            <w:tcBorders>
              <w:top w:val="single" w:sz="4" w:space="0" w:color="auto"/>
              <w:left w:val="single" w:sz="4" w:space="0" w:color="auto"/>
              <w:bottom w:val="single" w:sz="4" w:space="0" w:color="auto"/>
              <w:right w:val="single" w:sz="4" w:space="0" w:color="auto"/>
            </w:tcBorders>
          </w:tcPr>
          <w:p w14:paraId="1D0CCC46" w14:textId="77777777" w:rsidR="00A048CB" w:rsidRPr="0072554D" w:rsidRDefault="00A048CB" w:rsidP="00D732C1">
            <w:pPr>
              <w:keepNext/>
              <w:spacing w:before="40" w:after="40"/>
              <w:jc w:val="right"/>
              <w:rPr>
                <w:sz w:val="22"/>
                <w:szCs w:val="22"/>
                <w:lang w:val="en-AU"/>
              </w:rPr>
            </w:pPr>
            <w:r w:rsidRPr="004360BF">
              <w:rPr>
                <w:sz w:val="22"/>
                <w:szCs w:val="22"/>
                <w:lang w:val="en-AU"/>
              </w:rPr>
              <w:t>4.912</w:t>
            </w:r>
          </w:p>
        </w:tc>
        <w:tc>
          <w:tcPr>
            <w:tcW w:w="1227" w:type="dxa"/>
            <w:tcBorders>
              <w:top w:val="single" w:sz="4" w:space="0" w:color="auto"/>
              <w:left w:val="single" w:sz="4" w:space="0" w:color="auto"/>
              <w:bottom w:val="single" w:sz="4" w:space="0" w:color="auto"/>
              <w:right w:val="single" w:sz="4" w:space="0" w:color="auto"/>
            </w:tcBorders>
          </w:tcPr>
          <w:p w14:paraId="0F0557D9" w14:textId="55EDD76A" w:rsidR="00A048CB" w:rsidRPr="004360BF" w:rsidRDefault="00A048CB" w:rsidP="00D732C1">
            <w:pPr>
              <w:keepNext/>
              <w:spacing w:before="40" w:after="40"/>
              <w:jc w:val="right"/>
              <w:rPr>
                <w:sz w:val="22"/>
                <w:szCs w:val="22"/>
                <w:lang w:val="en-AU"/>
              </w:rPr>
            </w:pPr>
            <w:r w:rsidRPr="00626B7C">
              <w:rPr>
                <w:sz w:val="22"/>
                <w:szCs w:val="22"/>
                <w:lang w:val="en-AU"/>
              </w:rPr>
              <w:t>5.571</w:t>
            </w:r>
          </w:p>
        </w:tc>
        <w:tc>
          <w:tcPr>
            <w:tcW w:w="1227" w:type="dxa"/>
            <w:tcBorders>
              <w:top w:val="single" w:sz="4" w:space="0" w:color="auto"/>
              <w:left w:val="single" w:sz="4" w:space="0" w:color="auto"/>
              <w:bottom w:val="single" w:sz="4" w:space="0" w:color="auto"/>
              <w:right w:val="single" w:sz="4" w:space="0" w:color="auto"/>
            </w:tcBorders>
          </w:tcPr>
          <w:p w14:paraId="5B07DF12" w14:textId="206DEDFA" w:rsidR="00A048CB" w:rsidRPr="004360BF" w:rsidRDefault="00A048CB" w:rsidP="00D732C1">
            <w:pPr>
              <w:keepNext/>
              <w:spacing w:before="40" w:after="40"/>
              <w:jc w:val="right"/>
              <w:rPr>
                <w:sz w:val="22"/>
                <w:szCs w:val="22"/>
                <w:lang w:val="en-AU"/>
              </w:rPr>
            </w:pPr>
            <w:r w:rsidRPr="00626B7C">
              <w:rPr>
                <w:sz w:val="22"/>
                <w:szCs w:val="22"/>
                <w:lang w:val="en-AU"/>
              </w:rPr>
              <w:t>13.4%</w:t>
            </w:r>
          </w:p>
        </w:tc>
      </w:tr>
      <w:tr w:rsidR="00A048CB" w:rsidRPr="004360BF" w14:paraId="230BB336" w14:textId="77777777" w:rsidTr="00375E68">
        <w:tc>
          <w:tcPr>
            <w:tcW w:w="4820" w:type="dxa"/>
            <w:tcBorders>
              <w:top w:val="single" w:sz="4" w:space="0" w:color="auto"/>
              <w:left w:val="single" w:sz="4" w:space="0" w:color="auto"/>
              <w:bottom w:val="single" w:sz="4" w:space="0" w:color="auto"/>
              <w:right w:val="single" w:sz="4" w:space="0" w:color="auto"/>
            </w:tcBorders>
          </w:tcPr>
          <w:p w14:paraId="6A1AB9BC" w14:textId="77777777" w:rsidR="00A048CB" w:rsidRPr="004360BF" w:rsidRDefault="00A048CB" w:rsidP="00D732C1">
            <w:pPr>
              <w:keepNext/>
              <w:spacing w:before="40" w:after="40"/>
              <w:rPr>
                <w:rFonts w:cs="Tahoma"/>
                <w:sz w:val="22"/>
                <w:szCs w:val="22"/>
                <w:lang w:val="en-AU"/>
              </w:rPr>
            </w:pPr>
            <w:r w:rsidRPr="004360BF">
              <w:rPr>
                <w:sz w:val="22"/>
                <w:szCs w:val="22"/>
                <w:lang w:val="en-AU"/>
              </w:rPr>
              <w:t>Next 50,000 kWh per month</w:t>
            </w:r>
          </w:p>
        </w:tc>
        <w:tc>
          <w:tcPr>
            <w:tcW w:w="1278" w:type="dxa"/>
            <w:tcBorders>
              <w:top w:val="single" w:sz="4" w:space="0" w:color="auto"/>
              <w:left w:val="single" w:sz="4" w:space="0" w:color="auto"/>
              <w:bottom w:val="single" w:sz="4" w:space="0" w:color="auto"/>
              <w:right w:val="single" w:sz="4" w:space="0" w:color="auto"/>
            </w:tcBorders>
          </w:tcPr>
          <w:p w14:paraId="1E5443FB" w14:textId="77777777" w:rsidR="00A048CB" w:rsidRPr="0072554D" w:rsidRDefault="00A048CB" w:rsidP="00D732C1">
            <w:pPr>
              <w:keepNext/>
              <w:spacing w:before="40" w:after="40"/>
              <w:jc w:val="right"/>
              <w:rPr>
                <w:sz w:val="22"/>
                <w:szCs w:val="22"/>
                <w:lang w:val="en-AU"/>
              </w:rPr>
            </w:pPr>
            <w:r w:rsidRPr="004360BF">
              <w:rPr>
                <w:sz w:val="22"/>
                <w:szCs w:val="22"/>
                <w:lang w:val="en-AU"/>
              </w:rPr>
              <w:t>4.003</w:t>
            </w:r>
          </w:p>
        </w:tc>
        <w:tc>
          <w:tcPr>
            <w:tcW w:w="1227" w:type="dxa"/>
            <w:tcBorders>
              <w:top w:val="single" w:sz="4" w:space="0" w:color="auto"/>
              <w:left w:val="single" w:sz="4" w:space="0" w:color="auto"/>
              <w:bottom w:val="single" w:sz="4" w:space="0" w:color="auto"/>
              <w:right w:val="single" w:sz="4" w:space="0" w:color="auto"/>
            </w:tcBorders>
          </w:tcPr>
          <w:p w14:paraId="21C0B021" w14:textId="344F5BF3" w:rsidR="00A048CB" w:rsidRPr="004360BF" w:rsidRDefault="00A048CB" w:rsidP="00D732C1">
            <w:pPr>
              <w:keepNext/>
              <w:spacing w:before="40" w:after="40"/>
              <w:jc w:val="right"/>
              <w:rPr>
                <w:sz w:val="22"/>
                <w:szCs w:val="22"/>
                <w:lang w:val="en-AU"/>
              </w:rPr>
            </w:pPr>
            <w:r w:rsidRPr="00626B7C">
              <w:rPr>
                <w:sz w:val="22"/>
                <w:szCs w:val="22"/>
                <w:lang w:val="en-AU"/>
              </w:rPr>
              <w:t>4.540</w:t>
            </w:r>
          </w:p>
        </w:tc>
        <w:tc>
          <w:tcPr>
            <w:tcW w:w="1227" w:type="dxa"/>
            <w:tcBorders>
              <w:top w:val="single" w:sz="4" w:space="0" w:color="auto"/>
              <w:left w:val="single" w:sz="4" w:space="0" w:color="auto"/>
              <w:bottom w:val="single" w:sz="4" w:space="0" w:color="auto"/>
              <w:right w:val="single" w:sz="4" w:space="0" w:color="auto"/>
            </w:tcBorders>
          </w:tcPr>
          <w:p w14:paraId="7831A173" w14:textId="635D4236" w:rsidR="00A048CB" w:rsidRPr="004360BF" w:rsidRDefault="00A048CB" w:rsidP="00D732C1">
            <w:pPr>
              <w:keepNext/>
              <w:spacing w:before="40" w:after="40"/>
              <w:jc w:val="right"/>
              <w:rPr>
                <w:sz w:val="22"/>
                <w:szCs w:val="22"/>
                <w:lang w:val="en-AU"/>
              </w:rPr>
            </w:pPr>
            <w:r w:rsidRPr="00626B7C">
              <w:rPr>
                <w:sz w:val="22"/>
                <w:szCs w:val="22"/>
                <w:lang w:val="en-AU"/>
              </w:rPr>
              <w:t>13.4%</w:t>
            </w:r>
          </w:p>
        </w:tc>
      </w:tr>
      <w:tr w:rsidR="00A048CB" w:rsidRPr="004360BF" w14:paraId="27281852" w14:textId="77777777" w:rsidTr="00375E68">
        <w:tc>
          <w:tcPr>
            <w:tcW w:w="4820" w:type="dxa"/>
            <w:tcBorders>
              <w:top w:val="single" w:sz="4" w:space="0" w:color="auto"/>
              <w:left w:val="single" w:sz="4" w:space="0" w:color="auto"/>
              <w:bottom w:val="single" w:sz="4" w:space="0" w:color="auto"/>
              <w:right w:val="single" w:sz="4" w:space="0" w:color="auto"/>
            </w:tcBorders>
          </w:tcPr>
          <w:p w14:paraId="12E6F0F7" w14:textId="77777777" w:rsidR="00A048CB" w:rsidRPr="004360BF" w:rsidRDefault="00A048CB" w:rsidP="00D732C1">
            <w:pPr>
              <w:keepNext/>
              <w:spacing w:before="40" w:after="40"/>
              <w:rPr>
                <w:rFonts w:cs="Tahoma"/>
                <w:sz w:val="22"/>
                <w:szCs w:val="22"/>
                <w:lang w:val="en-AU"/>
              </w:rPr>
            </w:pPr>
            <w:r w:rsidRPr="004360BF">
              <w:rPr>
                <w:sz w:val="22"/>
                <w:szCs w:val="22"/>
                <w:lang w:val="en-AU"/>
              </w:rPr>
              <w:t>Next 100,000 kWh per month</w:t>
            </w:r>
          </w:p>
        </w:tc>
        <w:tc>
          <w:tcPr>
            <w:tcW w:w="1278" w:type="dxa"/>
            <w:tcBorders>
              <w:top w:val="single" w:sz="4" w:space="0" w:color="auto"/>
              <w:left w:val="single" w:sz="4" w:space="0" w:color="auto"/>
              <w:bottom w:val="single" w:sz="4" w:space="0" w:color="auto"/>
              <w:right w:val="single" w:sz="4" w:space="0" w:color="auto"/>
            </w:tcBorders>
          </w:tcPr>
          <w:p w14:paraId="40B6FF1C" w14:textId="77777777" w:rsidR="00A048CB" w:rsidRPr="0072554D" w:rsidRDefault="00A048CB" w:rsidP="00D732C1">
            <w:pPr>
              <w:keepNext/>
              <w:spacing w:before="40" w:after="40"/>
              <w:jc w:val="right"/>
              <w:rPr>
                <w:sz w:val="22"/>
                <w:szCs w:val="22"/>
                <w:lang w:val="en-AU"/>
              </w:rPr>
            </w:pPr>
            <w:r w:rsidRPr="004360BF">
              <w:rPr>
                <w:sz w:val="22"/>
                <w:szCs w:val="22"/>
                <w:lang w:val="en-AU"/>
              </w:rPr>
              <w:t>3.381</w:t>
            </w:r>
          </w:p>
        </w:tc>
        <w:tc>
          <w:tcPr>
            <w:tcW w:w="1227" w:type="dxa"/>
            <w:tcBorders>
              <w:top w:val="single" w:sz="4" w:space="0" w:color="auto"/>
              <w:left w:val="single" w:sz="4" w:space="0" w:color="auto"/>
              <w:bottom w:val="single" w:sz="4" w:space="0" w:color="auto"/>
              <w:right w:val="single" w:sz="4" w:space="0" w:color="auto"/>
            </w:tcBorders>
          </w:tcPr>
          <w:p w14:paraId="4765A4AC" w14:textId="638741BB" w:rsidR="00A048CB" w:rsidRPr="004360BF" w:rsidRDefault="00A048CB" w:rsidP="00D732C1">
            <w:pPr>
              <w:keepNext/>
              <w:spacing w:before="40" w:after="40"/>
              <w:jc w:val="right"/>
              <w:rPr>
                <w:sz w:val="22"/>
                <w:szCs w:val="22"/>
                <w:lang w:val="en-AU"/>
              </w:rPr>
            </w:pPr>
            <w:r w:rsidRPr="00626B7C">
              <w:rPr>
                <w:sz w:val="22"/>
                <w:szCs w:val="22"/>
                <w:lang w:val="en-AU"/>
              </w:rPr>
              <w:t>3.902</w:t>
            </w:r>
          </w:p>
        </w:tc>
        <w:tc>
          <w:tcPr>
            <w:tcW w:w="1227" w:type="dxa"/>
            <w:tcBorders>
              <w:top w:val="single" w:sz="4" w:space="0" w:color="auto"/>
              <w:left w:val="single" w:sz="4" w:space="0" w:color="auto"/>
              <w:bottom w:val="single" w:sz="4" w:space="0" w:color="auto"/>
              <w:right w:val="single" w:sz="4" w:space="0" w:color="auto"/>
            </w:tcBorders>
          </w:tcPr>
          <w:p w14:paraId="216B299C" w14:textId="62654D8F" w:rsidR="00A048CB" w:rsidRPr="004360BF" w:rsidRDefault="00A048CB" w:rsidP="00D732C1">
            <w:pPr>
              <w:keepNext/>
              <w:spacing w:before="40" w:after="40"/>
              <w:jc w:val="right"/>
              <w:rPr>
                <w:sz w:val="22"/>
                <w:szCs w:val="22"/>
                <w:lang w:val="en-AU"/>
              </w:rPr>
            </w:pPr>
            <w:r w:rsidRPr="00626B7C">
              <w:rPr>
                <w:sz w:val="22"/>
                <w:szCs w:val="22"/>
                <w:lang w:val="en-AU"/>
              </w:rPr>
              <w:t>15.4%</w:t>
            </w:r>
          </w:p>
        </w:tc>
      </w:tr>
      <w:tr w:rsidR="00A048CB" w:rsidRPr="004360BF" w14:paraId="1C563E44" w14:textId="77777777" w:rsidTr="00375E68">
        <w:tc>
          <w:tcPr>
            <w:tcW w:w="4820" w:type="dxa"/>
            <w:tcBorders>
              <w:top w:val="single" w:sz="4" w:space="0" w:color="auto"/>
              <w:left w:val="single" w:sz="4" w:space="0" w:color="auto"/>
              <w:bottom w:val="single" w:sz="4" w:space="0" w:color="auto"/>
              <w:right w:val="single" w:sz="4" w:space="0" w:color="auto"/>
            </w:tcBorders>
          </w:tcPr>
          <w:p w14:paraId="4839C2AD" w14:textId="77777777" w:rsidR="00A048CB" w:rsidRPr="004360BF" w:rsidRDefault="00A048CB" w:rsidP="00D732C1">
            <w:pPr>
              <w:keepNext/>
              <w:spacing w:before="40" w:after="40"/>
              <w:rPr>
                <w:rFonts w:cs="Tahoma"/>
                <w:sz w:val="22"/>
                <w:szCs w:val="22"/>
                <w:lang w:val="en-AU"/>
              </w:rPr>
            </w:pPr>
            <w:r w:rsidRPr="004360BF">
              <w:rPr>
                <w:sz w:val="22"/>
                <w:szCs w:val="22"/>
                <w:lang w:val="en-AU"/>
              </w:rPr>
              <w:t>Any further kWh per month</w:t>
            </w:r>
          </w:p>
        </w:tc>
        <w:tc>
          <w:tcPr>
            <w:tcW w:w="1278" w:type="dxa"/>
            <w:tcBorders>
              <w:top w:val="single" w:sz="4" w:space="0" w:color="auto"/>
              <w:left w:val="single" w:sz="4" w:space="0" w:color="auto"/>
              <w:bottom w:val="single" w:sz="4" w:space="0" w:color="auto"/>
              <w:right w:val="single" w:sz="4" w:space="0" w:color="auto"/>
            </w:tcBorders>
          </w:tcPr>
          <w:p w14:paraId="6AEE4C39" w14:textId="77777777" w:rsidR="00A048CB" w:rsidRPr="0072554D" w:rsidRDefault="00A048CB" w:rsidP="00D732C1">
            <w:pPr>
              <w:keepNext/>
              <w:spacing w:before="40" w:after="40"/>
              <w:jc w:val="right"/>
              <w:rPr>
                <w:sz w:val="22"/>
                <w:szCs w:val="22"/>
                <w:lang w:val="en-AU"/>
              </w:rPr>
            </w:pPr>
            <w:r w:rsidRPr="004360BF">
              <w:rPr>
                <w:sz w:val="22"/>
                <w:szCs w:val="22"/>
                <w:lang w:val="en-AU"/>
              </w:rPr>
              <w:t>2.238</w:t>
            </w:r>
          </w:p>
        </w:tc>
        <w:tc>
          <w:tcPr>
            <w:tcW w:w="1227" w:type="dxa"/>
            <w:tcBorders>
              <w:top w:val="single" w:sz="4" w:space="0" w:color="auto"/>
              <w:left w:val="single" w:sz="4" w:space="0" w:color="auto"/>
              <w:bottom w:val="single" w:sz="4" w:space="0" w:color="auto"/>
              <w:right w:val="single" w:sz="4" w:space="0" w:color="auto"/>
            </w:tcBorders>
          </w:tcPr>
          <w:p w14:paraId="52EF1DB1" w14:textId="56F19593" w:rsidR="00A048CB" w:rsidRPr="004360BF" w:rsidRDefault="00A048CB" w:rsidP="00D732C1">
            <w:pPr>
              <w:keepNext/>
              <w:spacing w:before="40" w:after="40"/>
              <w:jc w:val="right"/>
              <w:rPr>
                <w:sz w:val="22"/>
                <w:szCs w:val="22"/>
                <w:lang w:val="en-AU"/>
              </w:rPr>
            </w:pPr>
            <w:r w:rsidRPr="00626B7C">
              <w:rPr>
                <w:sz w:val="22"/>
                <w:szCs w:val="22"/>
                <w:lang w:val="en-AU"/>
              </w:rPr>
              <w:t>2.639</w:t>
            </w:r>
          </w:p>
        </w:tc>
        <w:tc>
          <w:tcPr>
            <w:tcW w:w="1227" w:type="dxa"/>
            <w:tcBorders>
              <w:top w:val="single" w:sz="4" w:space="0" w:color="auto"/>
              <w:left w:val="single" w:sz="4" w:space="0" w:color="auto"/>
              <w:bottom w:val="single" w:sz="4" w:space="0" w:color="auto"/>
              <w:right w:val="single" w:sz="4" w:space="0" w:color="auto"/>
            </w:tcBorders>
          </w:tcPr>
          <w:p w14:paraId="3A52FA39" w14:textId="0BC1F49A" w:rsidR="00A048CB" w:rsidRPr="004360BF" w:rsidRDefault="00A048CB" w:rsidP="00D732C1">
            <w:pPr>
              <w:keepNext/>
              <w:spacing w:before="40" w:after="40"/>
              <w:jc w:val="right"/>
              <w:rPr>
                <w:sz w:val="22"/>
                <w:szCs w:val="22"/>
                <w:lang w:val="en-AU"/>
              </w:rPr>
            </w:pPr>
            <w:r w:rsidRPr="00626B7C">
              <w:rPr>
                <w:sz w:val="22"/>
                <w:szCs w:val="22"/>
                <w:lang w:val="en-AU"/>
              </w:rPr>
              <w:t>17.9%</w:t>
            </w:r>
          </w:p>
        </w:tc>
      </w:tr>
      <w:tr w:rsidR="00A048CB" w:rsidRPr="004360BF" w14:paraId="29882FFB" w14:textId="77777777" w:rsidTr="00375E68">
        <w:tc>
          <w:tcPr>
            <w:tcW w:w="4820" w:type="dxa"/>
            <w:tcBorders>
              <w:top w:val="single" w:sz="4" w:space="0" w:color="auto"/>
              <w:left w:val="single" w:sz="4" w:space="0" w:color="auto"/>
              <w:bottom w:val="single" w:sz="4" w:space="0" w:color="auto"/>
              <w:right w:val="nil"/>
            </w:tcBorders>
          </w:tcPr>
          <w:p w14:paraId="339F7D36" w14:textId="77777777" w:rsidR="00A048CB" w:rsidRPr="004360BF" w:rsidRDefault="00A048CB" w:rsidP="00D732C1">
            <w:pPr>
              <w:keepNext/>
              <w:spacing w:before="40" w:after="40"/>
              <w:rPr>
                <w:rFonts w:cs="Tahoma"/>
                <w:b/>
                <w:i/>
                <w:sz w:val="22"/>
                <w:szCs w:val="22"/>
                <w:lang w:val="en-AU"/>
              </w:rPr>
            </w:pPr>
            <w:r w:rsidRPr="004360BF">
              <w:rPr>
                <w:b/>
                <w:i/>
                <w:sz w:val="22"/>
                <w:szCs w:val="22"/>
                <w:lang w:val="en-AU"/>
              </w:rPr>
              <w:t>Off peak period energy (c/kWh)</w:t>
            </w:r>
          </w:p>
        </w:tc>
        <w:tc>
          <w:tcPr>
            <w:tcW w:w="1278" w:type="dxa"/>
            <w:tcBorders>
              <w:top w:val="single" w:sz="4" w:space="0" w:color="auto"/>
              <w:left w:val="nil"/>
              <w:bottom w:val="single" w:sz="4" w:space="0" w:color="auto"/>
              <w:right w:val="nil"/>
            </w:tcBorders>
          </w:tcPr>
          <w:p w14:paraId="0893578A" w14:textId="77777777" w:rsidR="00A048CB" w:rsidRPr="0072554D" w:rsidRDefault="00A048CB" w:rsidP="00D732C1">
            <w:pPr>
              <w:keepNext/>
              <w:spacing w:before="40" w:after="40"/>
              <w:jc w:val="right"/>
              <w:rPr>
                <w:sz w:val="22"/>
                <w:szCs w:val="22"/>
                <w:lang w:val="en-AU"/>
              </w:rPr>
            </w:pPr>
          </w:p>
        </w:tc>
        <w:tc>
          <w:tcPr>
            <w:tcW w:w="1227" w:type="dxa"/>
            <w:tcBorders>
              <w:top w:val="single" w:sz="4" w:space="0" w:color="auto"/>
              <w:left w:val="nil"/>
              <w:bottom w:val="single" w:sz="4" w:space="0" w:color="auto"/>
              <w:right w:val="nil"/>
            </w:tcBorders>
          </w:tcPr>
          <w:p w14:paraId="1791F139" w14:textId="77777777" w:rsidR="00A048CB" w:rsidRPr="004360BF" w:rsidRDefault="00A048CB" w:rsidP="00D732C1">
            <w:pPr>
              <w:keepNext/>
              <w:spacing w:before="40" w:after="40"/>
              <w:jc w:val="right"/>
              <w:rPr>
                <w:sz w:val="22"/>
                <w:szCs w:val="22"/>
                <w:lang w:val="en-AU"/>
              </w:rPr>
            </w:pPr>
          </w:p>
        </w:tc>
        <w:tc>
          <w:tcPr>
            <w:tcW w:w="1227" w:type="dxa"/>
            <w:tcBorders>
              <w:top w:val="single" w:sz="4" w:space="0" w:color="auto"/>
              <w:left w:val="nil"/>
              <w:bottom w:val="single" w:sz="4" w:space="0" w:color="auto"/>
              <w:right w:val="single" w:sz="4" w:space="0" w:color="auto"/>
            </w:tcBorders>
          </w:tcPr>
          <w:p w14:paraId="54DFD200" w14:textId="77777777" w:rsidR="00A048CB" w:rsidRPr="004360BF" w:rsidRDefault="00A048CB" w:rsidP="00D732C1">
            <w:pPr>
              <w:keepNext/>
              <w:spacing w:before="40" w:after="40"/>
              <w:jc w:val="right"/>
              <w:rPr>
                <w:sz w:val="22"/>
                <w:szCs w:val="22"/>
                <w:lang w:val="en-AU"/>
              </w:rPr>
            </w:pPr>
          </w:p>
        </w:tc>
      </w:tr>
      <w:tr w:rsidR="00A048CB" w:rsidRPr="004360BF" w14:paraId="0E8F5DE5" w14:textId="77777777" w:rsidTr="00375E68">
        <w:tc>
          <w:tcPr>
            <w:tcW w:w="4820" w:type="dxa"/>
            <w:tcBorders>
              <w:top w:val="single" w:sz="4" w:space="0" w:color="auto"/>
              <w:left w:val="single" w:sz="4" w:space="0" w:color="auto"/>
              <w:bottom w:val="single" w:sz="4" w:space="0" w:color="auto"/>
              <w:right w:val="single" w:sz="4" w:space="0" w:color="auto"/>
            </w:tcBorders>
          </w:tcPr>
          <w:p w14:paraId="68A56BD3" w14:textId="77777777" w:rsidR="00A048CB" w:rsidRPr="004360BF" w:rsidRDefault="00A048CB" w:rsidP="00D732C1">
            <w:pPr>
              <w:keepNext/>
              <w:spacing w:before="40" w:after="40"/>
              <w:rPr>
                <w:rFonts w:cs="Tahoma"/>
                <w:sz w:val="22"/>
                <w:szCs w:val="22"/>
                <w:lang w:val="en-AU"/>
              </w:rPr>
            </w:pPr>
            <w:r w:rsidRPr="004360BF">
              <w:rPr>
                <w:sz w:val="22"/>
                <w:szCs w:val="22"/>
                <w:lang w:val="en-AU"/>
              </w:rPr>
              <w:t>First 10,000 kWh per month</w:t>
            </w:r>
          </w:p>
        </w:tc>
        <w:tc>
          <w:tcPr>
            <w:tcW w:w="1278" w:type="dxa"/>
            <w:tcBorders>
              <w:top w:val="single" w:sz="4" w:space="0" w:color="auto"/>
              <w:left w:val="single" w:sz="4" w:space="0" w:color="auto"/>
              <w:bottom w:val="single" w:sz="4" w:space="0" w:color="auto"/>
              <w:right w:val="single" w:sz="4" w:space="0" w:color="auto"/>
            </w:tcBorders>
          </w:tcPr>
          <w:p w14:paraId="2D266DF9" w14:textId="77777777" w:rsidR="00A048CB" w:rsidRPr="0072554D" w:rsidRDefault="00A048CB" w:rsidP="00D732C1">
            <w:pPr>
              <w:keepNext/>
              <w:spacing w:before="40" w:after="40"/>
              <w:jc w:val="right"/>
              <w:rPr>
                <w:sz w:val="22"/>
                <w:szCs w:val="22"/>
                <w:lang w:val="en-AU"/>
              </w:rPr>
            </w:pPr>
            <w:r w:rsidRPr="004360BF">
              <w:rPr>
                <w:sz w:val="22"/>
                <w:szCs w:val="22"/>
                <w:lang w:val="en-AU"/>
              </w:rPr>
              <w:t>6.121</w:t>
            </w:r>
          </w:p>
        </w:tc>
        <w:tc>
          <w:tcPr>
            <w:tcW w:w="1227" w:type="dxa"/>
            <w:tcBorders>
              <w:top w:val="single" w:sz="4" w:space="0" w:color="auto"/>
              <w:left w:val="single" w:sz="4" w:space="0" w:color="auto"/>
              <w:bottom w:val="single" w:sz="4" w:space="0" w:color="auto"/>
              <w:right w:val="single" w:sz="4" w:space="0" w:color="auto"/>
            </w:tcBorders>
          </w:tcPr>
          <w:p w14:paraId="3655A7A6" w14:textId="0D03FECC" w:rsidR="00A048CB" w:rsidRPr="004360BF" w:rsidRDefault="00A048CB" w:rsidP="00D732C1">
            <w:pPr>
              <w:keepNext/>
              <w:spacing w:before="40" w:after="40"/>
              <w:jc w:val="right"/>
              <w:rPr>
                <w:sz w:val="22"/>
                <w:szCs w:val="22"/>
                <w:lang w:val="en-AU"/>
              </w:rPr>
            </w:pPr>
            <w:r w:rsidRPr="00626B7C">
              <w:rPr>
                <w:sz w:val="22"/>
                <w:szCs w:val="22"/>
                <w:lang w:val="en-AU"/>
              </w:rPr>
              <w:t>6.606</w:t>
            </w:r>
          </w:p>
        </w:tc>
        <w:tc>
          <w:tcPr>
            <w:tcW w:w="1227" w:type="dxa"/>
            <w:tcBorders>
              <w:top w:val="single" w:sz="4" w:space="0" w:color="auto"/>
              <w:left w:val="single" w:sz="4" w:space="0" w:color="auto"/>
              <w:bottom w:val="single" w:sz="4" w:space="0" w:color="auto"/>
              <w:right w:val="single" w:sz="4" w:space="0" w:color="auto"/>
            </w:tcBorders>
          </w:tcPr>
          <w:p w14:paraId="0F0D5C01" w14:textId="09283F3D" w:rsidR="00A048CB" w:rsidRPr="004360BF" w:rsidRDefault="00A048CB" w:rsidP="00D732C1">
            <w:pPr>
              <w:keepNext/>
              <w:spacing w:before="40" w:after="40"/>
              <w:jc w:val="right"/>
              <w:rPr>
                <w:sz w:val="22"/>
                <w:szCs w:val="22"/>
                <w:lang w:val="en-AU"/>
              </w:rPr>
            </w:pPr>
            <w:r w:rsidRPr="00626B7C">
              <w:rPr>
                <w:sz w:val="22"/>
                <w:szCs w:val="22"/>
                <w:lang w:val="en-AU"/>
              </w:rPr>
              <w:t>7.9%</w:t>
            </w:r>
          </w:p>
        </w:tc>
      </w:tr>
      <w:tr w:rsidR="00A048CB" w:rsidRPr="004360BF" w14:paraId="66A56603" w14:textId="77777777" w:rsidTr="00375E68">
        <w:tc>
          <w:tcPr>
            <w:tcW w:w="4820" w:type="dxa"/>
            <w:tcBorders>
              <w:top w:val="single" w:sz="4" w:space="0" w:color="auto"/>
              <w:left w:val="single" w:sz="4" w:space="0" w:color="auto"/>
              <w:bottom w:val="single" w:sz="4" w:space="0" w:color="auto"/>
              <w:right w:val="single" w:sz="4" w:space="0" w:color="auto"/>
            </w:tcBorders>
          </w:tcPr>
          <w:p w14:paraId="2D11D144" w14:textId="77777777" w:rsidR="00A048CB" w:rsidRPr="004360BF" w:rsidRDefault="00A048CB" w:rsidP="00D732C1">
            <w:pPr>
              <w:keepNext/>
              <w:spacing w:before="40" w:after="40"/>
              <w:rPr>
                <w:rFonts w:cs="Tahoma"/>
                <w:sz w:val="22"/>
                <w:szCs w:val="22"/>
                <w:lang w:val="en-AU"/>
              </w:rPr>
            </w:pPr>
            <w:r w:rsidRPr="004360BF">
              <w:rPr>
                <w:sz w:val="22"/>
                <w:szCs w:val="22"/>
                <w:lang w:val="en-AU"/>
              </w:rPr>
              <w:t>Next 20,000 kWh per month</w:t>
            </w:r>
          </w:p>
        </w:tc>
        <w:tc>
          <w:tcPr>
            <w:tcW w:w="1278" w:type="dxa"/>
            <w:tcBorders>
              <w:top w:val="single" w:sz="4" w:space="0" w:color="auto"/>
              <w:left w:val="single" w:sz="4" w:space="0" w:color="auto"/>
              <w:bottom w:val="single" w:sz="4" w:space="0" w:color="auto"/>
              <w:right w:val="single" w:sz="4" w:space="0" w:color="auto"/>
            </w:tcBorders>
          </w:tcPr>
          <w:p w14:paraId="1F95E496" w14:textId="77777777" w:rsidR="00A048CB" w:rsidRPr="0072554D" w:rsidRDefault="00A048CB" w:rsidP="00D732C1">
            <w:pPr>
              <w:keepNext/>
              <w:spacing w:before="40" w:after="40"/>
              <w:jc w:val="right"/>
              <w:rPr>
                <w:sz w:val="22"/>
                <w:szCs w:val="22"/>
                <w:lang w:val="en-AU"/>
              </w:rPr>
            </w:pPr>
            <w:r w:rsidRPr="004360BF">
              <w:rPr>
                <w:sz w:val="22"/>
                <w:szCs w:val="22"/>
                <w:lang w:val="en-AU"/>
              </w:rPr>
              <w:t>4.357</w:t>
            </w:r>
          </w:p>
        </w:tc>
        <w:tc>
          <w:tcPr>
            <w:tcW w:w="1227" w:type="dxa"/>
            <w:tcBorders>
              <w:top w:val="single" w:sz="4" w:space="0" w:color="auto"/>
              <w:left w:val="single" w:sz="4" w:space="0" w:color="auto"/>
              <w:bottom w:val="single" w:sz="4" w:space="0" w:color="auto"/>
              <w:right w:val="single" w:sz="4" w:space="0" w:color="auto"/>
            </w:tcBorders>
          </w:tcPr>
          <w:p w14:paraId="546F21E3" w14:textId="6D529C24" w:rsidR="00A048CB" w:rsidRPr="004360BF" w:rsidRDefault="00A048CB" w:rsidP="00D732C1">
            <w:pPr>
              <w:keepNext/>
              <w:spacing w:before="40" w:after="40"/>
              <w:jc w:val="right"/>
              <w:rPr>
                <w:sz w:val="22"/>
                <w:szCs w:val="22"/>
                <w:lang w:val="en-AU"/>
              </w:rPr>
            </w:pPr>
            <w:r w:rsidRPr="00626B7C">
              <w:rPr>
                <w:sz w:val="22"/>
                <w:szCs w:val="22"/>
                <w:lang w:val="en-AU"/>
              </w:rPr>
              <w:t>4.920</w:t>
            </w:r>
          </w:p>
        </w:tc>
        <w:tc>
          <w:tcPr>
            <w:tcW w:w="1227" w:type="dxa"/>
            <w:tcBorders>
              <w:top w:val="single" w:sz="4" w:space="0" w:color="auto"/>
              <w:left w:val="single" w:sz="4" w:space="0" w:color="auto"/>
              <w:bottom w:val="single" w:sz="4" w:space="0" w:color="auto"/>
              <w:right w:val="single" w:sz="4" w:space="0" w:color="auto"/>
            </w:tcBorders>
          </w:tcPr>
          <w:p w14:paraId="4673E1AC" w14:textId="153D0E96" w:rsidR="00A048CB" w:rsidRPr="004360BF" w:rsidRDefault="00A048CB" w:rsidP="00D732C1">
            <w:pPr>
              <w:keepNext/>
              <w:spacing w:before="40" w:after="40"/>
              <w:jc w:val="right"/>
              <w:rPr>
                <w:sz w:val="22"/>
                <w:szCs w:val="22"/>
                <w:lang w:val="en-AU"/>
              </w:rPr>
            </w:pPr>
            <w:r w:rsidRPr="00626B7C">
              <w:rPr>
                <w:sz w:val="22"/>
                <w:szCs w:val="22"/>
                <w:lang w:val="en-AU"/>
              </w:rPr>
              <w:t>12.9%</w:t>
            </w:r>
          </w:p>
        </w:tc>
      </w:tr>
      <w:tr w:rsidR="00A048CB" w:rsidRPr="004360BF" w14:paraId="130309E3" w14:textId="77777777" w:rsidTr="00375E68">
        <w:tc>
          <w:tcPr>
            <w:tcW w:w="4820" w:type="dxa"/>
            <w:tcBorders>
              <w:top w:val="single" w:sz="4" w:space="0" w:color="auto"/>
              <w:left w:val="single" w:sz="4" w:space="0" w:color="auto"/>
              <w:bottom w:val="single" w:sz="4" w:space="0" w:color="auto"/>
              <w:right w:val="single" w:sz="4" w:space="0" w:color="auto"/>
            </w:tcBorders>
          </w:tcPr>
          <w:p w14:paraId="72477BD2" w14:textId="77777777" w:rsidR="00A048CB" w:rsidRPr="004360BF" w:rsidRDefault="00A048CB" w:rsidP="00D732C1">
            <w:pPr>
              <w:keepNext/>
              <w:spacing w:before="40" w:after="40"/>
              <w:rPr>
                <w:rFonts w:cs="Tahoma"/>
                <w:sz w:val="22"/>
                <w:szCs w:val="22"/>
                <w:lang w:val="en-AU"/>
              </w:rPr>
            </w:pPr>
            <w:r w:rsidRPr="004360BF">
              <w:rPr>
                <w:sz w:val="22"/>
                <w:szCs w:val="22"/>
                <w:lang w:val="en-AU"/>
              </w:rPr>
              <w:t>Next 50,000 kWh per month</w:t>
            </w:r>
          </w:p>
        </w:tc>
        <w:tc>
          <w:tcPr>
            <w:tcW w:w="1278" w:type="dxa"/>
            <w:tcBorders>
              <w:top w:val="single" w:sz="4" w:space="0" w:color="auto"/>
              <w:left w:val="single" w:sz="4" w:space="0" w:color="auto"/>
              <w:bottom w:val="single" w:sz="4" w:space="0" w:color="auto"/>
              <w:right w:val="single" w:sz="4" w:space="0" w:color="auto"/>
            </w:tcBorders>
          </w:tcPr>
          <w:p w14:paraId="3B66155C" w14:textId="77777777" w:rsidR="00A048CB" w:rsidRPr="0072554D" w:rsidRDefault="00A048CB" w:rsidP="00D732C1">
            <w:pPr>
              <w:keepNext/>
              <w:spacing w:before="40" w:after="40"/>
              <w:jc w:val="right"/>
              <w:rPr>
                <w:sz w:val="22"/>
                <w:szCs w:val="22"/>
                <w:lang w:val="en-AU"/>
              </w:rPr>
            </w:pPr>
            <w:r w:rsidRPr="004360BF">
              <w:rPr>
                <w:sz w:val="22"/>
                <w:szCs w:val="22"/>
                <w:lang w:val="en-AU"/>
              </w:rPr>
              <w:t>3.447</w:t>
            </w:r>
          </w:p>
        </w:tc>
        <w:tc>
          <w:tcPr>
            <w:tcW w:w="1227" w:type="dxa"/>
            <w:tcBorders>
              <w:top w:val="single" w:sz="4" w:space="0" w:color="auto"/>
              <w:left w:val="single" w:sz="4" w:space="0" w:color="auto"/>
              <w:bottom w:val="single" w:sz="4" w:space="0" w:color="auto"/>
              <w:right w:val="single" w:sz="4" w:space="0" w:color="auto"/>
            </w:tcBorders>
          </w:tcPr>
          <w:p w14:paraId="564E3DD1" w14:textId="30B775A0" w:rsidR="00A048CB" w:rsidRPr="004360BF" w:rsidRDefault="00A048CB" w:rsidP="00D732C1">
            <w:pPr>
              <w:keepNext/>
              <w:spacing w:before="40" w:after="40"/>
              <w:jc w:val="right"/>
              <w:rPr>
                <w:sz w:val="22"/>
                <w:szCs w:val="22"/>
                <w:lang w:val="en-AU"/>
              </w:rPr>
            </w:pPr>
            <w:r w:rsidRPr="00626B7C">
              <w:rPr>
                <w:sz w:val="22"/>
                <w:szCs w:val="22"/>
                <w:lang w:val="en-AU"/>
              </w:rPr>
              <w:t>3.892</w:t>
            </w:r>
          </w:p>
        </w:tc>
        <w:tc>
          <w:tcPr>
            <w:tcW w:w="1227" w:type="dxa"/>
            <w:tcBorders>
              <w:top w:val="single" w:sz="4" w:space="0" w:color="auto"/>
              <w:left w:val="single" w:sz="4" w:space="0" w:color="auto"/>
              <w:bottom w:val="single" w:sz="4" w:space="0" w:color="auto"/>
              <w:right w:val="single" w:sz="4" w:space="0" w:color="auto"/>
            </w:tcBorders>
          </w:tcPr>
          <w:p w14:paraId="12A65B23" w14:textId="680EBEE8" w:rsidR="00A048CB" w:rsidRPr="004360BF" w:rsidRDefault="00A048CB" w:rsidP="00D732C1">
            <w:pPr>
              <w:keepNext/>
              <w:spacing w:before="40" w:after="40"/>
              <w:jc w:val="right"/>
              <w:rPr>
                <w:sz w:val="22"/>
                <w:szCs w:val="22"/>
                <w:lang w:val="en-AU"/>
              </w:rPr>
            </w:pPr>
            <w:r w:rsidRPr="00626B7C">
              <w:rPr>
                <w:sz w:val="22"/>
                <w:szCs w:val="22"/>
                <w:lang w:val="en-AU"/>
              </w:rPr>
              <w:t>12.9%</w:t>
            </w:r>
          </w:p>
        </w:tc>
      </w:tr>
      <w:tr w:rsidR="00A048CB" w:rsidRPr="004360BF" w14:paraId="28EEC668" w14:textId="77777777" w:rsidTr="00375E68">
        <w:tc>
          <w:tcPr>
            <w:tcW w:w="4820" w:type="dxa"/>
            <w:tcBorders>
              <w:top w:val="single" w:sz="4" w:space="0" w:color="auto"/>
              <w:left w:val="single" w:sz="4" w:space="0" w:color="auto"/>
              <w:bottom w:val="single" w:sz="4" w:space="0" w:color="auto"/>
              <w:right w:val="single" w:sz="4" w:space="0" w:color="auto"/>
            </w:tcBorders>
          </w:tcPr>
          <w:p w14:paraId="769EF778" w14:textId="77777777" w:rsidR="00A048CB" w:rsidRPr="004360BF" w:rsidRDefault="00A048CB" w:rsidP="00D732C1">
            <w:pPr>
              <w:keepNext/>
              <w:spacing w:before="40" w:after="40"/>
              <w:rPr>
                <w:rFonts w:cs="Tahoma"/>
                <w:sz w:val="22"/>
                <w:szCs w:val="22"/>
                <w:lang w:val="en-AU"/>
              </w:rPr>
            </w:pPr>
            <w:r w:rsidRPr="004360BF">
              <w:rPr>
                <w:sz w:val="22"/>
                <w:szCs w:val="22"/>
                <w:lang w:val="en-AU"/>
              </w:rPr>
              <w:t>Next 100,000 kWh per month</w:t>
            </w:r>
          </w:p>
        </w:tc>
        <w:tc>
          <w:tcPr>
            <w:tcW w:w="1278" w:type="dxa"/>
            <w:tcBorders>
              <w:top w:val="single" w:sz="4" w:space="0" w:color="auto"/>
              <w:left w:val="single" w:sz="4" w:space="0" w:color="auto"/>
              <w:bottom w:val="single" w:sz="4" w:space="0" w:color="auto"/>
              <w:right w:val="single" w:sz="4" w:space="0" w:color="auto"/>
            </w:tcBorders>
          </w:tcPr>
          <w:p w14:paraId="4B88A4AA" w14:textId="77777777" w:rsidR="00A048CB" w:rsidRPr="0072554D" w:rsidRDefault="00A048CB" w:rsidP="00D732C1">
            <w:pPr>
              <w:keepNext/>
              <w:spacing w:before="40" w:after="40"/>
              <w:jc w:val="right"/>
              <w:rPr>
                <w:sz w:val="22"/>
                <w:szCs w:val="22"/>
                <w:lang w:val="en-AU"/>
              </w:rPr>
            </w:pPr>
            <w:r w:rsidRPr="004360BF">
              <w:rPr>
                <w:sz w:val="22"/>
                <w:szCs w:val="22"/>
                <w:lang w:val="en-AU"/>
              </w:rPr>
              <w:t>2.808</w:t>
            </w:r>
          </w:p>
        </w:tc>
        <w:tc>
          <w:tcPr>
            <w:tcW w:w="1227" w:type="dxa"/>
            <w:tcBorders>
              <w:top w:val="single" w:sz="4" w:space="0" w:color="auto"/>
              <w:left w:val="single" w:sz="4" w:space="0" w:color="auto"/>
              <w:bottom w:val="single" w:sz="4" w:space="0" w:color="auto"/>
              <w:right w:val="single" w:sz="4" w:space="0" w:color="auto"/>
            </w:tcBorders>
          </w:tcPr>
          <w:p w14:paraId="5421E127" w14:textId="3EC54366" w:rsidR="00A048CB" w:rsidRPr="004360BF" w:rsidRDefault="00A048CB" w:rsidP="00D732C1">
            <w:pPr>
              <w:keepNext/>
              <w:spacing w:before="40" w:after="40"/>
              <w:jc w:val="right"/>
              <w:rPr>
                <w:sz w:val="22"/>
                <w:szCs w:val="22"/>
                <w:lang w:val="en-AU"/>
              </w:rPr>
            </w:pPr>
            <w:r w:rsidRPr="00626B7C">
              <w:rPr>
                <w:sz w:val="22"/>
                <w:szCs w:val="22"/>
                <w:lang w:val="en-AU"/>
              </w:rPr>
              <w:t>3.241</w:t>
            </w:r>
          </w:p>
        </w:tc>
        <w:tc>
          <w:tcPr>
            <w:tcW w:w="1227" w:type="dxa"/>
            <w:tcBorders>
              <w:top w:val="single" w:sz="4" w:space="0" w:color="auto"/>
              <w:left w:val="single" w:sz="4" w:space="0" w:color="auto"/>
              <w:bottom w:val="single" w:sz="4" w:space="0" w:color="auto"/>
              <w:right w:val="single" w:sz="4" w:space="0" w:color="auto"/>
            </w:tcBorders>
          </w:tcPr>
          <w:p w14:paraId="32C77561" w14:textId="18BEA985" w:rsidR="00A048CB" w:rsidRPr="004360BF" w:rsidRDefault="00A048CB" w:rsidP="00D732C1">
            <w:pPr>
              <w:keepNext/>
              <w:spacing w:before="40" w:after="40"/>
              <w:jc w:val="right"/>
              <w:rPr>
                <w:sz w:val="22"/>
                <w:szCs w:val="22"/>
                <w:lang w:val="en-AU"/>
              </w:rPr>
            </w:pPr>
            <w:r w:rsidRPr="00626B7C">
              <w:rPr>
                <w:sz w:val="22"/>
                <w:szCs w:val="22"/>
                <w:lang w:val="en-AU"/>
              </w:rPr>
              <w:t>15.4%</w:t>
            </w:r>
          </w:p>
        </w:tc>
      </w:tr>
      <w:tr w:rsidR="00A048CB" w:rsidRPr="004360BF" w14:paraId="3BB2B676" w14:textId="77777777" w:rsidTr="00375E68">
        <w:tc>
          <w:tcPr>
            <w:tcW w:w="4820" w:type="dxa"/>
            <w:tcBorders>
              <w:top w:val="single" w:sz="4" w:space="0" w:color="auto"/>
              <w:left w:val="single" w:sz="4" w:space="0" w:color="auto"/>
              <w:bottom w:val="single" w:sz="4" w:space="0" w:color="auto"/>
              <w:right w:val="single" w:sz="4" w:space="0" w:color="auto"/>
            </w:tcBorders>
          </w:tcPr>
          <w:p w14:paraId="6B3E5826" w14:textId="77777777" w:rsidR="00A048CB" w:rsidRPr="004360BF" w:rsidRDefault="00A048CB" w:rsidP="00D732C1">
            <w:pPr>
              <w:keepNext/>
              <w:spacing w:before="40" w:after="40"/>
              <w:rPr>
                <w:rFonts w:cs="Tahoma"/>
                <w:sz w:val="22"/>
                <w:szCs w:val="22"/>
                <w:lang w:val="en-AU"/>
              </w:rPr>
            </w:pPr>
            <w:r w:rsidRPr="004360BF">
              <w:rPr>
                <w:sz w:val="22"/>
                <w:szCs w:val="22"/>
                <w:lang w:val="en-AU"/>
              </w:rPr>
              <w:t>Any further kWh per month</w:t>
            </w:r>
          </w:p>
        </w:tc>
        <w:tc>
          <w:tcPr>
            <w:tcW w:w="1278" w:type="dxa"/>
            <w:tcBorders>
              <w:top w:val="single" w:sz="4" w:space="0" w:color="auto"/>
              <w:left w:val="single" w:sz="4" w:space="0" w:color="auto"/>
              <w:bottom w:val="single" w:sz="4" w:space="0" w:color="auto"/>
              <w:right w:val="single" w:sz="4" w:space="0" w:color="auto"/>
            </w:tcBorders>
          </w:tcPr>
          <w:p w14:paraId="51C897E0" w14:textId="77777777" w:rsidR="00A048CB" w:rsidRPr="0072554D" w:rsidRDefault="00A048CB" w:rsidP="00D732C1">
            <w:pPr>
              <w:keepNext/>
              <w:spacing w:before="40" w:after="40"/>
              <w:jc w:val="right"/>
              <w:rPr>
                <w:sz w:val="22"/>
                <w:szCs w:val="22"/>
                <w:lang w:val="en-AU"/>
              </w:rPr>
            </w:pPr>
            <w:r w:rsidRPr="004360BF">
              <w:rPr>
                <w:sz w:val="22"/>
                <w:szCs w:val="22"/>
                <w:lang w:val="en-AU"/>
              </w:rPr>
              <w:t>1.497</w:t>
            </w:r>
          </w:p>
        </w:tc>
        <w:tc>
          <w:tcPr>
            <w:tcW w:w="1227" w:type="dxa"/>
            <w:tcBorders>
              <w:top w:val="single" w:sz="4" w:space="0" w:color="auto"/>
              <w:left w:val="single" w:sz="4" w:space="0" w:color="auto"/>
              <w:bottom w:val="single" w:sz="4" w:space="0" w:color="auto"/>
              <w:right w:val="single" w:sz="4" w:space="0" w:color="auto"/>
            </w:tcBorders>
          </w:tcPr>
          <w:p w14:paraId="17773FC6" w14:textId="2AD16966" w:rsidR="00A048CB" w:rsidRPr="004360BF" w:rsidRDefault="00A048CB" w:rsidP="00D732C1">
            <w:pPr>
              <w:keepNext/>
              <w:spacing w:before="40" w:after="40"/>
              <w:jc w:val="right"/>
              <w:rPr>
                <w:sz w:val="22"/>
                <w:szCs w:val="22"/>
                <w:lang w:val="en-AU"/>
              </w:rPr>
            </w:pPr>
            <w:r w:rsidRPr="00626B7C">
              <w:rPr>
                <w:sz w:val="22"/>
                <w:szCs w:val="22"/>
                <w:lang w:val="en-AU"/>
              </w:rPr>
              <w:t>1.765</w:t>
            </w:r>
          </w:p>
        </w:tc>
        <w:tc>
          <w:tcPr>
            <w:tcW w:w="1227" w:type="dxa"/>
            <w:tcBorders>
              <w:top w:val="single" w:sz="4" w:space="0" w:color="auto"/>
              <w:left w:val="single" w:sz="4" w:space="0" w:color="auto"/>
              <w:bottom w:val="single" w:sz="4" w:space="0" w:color="auto"/>
              <w:right w:val="single" w:sz="4" w:space="0" w:color="auto"/>
            </w:tcBorders>
          </w:tcPr>
          <w:p w14:paraId="54D648C6" w14:textId="657A019F" w:rsidR="00A048CB" w:rsidRPr="004360BF" w:rsidRDefault="00A048CB" w:rsidP="00D732C1">
            <w:pPr>
              <w:keepNext/>
              <w:spacing w:before="40" w:after="40"/>
              <w:jc w:val="right"/>
              <w:rPr>
                <w:sz w:val="22"/>
                <w:szCs w:val="22"/>
                <w:lang w:val="en-AU"/>
              </w:rPr>
            </w:pPr>
            <w:r w:rsidRPr="00626B7C">
              <w:rPr>
                <w:sz w:val="22"/>
                <w:szCs w:val="22"/>
                <w:lang w:val="en-AU"/>
              </w:rPr>
              <w:t>17.9%</w:t>
            </w:r>
          </w:p>
        </w:tc>
      </w:tr>
      <w:tr w:rsidR="00A048CB" w:rsidRPr="004360BF" w14:paraId="489FD188" w14:textId="77777777" w:rsidTr="00375E68">
        <w:tc>
          <w:tcPr>
            <w:tcW w:w="4820" w:type="dxa"/>
            <w:tcBorders>
              <w:top w:val="single" w:sz="4" w:space="0" w:color="auto"/>
              <w:left w:val="single" w:sz="4" w:space="0" w:color="auto"/>
              <w:bottom w:val="single" w:sz="4" w:space="0" w:color="auto"/>
              <w:right w:val="nil"/>
            </w:tcBorders>
          </w:tcPr>
          <w:p w14:paraId="520EA13C" w14:textId="77777777" w:rsidR="00A048CB" w:rsidRPr="004360BF" w:rsidRDefault="00A048CB" w:rsidP="00D732C1">
            <w:pPr>
              <w:keepNext/>
              <w:spacing w:before="40" w:after="40"/>
              <w:rPr>
                <w:rFonts w:cs="Tahoma"/>
                <w:b/>
                <w:i/>
                <w:sz w:val="22"/>
                <w:szCs w:val="22"/>
                <w:lang w:val="en-AU"/>
              </w:rPr>
            </w:pPr>
            <w:bookmarkStart w:id="382" w:name="OLE_LINK2"/>
            <w:r w:rsidRPr="004360BF">
              <w:rPr>
                <w:b/>
                <w:i/>
                <w:sz w:val="22"/>
                <w:szCs w:val="22"/>
                <w:lang w:val="en-AU"/>
              </w:rPr>
              <w:t>Peak period demand ($/kVA)</w:t>
            </w:r>
            <w:bookmarkEnd w:id="382"/>
          </w:p>
        </w:tc>
        <w:tc>
          <w:tcPr>
            <w:tcW w:w="1278" w:type="dxa"/>
            <w:tcBorders>
              <w:top w:val="single" w:sz="4" w:space="0" w:color="auto"/>
              <w:left w:val="nil"/>
              <w:bottom w:val="single" w:sz="4" w:space="0" w:color="auto"/>
              <w:right w:val="nil"/>
            </w:tcBorders>
          </w:tcPr>
          <w:p w14:paraId="164C68DF" w14:textId="77777777" w:rsidR="00A048CB" w:rsidRPr="0072554D" w:rsidRDefault="00A048CB" w:rsidP="00D732C1">
            <w:pPr>
              <w:keepNext/>
              <w:spacing w:before="40" w:after="40"/>
              <w:jc w:val="right"/>
              <w:rPr>
                <w:sz w:val="22"/>
                <w:szCs w:val="22"/>
                <w:lang w:val="en-AU"/>
              </w:rPr>
            </w:pPr>
          </w:p>
        </w:tc>
        <w:tc>
          <w:tcPr>
            <w:tcW w:w="1227" w:type="dxa"/>
            <w:tcBorders>
              <w:top w:val="single" w:sz="4" w:space="0" w:color="auto"/>
              <w:left w:val="nil"/>
              <w:bottom w:val="single" w:sz="4" w:space="0" w:color="auto"/>
              <w:right w:val="nil"/>
            </w:tcBorders>
          </w:tcPr>
          <w:p w14:paraId="0C5FDFF9" w14:textId="77777777" w:rsidR="00A048CB" w:rsidRPr="004360BF" w:rsidRDefault="00A048CB" w:rsidP="00D732C1">
            <w:pPr>
              <w:keepNext/>
              <w:spacing w:before="40" w:after="40"/>
              <w:jc w:val="right"/>
              <w:rPr>
                <w:sz w:val="22"/>
                <w:szCs w:val="22"/>
                <w:lang w:val="en-AU"/>
              </w:rPr>
            </w:pPr>
          </w:p>
        </w:tc>
        <w:tc>
          <w:tcPr>
            <w:tcW w:w="1227" w:type="dxa"/>
            <w:tcBorders>
              <w:top w:val="single" w:sz="4" w:space="0" w:color="auto"/>
              <w:left w:val="nil"/>
              <w:bottom w:val="single" w:sz="4" w:space="0" w:color="auto"/>
              <w:right w:val="single" w:sz="4" w:space="0" w:color="auto"/>
            </w:tcBorders>
          </w:tcPr>
          <w:p w14:paraId="55200655" w14:textId="77777777" w:rsidR="00A048CB" w:rsidRPr="004360BF" w:rsidRDefault="00A048CB" w:rsidP="00D732C1">
            <w:pPr>
              <w:keepNext/>
              <w:spacing w:before="40" w:after="40"/>
              <w:jc w:val="right"/>
              <w:rPr>
                <w:sz w:val="22"/>
                <w:szCs w:val="22"/>
                <w:lang w:val="en-AU"/>
              </w:rPr>
            </w:pPr>
          </w:p>
        </w:tc>
      </w:tr>
      <w:tr w:rsidR="00A048CB" w:rsidRPr="004360BF" w14:paraId="371AE45A" w14:textId="77777777" w:rsidTr="00375E68">
        <w:tc>
          <w:tcPr>
            <w:tcW w:w="4820" w:type="dxa"/>
            <w:tcBorders>
              <w:top w:val="single" w:sz="4" w:space="0" w:color="auto"/>
              <w:left w:val="single" w:sz="4" w:space="0" w:color="auto"/>
              <w:bottom w:val="single" w:sz="4" w:space="0" w:color="auto"/>
              <w:right w:val="single" w:sz="4" w:space="0" w:color="auto"/>
            </w:tcBorders>
          </w:tcPr>
          <w:p w14:paraId="36362267" w14:textId="77777777" w:rsidR="00A048CB" w:rsidRPr="004360BF" w:rsidRDefault="00A048CB" w:rsidP="00D732C1">
            <w:pPr>
              <w:keepNext/>
              <w:spacing w:before="40" w:after="40"/>
              <w:rPr>
                <w:rFonts w:cs="Tahoma"/>
                <w:sz w:val="22"/>
                <w:szCs w:val="22"/>
                <w:lang w:val="en-AU"/>
              </w:rPr>
            </w:pPr>
            <w:r w:rsidRPr="004360BF">
              <w:rPr>
                <w:sz w:val="22"/>
                <w:szCs w:val="22"/>
                <w:lang w:val="en-AU"/>
              </w:rPr>
              <w:t>First 50 kVA per month</w:t>
            </w:r>
          </w:p>
        </w:tc>
        <w:tc>
          <w:tcPr>
            <w:tcW w:w="1278" w:type="dxa"/>
            <w:tcBorders>
              <w:top w:val="single" w:sz="4" w:space="0" w:color="auto"/>
              <w:left w:val="single" w:sz="4" w:space="0" w:color="auto"/>
              <w:bottom w:val="single" w:sz="4" w:space="0" w:color="auto"/>
              <w:right w:val="single" w:sz="4" w:space="0" w:color="auto"/>
            </w:tcBorders>
          </w:tcPr>
          <w:p w14:paraId="55D294A5" w14:textId="77777777" w:rsidR="00A048CB" w:rsidRPr="0072554D" w:rsidRDefault="00A048CB" w:rsidP="00D732C1">
            <w:pPr>
              <w:keepNext/>
              <w:spacing w:before="40" w:after="40"/>
              <w:jc w:val="right"/>
              <w:rPr>
                <w:sz w:val="22"/>
                <w:szCs w:val="22"/>
                <w:lang w:val="en-AU"/>
              </w:rPr>
            </w:pPr>
            <w:r w:rsidRPr="004360BF">
              <w:rPr>
                <w:sz w:val="22"/>
                <w:szCs w:val="22"/>
                <w:lang w:val="en-AU"/>
              </w:rPr>
              <w:t>10.999</w:t>
            </w:r>
          </w:p>
        </w:tc>
        <w:tc>
          <w:tcPr>
            <w:tcW w:w="1227" w:type="dxa"/>
            <w:tcBorders>
              <w:top w:val="single" w:sz="4" w:space="0" w:color="auto"/>
              <w:left w:val="single" w:sz="4" w:space="0" w:color="auto"/>
              <w:bottom w:val="single" w:sz="4" w:space="0" w:color="auto"/>
              <w:right w:val="single" w:sz="4" w:space="0" w:color="auto"/>
            </w:tcBorders>
          </w:tcPr>
          <w:p w14:paraId="0A9D65DF" w14:textId="149D1458" w:rsidR="00A048CB" w:rsidRPr="004360BF" w:rsidRDefault="00A048CB" w:rsidP="00D732C1">
            <w:pPr>
              <w:keepNext/>
              <w:spacing w:before="40" w:after="40"/>
              <w:jc w:val="right"/>
              <w:rPr>
                <w:sz w:val="22"/>
                <w:szCs w:val="22"/>
                <w:lang w:val="en-AU"/>
              </w:rPr>
            </w:pPr>
            <w:r w:rsidRPr="00626B7C">
              <w:rPr>
                <w:sz w:val="22"/>
                <w:szCs w:val="22"/>
                <w:lang w:val="en-AU"/>
              </w:rPr>
              <w:t>11.054</w:t>
            </w:r>
          </w:p>
        </w:tc>
        <w:tc>
          <w:tcPr>
            <w:tcW w:w="1227" w:type="dxa"/>
            <w:tcBorders>
              <w:top w:val="single" w:sz="4" w:space="0" w:color="auto"/>
              <w:left w:val="single" w:sz="4" w:space="0" w:color="auto"/>
              <w:bottom w:val="single" w:sz="4" w:space="0" w:color="auto"/>
              <w:right w:val="single" w:sz="4" w:space="0" w:color="auto"/>
            </w:tcBorders>
          </w:tcPr>
          <w:p w14:paraId="5359CD04" w14:textId="692236CD" w:rsidR="00A048CB" w:rsidRPr="004360BF" w:rsidRDefault="00A048CB" w:rsidP="00D732C1">
            <w:pPr>
              <w:keepNext/>
              <w:spacing w:before="40" w:after="40"/>
              <w:jc w:val="right"/>
              <w:rPr>
                <w:sz w:val="22"/>
                <w:szCs w:val="22"/>
                <w:lang w:val="en-AU"/>
              </w:rPr>
            </w:pPr>
            <w:r w:rsidRPr="00626B7C">
              <w:rPr>
                <w:sz w:val="22"/>
                <w:szCs w:val="22"/>
                <w:lang w:val="en-AU"/>
              </w:rPr>
              <w:t>0.5%</w:t>
            </w:r>
          </w:p>
        </w:tc>
      </w:tr>
      <w:tr w:rsidR="00A048CB" w:rsidRPr="004360BF" w14:paraId="5272165B" w14:textId="77777777" w:rsidTr="00375E68">
        <w:tc>
          <w:tcPr>
            <w:tcW w:w="4820" w:type="dxa"/>
            <w:tcBorders>
              <w:top w:val="single" w:sz="4" w:space="0" w:color="auto"/>
              <w:left w:val="single" w:sz="4" w:space="0" w:color="auto"/>
              <w:bottom w:val="single" w:sz="4" w:space="0" w:color="auto"/>
              <w:right w:val="single" w:sz="4" w:space="0" w:color="auto"/>
            </w:tcBorders>
          </w:tcPr>
          <w:p w14:paraId="1DB718A1" w14:textId="77777777" w:rsidR="00A048CB" w:rsidRPr="004360BF" w:rsidRDefault="00A048CB" w:rsidP="00D732C1">
            <w:pPr>
              <w:keepNext/>
              <w:spacing w:before="40" w:after="40"/>
              <w:rPr>
                <w:rFonts w:cs="Tahoma"/>
                <w:sz w:val="22"/>
                <w:szCs w:val="22"/>
                <w:lang w:val="en-AU"/>
              </w:rPr>
            </w:pPr>
            <w:r w:rsidRPr="004360BF">
              <w:rPr>
                <w:sz w:val="22"/>
                <w:szCs w:val="22"/>
                <w:lang w:val="en-AU"/>
              </w:rPr>
              <w:t>Next 100 kVA per month</w:t>
            </w:r>
          </w:p>
        </w:tc>
        <w:tc>
          <w:tcPr>
            <w:tcW w:w="1278" w:type="dxa"/>
            <w:tcBorders>
              <w:top w:val="single" w:sz="4" w:space="0" w:color="auto"/>
              <w:left w:val="single" w:sz="4" w:space="0" w:color="auto"/>
              <w:bottom w:val="single" w:sz="4" w:space="0" w:color="auto"/>
              <w:right w:val="single" w:sz="4" w:space="0" w:color="auto"/>
            </w:tcBorders>
          </w:tcPr>
          <w:p w14:paraId="14389A5A" w14:textId="77777777" w:rsidR="00A048CB" w:rsidRPr="0072554D" w:rsidRDefault="00A048CB" w:rsidP="00D732C1">
            <w:pPr>
              <w:keepNext/>
              <w:spacing w:before="40" w:after="40"/>
              <w:jc w:val="right"/>
              <w:rPr>
                <w:sz w:val="22"/>
                <w:szCs w:val="22"/>
                <w:lang w:val="en-AU"/>
              </w:rPr>
            </w:pPr>
            <w:r w:rsidRPr="004360BF">
              <w:rPr>
                <w:sz w:val="22"/>
                <w:szCs w:val="22"/>
                <w:lang w:val="en-AU"/>
              </w:rPr>
              <w:t>9.648</w:t>
            </w:r>
          </w:p>
        </w:tc>
        <w:tc>
          <w:tcPr>
            <w:tcW w:w="1227" w:type="dxa"/>
            <w:tcBorders>
              <w:top w:val="single" w:sz="4" w:space="0" w:color="auto"/>
              <w:left w:val="single" w:sz="4" w:space="0" w:color="auto"/>
              <w:bottom w:val="single" w:sz="4" w:space="0" w:color="auto"/>
              <w:right w:val="single" w:sz="4" w:space="0" w:color="auto"/>
            </w:tcBorders>
          </w:tcPr>
          <w:p w14:paraId="5A863B92" w14:textId="11BB4A66" w:rsidR="00A048CB" w:rsidRPr="004360BF" w:rsidRDefault="00A048CB" w:rsidP="00D732C1">
            <w:pPr>
              <w:keepNext/>
              <w:spacing w:before="40" w:after="40"/>
              <w:jc w:val="right"/>
              <w:rPr>
                <w:sz w:val="22"/>
                <w:szCs w:val="22"/>
                <w:lang w:val="en-AU"/>
              </w:rPr>
            </w:pPr>
            <w:r w:rsidRPr="00626B7C">
              <w:rPr>
                <w:sz w:val="22"/>
                <w:szCs w:val="22"/>
                <w:lang w:val="en-AU"/>
              </w:rPr>
              <w:t>11.054</w:t>
            </w:r>
          </w:p>
        </w:tc>
        <w:tc>
          <w:tcPr>
            <w:tcW w:w="1227" w:type="dxa"/>
            <w:tcBorders>
              <w:top w:val="single" w:sz="4" w:space="0" w:color="auto"/>
              <w:left w:val="single" w:sz="4" w:space="0" w:color="auto"/>
              <w:bottom w:val="single" w:sz="4" w:space="0" w:color="auto"/>
              <w:right w:val="single" w:sz="4" w:space="0" w:color="auto"/>
            </w:tcBorders>
          </w:tcPr>
          <w:p w14:paraId="6AA837D0" w14:textId="609D5793" w:rsidR="00A048CB" w:rsidRPr="004360BF" w:rsidRDefault="00A048CB" w:rsidP="00D732C1">
            <w:pPr>
              <w:keepNext/>
              <w:spacing w:before="40" w:after="40"/>
              <w:jc w:val="right"/>
              <w:rPr>
                <w:sz w:val="22"/>
                <w:szCs w:val="22"/>
                <w:lang w:val="en-AU"/>
              </w:rPr>
            </w:pPr>
            <w:r w:rsidRPr="00626B7C">
              <w:rPr>
                <w:sz w:val="22"/>
                <w:szCs w:val="22"/>
                <w:lang w:val="en-AU"/>
              </w:rPr>
              <w:t>14.6%</w:t>
            </w:r>
          </w:p>
        </w:tc>
      </w:tr>
      <w:tr w:rsidR="00A048CB" w:rsidRPr="004360BF" w14:paraId="0FCB5FE2" w14:textId="77777777" w:rsidTr="00375E68">
        <w:tc>
          <w:tcPr>
            <w:tcW w:w="4820" w:type="dxa"/>
            <w:tcBorders>
              <w:top w:val="single" w:sz="4" w:space="0" w:color="auto"/>
              <w:left w:val="single" w:sz="4" w:space="0" w:color="auto"/>
              <w:bottom w:val="single" w:sz="4" w:space="0" w:color="auto"/>
              <w:right w:val="single" w:sz="4" w:space="0" w:color="auto"/>
            </w:tcBorders>
          </w:tcPr>
          <w:p w14:paraId="7DD07B32" w14:textId="77777777" w:rsidR="00A048CB" w:rsidRPr="004360BF" w:rsidRDefault="00A048CB" w:rsidP="00D732C1">
            <w:pPr>
              <w:keepNext/>
              <w:spacing w:before="40" w:after="40"/>
              <w:rPr>
                <w:rFonts w:cs="Tahoma"/>
                <w:sz w:val="22"/>
                <w:szCs w:val="22"/>
                <w:lang w:val="en-AU"/>
              </w:rPr>
            </w:pPr>
            <w:r w:rsidRPr="004360BF">
              <w:rPr>
                <w:sz w:val="22"/>
                <w:szCs w:val="22"/>
                <w:lang w:val="en-AU"/>
              </w:rPr>
              <w:t>Next 300 kVA per month</w:t>
            </w:r>
          </w:p>
        </w:tc>
        <w:tc>
          <w:tcPr>
            <w:tcW w:w="1278" w:type="dxa"/>
            <w:tcBorders>
              <w:top w:val="single" w:sz="4" w:space="0" w:color="auto"/>
              <w:left w:val="single" w:sz="4" w:space="0" w:color="auto"/>
              <w:bottom w:val="single" w:sz="4" w:space="0" w:color="auto"/>
              <w:right w:val="single" w:sz="4" w:space="0" w:color="auto"/>
            </w:tcBorders>
          </w:tcPr>
          <w:p w14:paraId="42131AB6" w14:textId="77777777" w:rsidR="00A048CB" w:rsidRPr="0072554D" w:rsidRDefault="00A048CB" w:rsidP="00D732C1">
            <w:pPr>
              <w:keepNext/>
              <w:spacing w:before="40" w:after="40"/>
              <w:jc w:val="right"/>
              <w:rPr>
                <w:sz w:val="22"/>
                <w:szCs w:val="22"/>
                <w:lang w:val="en-AU"/>
              </w:rPr>
            </w:pPr>
            <w:r w:rsidRPr="004360BF">
              <w:rPr>
                <w:sz w:val="22"/>
                <w:szCs w:val="22"/>
                <w:lang w:val="en-AU"/>
              </w:rPr>
              <w:t>8.039</w:t>
            </w:r>
          </w:p>
        </w:tc>
        <w:tc>
          <w:tcPr>
            <w:tcW w:w="1227" w:type="dxa"/>
            <w:tcBorders>
              <w:top w:val="single" w:sz="4" w:space="0" w:color="auto"/>
              <w:left w:val="single" w:sz="4" w:space="0" w:color="auto"/>
              <w:bottom w:val="single" w:sz="4" w:space="0" w:color="auto"/>
              <w:right w:val="single" w:sz="4" w:space="0" w:color="auto"/>
            </w:tcBorders>
          </w:tcPr>
          <w:p w14:paraId="71F4812B" w14:textId="5921D769" w:rsidR="00A048CB" w:rsidRPr="004360BF" w:rsidRDefault="00A048CB" w:rsidP="00D732C1">
            <w:pPr>
              <w:keepNext/>
              <w:spacing w:before="40" w:after="40"/>
              <w:jc w:val="right"/>
              <w:rPr>
                <w:sz w:val="22"/>
                <w:szCs w:val="22"/>
                <w:lang w:val="en-AU"/>
              </w:rPr>
            </w:pPr>
            <w:r w:rsidRPr="00626B7C">
              <w:rPr>
                <w:sz w:val="22"/>
                <w:szCs w:val="22"/>
                <w:lang w:val="en-AU"/>
              </w:rPr>
              <w:t>9.118</w:t>
            </w:r>
          </w:p>
        </w:tc>
        <w:tc>
          <w:tcPr>
            <w:tcW w:w="1227" w:type="dxa"/>
            <w:tcBorders>
              <w:top w:val="single" w:sz="4" w:space="0" w:color="auto"/>
              <w:left w:val="single" w:sz="4" w:space="0" w:color="auto"/>
              <w:bottom w:val="single" w:sz="4" w:space="0" w:color="auto"/>
              <w:right w:val="single" w:sz="4" w:space="0" w:color="auto"/>
            </w:tcBorders>
          </w:tcPr>
          <w:p w14:paraId="4C0C52A5" w14:textId="0F357AF9" w:rsidR="00A048CB" w:rsidRPr="004360BF" w:rsidRDefault="00A048CB" w:rsidP="00D732C1">
            <w:pPr>
              <w:keepNext/>
              <w:spacing w:before="40" w:after="40"/>
              <w:jc w:val="right"/>
              <w:rPr>
                <w:sz w:val="22"/>
                <w:szCs w:val="22"/>
                <w:lang w:val="en-AU"/>
              </w:rPr>
            </w:pPr>
            <w:r w:rsidRPr="00626B7C">
              <w:rPr>
                <w:sz w:val="22"/>
                <w:szCs w:val="22"/>
                <w:lang w:val="en-AU"/>
              </w:rPr>
              <w:t>13.4%</w:t>
            </w:r>
          </w:p>
        </w:tc>
      </w:tr>
      <w:tr w:rsidR="00A048CB" w:rsidRPr="004360BF" w14:paraId="469FF88B" w14:textId="77777777" w:rsidTr="00375E68">
        <w:tc>
          <w:tcPr>
            <w:tcW w:w="4820" w:type="dxa"/>
            <w:tcBorders>
              <w:top w:val="single" w:sz="4" w:space="0" w:color="auto"/>
              <w:left w:val="single" w:sz="4" w:space="0" w:color="auto"/>
              <w:bottom w:val="single" w:sz="4" w:space="0" w:color="auto"/>
              <w:right w:val="single" w:sz="4" w:space="0" w:color="auto"/>
            </w:tcBorders>
          </w:tcPr>
          <w:p w14:paraId="082A0FB6" w14:textId="77777777" w:rsidR="00A048CB" w:rsidRPr="004360BF" w:rsidRDefault="00A048CB" w:rsidP="00D732C1">
            <w:pPr>
              <w:keepNext/>
              <w:spacing w:before="40" w:after="40"/>
              <w:rPr>
                <w:rFonts w:cs="Tahoma"/>
                <w:sz w:val="22"/>
                <w:szCs w:val="22"/>
                <w:lang w:val="en-AU"/>
              </w:rPr>
            </w:pPr>
            <w:r w:rsidRPr="004360BF">
              <w:rPr>
                <w:sz w:val="22"/>
                <w:szCs w:val="22"/>
                <w:lang w:val="en-AU"/>
              </w:rPr>
              <w:t>Next 500 kVA per month</w:t>
            </w:r>
          </w:p>
        </w:tc>
        <w:tc>
          <w:tcPr>
            <w:tcW w:w="1278" w:type="dxa"/>
            <w:tcBorders>
              <w:top w:val="single" w:sz="4" w:space="0" w:color="auto"/>
              <w:left w:val="single" w:sz="4" w:space="0" w:color="auto"/>
              <w:bottom w:val="single" w:sz="4" w:space="0" w:color="auto"/>
              <w:right w:val="single" w:sz="4" w:space="0" w:color="auto"/>
            </w:tcBorders>
          </w:tcPr>
          <w:p w14:paraId="50A96BD8" w14:textId="77777777" w:rsidR="00A048CB" w:rsidRPr="0072554D" w:rsidRDefault="00A048CB" w:rsidP="00D732C1">
            <w:pPr>
              <w:keepNext/>
              <w:spacing w:before="40" w:after="40"/>
              <w:jc w:val="right"/>
              <w:rPr>
                <w:sz w:val="22"/>
                <w:szCs w:val="22"/>
                <w:lang w:val="en-AU"/>
              </w:rPr>
            </w:pPr>
            <w:r w:rsidRPr="004360BF">
              <w:rPr>
                <w:sz w:val="22"/>
                <w:szCs w:val="22"/>
                <w:lang w:val="en-AU"/>
              </w:rPr>
              <w:t>6.370</w:t>
            </w:r>
          </w:p>
        </w:tc>
        <w:tc>
          <w:tcPr>
            <w:tcW w:w="1227" w:type="dxa"/>
            <w:tcBorders>
              <w:top w:val="single" w:sz="4" w:space="0" w:color="auto"/>
              <w:left w:val="single" w:sz="4" w:space="0" w:color="auto"/>
              <w:bottom w:val="single" w:sz="4" w:space="0" w:color="auto"/>
              <w:right w:val="single" w:sz="4" w:space="0" w:color="auto"/>
            </w:tcBorders>
          </w:tcPr>
          <w:p w14:paraId="0E9B1630" w14:textId="0251C55E" w:rsidR="00A048CB" w:rsidRPr="004360BF" w:rsidRDefault="00A048CB" w:rsidP="00D732C1">
            <w:pPr>
              <w:keepNext/>
              <w:spacing w:before="40" w:after="40"/>
              <w:jc w:val="right"/>
              <w:rPr>
                <w:sz w:val="22"/>
                <w:szCs w:val="22"/>
                <w:lang w:val="en-AU"/>
              </w:rPr>
            </w:pPr>
            <w:r w:rsidRPr="00626B7C">
              <w:rPr>
                <w:sz w:val="22"/>
                <w:szCs w:val="22"/>
                <w:lang w:val="en-AU"/>
              </w:rPr>
              <w:t>7.225</w:t>
            </w:r>
          </w:p>
        </w:tc>
        <w:tc>
          <w:tcPr>
            <w:tcW w:w="1227" w:type="dxa"/>
            <w:tcBorders>
              <w:top w:val="single" w:sz="4" w:space="0" w:color="auto"/>
              <w:left w:val="single" w:sz="4" w:space="0" w:color="auto"/>
              <w:bottom w:val="single" w:sz="4" w:space="0" w:color="auto"/>
              <w:right w:val="single" w:sz="4" w:space="0" w:color="auto"/>
            </w:tcBorders>
          </w:tcPr>
          <w:p w14:paraId="6EAEE54F" w14:textId="160D620C" w:rsidR="00A048CB" w:rsidRPr="004360BF" w:rsidRDefault="00A048CB" w:rsidP="00D732C1">
            <w:pPr>
              <w:keepNext/>
              <w:spacing w:before="40" w:after="40"/>
              <w:jc w:val="right"/>
              <w:rPr>
                <w:sz w:val="22"/>
                <w:szCs w:val="22"/>
                <w:lang w:val="en-AU"/>
              </w:rPr>
            </w:pPr>
            <w:r w:rsidRPr="00626B7C">
              <w:rPr>
                <w:sz w:val="22"/>
                <w:szCs w:val="22"/>
                <w:lang w:val="en-AU"/>
              </w:rPr>
              <w:t>13.4%</w:t>
            </w:r>
          </w:p>
        </w:tc>
      </w:tr>
      <w:tr w:rsidR="00A048CB" w:rsidRPr="004360BF" w14:paraId="62232110" w14:textId="77777777" w:rsidTr="00375E68">
        <w:tc>
          <w:tcPr>
            <w:tcW w:w="4820" w:type="dxa"/>
            <w:tcBorders>
              <w:top w:val="single" w:sz="4" w:space="0" w:color="auto"/>
              <w:left w:val="single" w:sz="4" w:space="0" w:color="auto"/>
              <w:bottom w:val="single" w:sz="4" w:space="0" w:color="auto"/>
              <w:right w:val="single" w:sz="4" w:space="0" w:color="auto"/>
            </w:tcBorders>
          </w:tcPr>
          <w:p w14:paraId="020EB541" w14:textId="77777777" w:rsidR="00A048CB" w:rsidRPr="004360BF" w:rsidRDefault="00A048CB" w:rsidP="00D732C1">
            <w:pPr>
              <w:keepNext/>
              <w:spacing w:before="40" w:after="40"/>
              <w:rPr>
                <w:rFonts w:cs="Tahoma"/>
                <w:sz w:val="22"/>
                <w:szCs w:val="22"/>
                <w:lang w:val="en-AU"/>
              </w:rPr>
            </w:pPr>
            <w:r w:rsidRPr="004360BF">
              <w:rPr>
                <w:sz w:val="22"/>
                <w:szCs w:val="22"/>
                <w:lang w:val="en-AU"/>
              </w:rPr>
              <w:t>Any further kVA per month</w:t>
            </w:r>
          </w:p>
        </w:tc>
        <w:tc>
          <w:tcPr>
            <w:tcW w:w="1278" w:type="dxa"/>
            <w:tcBorders>
              <w:top w:val="single" w:sz="4" w:space="0" w:color="auto"/>
              <w:left w:val="single" w:sz="4" w:space="0" w:color="auto"/>
              <w:bottom w:val="single" w:sz="4" w:space="0" w:color="auto"/>
              <w:right w:val="single" w:sz="4" w:space="0" w:color="auto"/>
            </w:tcBorders>
          </w:tcPr>
          <w:p w14:paraId="094C4067" w14:textId="77777777" w:rsidR="00A048CB" w:rsidRPr="0072554D" w:rsidRDefault="00A048CB" w:rsidP="00D732C1">
            <w:pPr>
              <w:keepNext/>
              <w:spacing w:before="40" w:after="40"/>
              <w:jc w:val="right"/>
              <w:rPr>
                <w:sz w:val="22"/>
                <w:szCs w:val="22"/>
                <w:lang w:val="en-AU"/>
              </w:rPr>
            </w:pPr>
            <w:r w:rsidRPr="004360BF">
              <w:rPr>
                <w:sz w:val="22"/>
                <w:szCs w:val="22"/>
                <w:lang w:val="en-AU"/>
              </w:rPr>
              <w:t>4.454</w:t>
            </w:r>
          </w:p>
        </w:tc>
        <w:tc>
          <w:tcPr>
            <w:tcW w:w="1227" w:type="dxa"/>
            <w:tcBorders>
              <w:top w:val="single" w:sz="4" w:space="0" w:color="auto"/>
              <w:left w:val="single" w:sz="4" w:space="0" w:color="auto"/>
              <w:bottom w:val="single" w:sz="4" w:space="0" w:color="auto"/>
              <w:right w:val="single" w:sz="4" w:space="0" w:color="auto"/>
            </w:tcBorders>
          </w:tcPr>
          <w:p w14:paraId="4D4F7554" w14:textId="1A771100" w:rsidR="00A048CB" w:rsidRPr="004360BF" w:rsidRDefault="00A048CB" w:rsidP="00D732C1">
            <w:pPr>
              <w:keepNext/>
              <w:spacing w:before="40" w:after="40"/>
              <w:jc w:val="right"/>
              <w:rPr>
                <w:sz w:val="22"/>
                <w:szCs w:val="22"/>
                <w:lang w:val="en-AU"/>
              </w:rPr>
            </w:pPr>
            <w:r w:rsidRPr="00626B7C">
              <w:rPr>
                <w:sz w:val="22"/>
                <w:szCs w:val="22"/>
                <w:lang w:val="en-AU"/>
              </w:rPr>
              <w:t>5.252</w:t>
            </w:r>
          </w:p>
        </w:tc>
        <w:tc>
          <w:tcPr>
            <w:tcW w:w="1227" w:type="dxa"/>
            <w:tcBorders>
              <w:top w:val="single" w:sz="4" w:space="0" w:color="auto"/>
              <w:left w:val="single" w:sz="4" w:space="0" w:color="auto"/>
              <w:bottom w:val="single" w:sz="4" w:space="0" w:color="auto"/>
              <w:right w:val="single" w:sz="4" w:space="0" w:color="auto"/>
            </w:tcBorders>
          </w:tcPr>
          <w:p w14:paraId="7C54F40A" w14:textId="64D3DEAD" w:rsidR="00A048CB" w:rsidRPr="004360BF" w:rsidRDefault="00A048CB" w:rsidP="00D732C1">
            <w:pPr>
              <w:keepNext/>
              <w:spacing w:before="40" w:after="40"/>
              <w:jc w:val="right"/>
              <w:rPr>
                <w:sz w:val="22"/>
                <w:szCs w:val="22"/>
                <w:lang w:val="en-AU"/>
              </w:rPr>
            </w:pPr>
            <w:r w:rsidRPr="00626B7C">
              <w:rPr>
                <w:sz w:val="22"/>
                <w:szCs w:val="22"/>
                <w:lang w:val="en-AU"/>
              </w:rPr>
              <w:t>17.9%</w:t>
            </w:r>
          </w:p>
        </w:tc>
      </w:tr>
      <w:tr w:rsidR="00A048CB" w:rsidRPr="004360BF" w14:paraId="2AB0211B" w14:textId="77777777" w:rsidTr="00375E68">
        <w:tc>
          <w:tcPr>
            <w:tcW w:w="4820" w:type="dxa"/>
            <w:tcBorders>
              <w:top w:val="single" w:sz="4" w:space="0" w:color="auto"/>
              <w:left w:val="single" w:sz="4" w:space="0" w:color="auto"/>
              <w:bottom w:val="single" w:sz="4" w:space="0" w:color="auto"/>
              <w:right w:val="nil"/>
            </w:tcBorders>
          </w:tcPr>
          <w:p w14:paraId="78B83F59" w14:textId="77777777" w:rsidR="00A048CB" w:rsidRPr="004360BF" w:rsidRDefault="00A048CB" w:rsidP="00D732C1">
            <w:pPr>
              <w:keepNext/>
              <w:spacing w:before="40" w:after="40"/>
              <w:rPr>
                <w:rFonts w:cs="Tahoma"/>
                <w:b/>
                <w:i/>
                <w:sz w:val="22"/>
                <w:szCs w:val="22"/>
                <w:lang w:val="en-AU"/>
              </w:rPr>
            </w:pPr>
            <w:r w:rsidRPr="004360BF">
              <w:rPr>
                <w:b/>
                <w:i/>
                <w:sz w:val="22"/>
                <w:szCs w:val="22"/>
                <w:lang w:val="en-AU"/>
              </w:rPr>
              <w:t>Off peak period demand ($/kVA)</w:t>
            </w:r>
          </w:p>
        </w:tc>
        <w:tc>
          <w:tcPr>
            <w:tcW w:w="1278" w:type="dxa"/>
            <w:tcBorders>
              <w:top w:val="single" w:sz="4" w:space="0" w:color="auto"/>
              <w:left w:val="nil"/>
              <w:bottom w:val="single" w:sz="4" w:space="0" w:color="auto"/>
              <w:right w:val="nil"/>
            </w:tcBorders>
          </w:tcPr>
          <w:p w14:paraId="4F631FAF" w14:textId="77777777" w:rsidR="00A048CB" w:rsidRPr="0072554D" w:rsidRDefault="00A048CB" w:rsidP="00D732C1">
            <w:pPr>
              <w:keepNext/>
              <w:spacing w:before="40" w:after="40"/>
              <w:jc w:val="right"/>
              <w:rPr>
                <w:sz w:val="22"/>
                <w:szCs w:val="22"/>
                <w:lang w:val="en-AU"/>
              </w:rPr>
            </w:pPr>
          </w:p>
        </w:tc>
        <w:tc>
          <w:tcPr>
            <w:tcW w:w="1227" w:type="dxa"/>
            <w:tcBorders>
              <w:top w:val="single" w:sz="4" w:space="0" w:color="auto"/>
              <w:left w:val="nil"/>
              <w:bottom w:val="single" w:sz="4" w:space="0" w:color="auto"/>
              <w:right w:val="nil"/>
            </w:tcBorders>
          </w:tcPr>
          <w:p w14:paraId="28C35B36" w14:textId="77777777" w:rsidR="00A048CB" w:rsidRPr="004360BF" w:rsidRDefault="00A048CB" w:rsidP="00D732C1">
            <w:pPr>
              <w:keepNext/>
              <w:spacing w:before="40" w:after="40"/>
              <w:jc w:val="right"/>
              <w:rPr>
                <w:sz w:val="22"/>
                <w:szCs w:val="22"/>
                <w:lang w:val="en-AU"/>
              </w:rPr>
            </w:pPr>
          </w:p>
        </w:tc>
        <w:tc>
          <w:tcPr>
            <w:tcW w:w="1227" w:type="dxa"/>
            <w:tcBorders>
              <w:top w:val="single" w:sz="4" w:space="0" w:color="auto"/>
              <w:left w:val="nil"/>
              <w:bottom w:val="single" w:sz="4" w:space="0" w:color="auto"/>
              <w:right w:val="single" w:sz="4" w:space="0" w:color="auto"/>
            </w:tcBorders>
          </w:tcPr>
          <w:p w14:paraId="698EE9E7" w14:textId="77777777" w:rsidR="00A048CB" w:rsidRPr="004360BF" w:rsidRDefault="00A048CB" w:rsidP="00D732C1">
            <w:pPr>
              <w:keepNext/>
              <w:spacing w:before="40" w:after="40"/>
              <w:jc w:val="right"/>
              <w:rPr>
                <w:sz w:val="22"/>
                <w:szCs w:val="22"/>
                <w:lang w:val="en-AU"/>
              </w:rPr>
            </w:pPr>
          </w:p>
        </w:tc>
      </w:tr>
      <w:tr w:rsidR="00A048CB" w:rsidRPr="004360BF" w14:paraId="6C8C352D" w14:textId="77777777" w:rsidTr="00375E68">
        <w:tc>
          <w:tcPr>
            <w:tcW w:w="4820" w:type="dxa"/>
            <w:tcBorders>
              <w:top w:val="single" w:sz="4" w:space="0" w:color="auto"/>
              <w:left w:val="single" w:sz="4" w:space="0" w:color="auto"/>
              <w:bottom w:val="single" w:sz="4" w:space="0" w:color="auto"/>
              <w:right w:val="single" w:sz="4" w:space="0" w:color="auto"/>
            </w:tcBorders>
          </w:tcPr>
          <w:p w14:paraId="41F2C8A6" w14:textId="77777777" w:rsidR="00A048CB" w:rsidRPr="004360BF" w:rsidRDefault="00A048CB" w:rsidP="00D732C1">
            <w:pPr>
              <w:keepNext/>
              <w:spacing w:before="40" w:after="40"/>
              <w:rPr>
                <w:rFonts w:cs="Tahoma"/>
                <w:sz w:val="22"/>
                <w:szCs w:val="22"/>
                <w:lang w:val="en-AU"/>
              </w:rPr>
            </w:pPr>
            <w:r w:rsidRPr="004360BF">
              <w:rPr>
                <w:sz w:val="22"/>
                <w:szCs w:val="22"/>
                <w:lang w:val="en-AU"/>
              </w:rPr>
              <w:t>First 50 kVA per month</w:t>
            </w:r>
          </w:p>
        </w:tc>
        <w:tc>
          <w:tcPr>
            <w:tcW w:w="1278" w:type="dxa"/>
            <w:tcBorders>
              <w:top w:val="single" w:sz="4" w:space="0" w:color="auto"/>
              <w:left w:val="single" w:sz="4" w:space="0" w:color="auto"/>
              <w:bottom w:val="single" w:sz="4" w:space="0" w:color="auto"/>
              <w:right w:val="single" w:sz="4" w:space="0" w:color="auto"/>
            </w:tcBorders>
          </w:tcPr>
          <w:p w14:paraId="1A0858DB" w14:textId="77777777" w:rsidR="00A048CB" w:rsidRPr="0072554D" w:rsidRDefault="00A048CB" w:rsidP="00D732C1">
            <w:pPr>
              <w:keepNext/>
              <w:spacing w:before="40" w:after="40"/>
              <w:jc w:val="right"/>
              <w:rPr>
                <w:sz w:val="22"/>
                <w:szCs w:val="22"/>
                <w:lang w:val="en-AU"/>
              </w:rPr>
            </w:pPr>
            <w:r w:rsidRPr="004360BF">
              <w:rPr>
                <w:sz w:val="22"/>
                <w:szCs w:val="22"/>
                <w:lang w:val="en-AU"/>
              </w:rPr>
              <w:t>2.557</w:t>
            </w:r>
          </w:p>
        </w:tc>
        <w:tc>
          <w:tcPr>
            <w:tcW w:w="1227" w:type="dxa"/>
            <w:tcBorders>
              <w:top w:val="single" w:sz="4" w:space="0" w:color="auto"/>
              <w:left w:val="single" w:sz="4" w:space="0" w:color="auto"/>
              <w:bottom w:val="single" w:sz="4" w:space="0" w:color="auto"/>
              <w:right w:val="single" w:sz="4" w:space="0" w:color="auto"/>
            </w:tcBorders>
          </w:tcPr>
          <w:p w14:paraId="4D458726" w14:textId="2F127D19" w:rsidR="00A048CB" w:rsidRPr="004360BF" w:rsidRDefault="00A048CB" w:rsidP="00D732C1">
            <w:pPr>
              <w:keepNext/>
              <w:spacing w:before="40" w:after="40"/>
              <w:jc w:val="right"/>
              <w:rPr>
                <w:sz w:val="22"/>
                <w:szCs w:val="22"/>
                <w:lang w:val="en-AU"/>
              </w:rPr>
            </w:pPr>
            <w:r w:rsidRPr="00626B7C">
              <w:rPr>
                <w:sz w:val="22"/>
                <w:szCs w:val="22"/>
                <w:lang w:val="en-AU"/>
              </w:rPr>
              <w:t>2.608</w:t>
            </w:r>
          </w:p>
        </w:tc>
        <w:tc>
          <w:tcPr>
            <w:tcW w:w="1227" w:type="dxa"/>
            <w:tcBorders>
              <w:top w:val="single" w:sz="4" w:space="0" w:color="auto"/>
              <w:left w:val="single" w:sz="4" w:space="0" w:color="auto"/>
              <w:bottom w:val="single" w:sz="4" w:space="0" w:color="auto"/>
              <w:right w:val="single" w:sz="4" w:space="0" w:color="auto"/>
            </w:tcBorders>
          </w:tcPr>
          <w:p w14:paraId="7F5EA27B" w14:textId="7355F149" w:rsidR="00A048CB" w:rsidRPr="004360BF" w:rsidRDefault="00A048CB" w:rsidP="00D732C1">
            <w:pPr>
              <w:keepNext/>
              <w:spacing w:before="40" w:after="40"/>
              <w:jc w:val="right"/>
              <w:rPr>
                <w:sz w:val="22"/>
                <w:szCs w:val="22"/>
                <w:lang w:val="en-AU"/>
              </w:rPr>
            </w:pPr>
            <w:r w:rsidRPr="00626B7C">
              <w:rPr>
                <w:sz w:val="22"/>
                <w:szCs w:val="22"/>
                <w:lang w:val="en-AU"/>
              </w:rPr>
              <w:t>2.0%</w:t>
            </w:r>
          </w:p>
        </w:tc>
      </w:tr>
      <w:tr w:rsidR="00A048CB" w:rsidRPr="004360BF" w14:paraId="3049B6F8" w14:textId="77777777" w:rsidTr="00375E68">
        <w:tc>
          <w:tcPr>
            <w:tcW w:w="4820" w:type="dxa"/>
            <w:tcBorders>
              <w:top w:val="single" w:sz="4" w:space="0" w:color="auto"/>
              <w:left w:val="single" w:sz="4" w:space="0" w:color="auto"/>
              <w:bottom w:val="single" w:sz="4" w:space="0" w:color="auto"/>
              <w:right w:val="single" w:sz="4" w:space="0" w:color="auto"/>
            </w:tcBorders>
          </w:tcPr>
          <w:p w14:paraId="59E10026" w14:textId="77777777" w:rsidR="00A048CB" w:rsidRPr="004360BF" w:rsidRDefault="00A048CB" w:rsidP="00D732C1">
            <w:pPr>
              <w:keepNext/>
              <w:spacing w:before="40" w:after="40"/>
              <w:rPr>
                <w:rFonts w:cs="Tahoma"/>
                <w:sz w:val="22"/>
                <w:szCs w:val="22"/>
                <w:lang w:val="en-AU"/>
              </w:rPr>
            </w:pPr>
            <w:r w:rsidRPr="004360BF">
              <w:rPr>
                <w:sz w:val="22"/>
                <w:szCs w:val="22"/>
                <w:lang w:val="en-AU"/>
              </w:rPr>
              <w:t>Next 100 kVA per month</w:t>
            </w:r>
          </w:p>
        </w:tc>
        <w:tc>
          <w:tcPr>
            <w:tcW w:w="1278" w:type="dxa"/>
            <w:tcBorders>
              <w:top w:val="single" w:sz="4" w:space="0" w:color="auto"/>
              <w:left w:val="single" w:sz="4" w:space="0" w:color="auto"/>
              <w:bottom w:val="single" w:sz="4" w:space="0" w:color="auto"/>
              <w:right w:val="single" w:sz="4" w:space="0" w:color="auto"/>
            </w:tcBorders>
          </w:tcPr>
          <w:p w14:paraId="27CF94F0" w14:textId="77777777" w:rsidR="00A048CB" w:rsidRPr="0072554D" w:rsidRDefault="00A048CB" w:rsidP="00D732C1">
            <w:pPr>
              <w:keepNext/>
              <w:spacing w:before="40" w:after="40"/>
              <w:jc w:val="right"/>
              <w:rPr>
                <w:sz w:val="22"/>
                <w:szCs w:val="22"/>
                <w:lang w:val="en-AU"/>
              </w:rPr>
            </w:pPr>
            <w:r w:rsidRPr="004360BF">
              <w:rPr>
                <w:sz w:val="22"/>
                <w:szCs w:val="22"/>
                <w:lang w:val="en-AU"/>
              </w:rPr>
              <w:t>2.294</w:t>
            </w:r>
          </w:p>
        </w:tc>
        <w:tc>
          <w:tcPr>
            <w:tcW w:w="1227" w:type="dxa"/>
            <w:tcBorders>
              <w:top w:val="single" w:sz="4" w:space="0" w:color="auto"/>
              <w:left w:val="single" w:sz="4" w:space="0" w:color="auto"/>
              <w:bottom w:val="single" w:sz="4" w:space="0" w:color="auto"/>
              <w:right w:val="single" w:sz="4" w:space="0" w:color="auto"/>
            </w:tcBorders>
          </w:tcPr>
          <w:p w14:paraId="61917A93" w14:textId="24665601" w:rsidR="00A048CB" w:rsidRPr="004360BF" w:rsidRDefault="00A048CB" w:rsidP="00D732C1">
            <w:pPr>
              <w:keepNext/>
              <w:spacing w:before="40" w:after="40"/>
              <w:jc w:val="right"/>
              <w:rPr>
                <w:sz w:val="22"/>
                <w:szCs w:val="22"/>
                <w:lang w:val="en-AU"/>
              </w:rPr>
            </w:pPr>
            <w:r w:rsidRPr="00626B7C">
              <w:rPr>
                <w:sz w:val="22"/>
                <w:szCs w:val="22"/>
                <w:lang w:val="en-AU"/>
              </w:rPr>
              <w:t>2.608</w:t>
            </w:r>
          </w:p>
        </w:tc>
        <w:tc>
          <w:tcPr>
            <w:tcW w:w="1227" w:type="dxa"/>
            <w:tcBorders>
              <w:top w:val="single" w:sz="4" w:space="0" w:color="auto"/>
              <w:left w:val="single" w:sz="4" w:space="0" w:color="auto"/>
              <w:bottom w:val="single" w:sz="4" w:space="0" w:color="auto"/>
              <w:right w:val="single" w:sz="4" w:space="0" w:color="auto"/>
            </w:tcBorders>
          </w:tcPr>
          <w:p w14:paraId="25184CDE" w14:textId="4316691E" w:rsidR="00A048CB" w:rsidRPr="004360BF" w:rsidRDefault="00A048CB" w:rsidP="00D732C1">
            <w:pPr>
              <w:keepNext/>
              <w:spacing w:before="40" w:after="40"/>
              <w:jc w:val="right"/>
              <w:rPr>
                <w:sz w:val="22"/>
                <w:szCs w:val="22"/>
                <w:lang w:val="en-AU"/>
              </w:rPr>
            </w:pPr>
            <w:r w:rsidRPr="00626B7C">
              <w:rPr>
                <w:sz w:val="22"/>
                <w:szCs w:val="22"/>
                <w:lang w:val="en-AU"/>
              </w:rPr>
              <w:t>13.7%</w:t>
            </w:r>
          </w:p>
        </w:tc>
      </w:tr>
      <w:tr w:rsidR="00A048CB" w:rsidRPr="004360BF" w14:paraId="69C11E1F" w14:textId="77777777" w:rsidTr="00375E68">
        <w:tc>
          <w:tcPr>
            <w:tcW w:w="4820" w:type="dxa"/>
            <w:tcBorders>
              <w:top w:val="single" w:sz="4" w:space="0" w:color="auto"/>
              <w:left w:val="single" w:sz="4" w:space="0" w:color="auto"/>
              <w:bottom w:val="single" w:sz="4" w:space="0" w:color="auto"/>
              <w:right w:val="single" w:sz="4" w:space="0" w:color="auto"/>
            </w:tcBorders>
          </w:tcPr>
          <w:p w14:paraId="16FD052A" w14:textId="77777777" w:rsidR="00A048CB" w:rsidRPr="004360BF" w:rsidRDefault="00A048CB" w:rsidP="00D732C1">
            <w:pPr>
              <w:keepNext/>
              <w:spacing w:before="40" w:after="40"/>
              <w:rPr>
                <w:rFonts w:cs="Tahoma"/>
                <w:sz w:val="22"/>
                <w:szCs w:val="22"/>
                <w:lang w:val="en-AU"/>
              </w:rPr>
            </w:pPr>
            <w:r w:rsidRPr="004360BF">
              <w:rPr>
                <w:sz w:val="22"/>
                <w:szCs w:val="22"/>
                <w:lang w:val="en-AU"/>
              </w:rPr>
              <w:t>Next 300 kVA per month</w:t>
            </w:r>
          </w:p>
        </w:tc>
        <w:tc>
          <w:tcPr>
            <w:tcW w:w="1278" w:type="dxa"/>
            <w:tcBorders>
              <w:top w:val="single" w:sz="4" w:space="0" w:color="auto"/>
              <w:left w:val="single" w:sz="4" w:space="0" w:color="auto"/>
              <w:bottom w:val="single" w:sz="4" w:space="0" w:color="auto"/>
              <w:right w:val="single" w:sz="4" w:space="0" w:color="auto"/>
            </w:tcBorders>
          </w:tcPr>
          <w:p w14:paraId="03BBD129" w14:textId="77777777" w:rsidR="00A048CB" w:rsidRPr="0072554D" w:rsidRDefault="00A048CB" w:rsidP="00D732C1">
            <w:pPr>
              <w:keepNext/>
              <w:spacing w:before="40" w:after="40"/>
              <w:jc w:val="right"/>
              <w:rPr>
                <w:sz w:val="22"/>
                <w:szCs w:val="22"/>
                <w:lang w:val="en-AU"/>
              </w:rPr>
            </w:pPr>
            <w:r w:rsidRPr="004360BF">
              <w:rPr>
                <w:sz w:val="22"/>
                <w:szCs w:val="22"/>
                <w:lang w:val="en-AU"/>
              </w:rPr>
              <w:t>1.775</w:t>
            </w:r>
          </w:p>
        </w:tc>
        <w:tc>
          <w:tcPr>
            <w:tcW w:w="1227" w:type="dxa"/>
            <w:tcBorders>
              <w:top w:val="single" w:sz="4" w:space="0" w:color="auto"/>
              <w:left w:val="single" w:sz="4" w:space="0" w:color="auto"/>
              <w:bottom w:val="single" w:sz="4" w:space="0" w:color="auto"/>
              <w:right w:val="single" w:sz="4" w:space="0" w:color="auto"/>
            </w:tcBorders>
          </w:tcPr>
          <w:p w14:paraId="5753CE83" w14:textId="3F1F0742" w:rsidR="00A048CB" w:rsidRPr="004360BF" w:rsidRDefault="00A048CB" w:rsidP="00D732C1">
            <w:pPr>
              <w:keepNext/>
              <w:spacing w:before="40" w:after="40"/>
              <w:jc w:val="right"/>
              <w:rPr>
                <w:sz w:val="22"/>
                <w:szCs w:val="22"/>
                <w:lang w:val="en-AU"/>
              </w:rPr>
            </w:pPr>
            <w:r w:rsidRPr="00626B7C">
              <w:rPr>
                <w:sz w:val="22"/>
                <w:szCs w:val="22"/>
                <w:lang w:val="en-AU"/>
              </w:rPr>
              <w:t>2.004</w:t>
            </w:r>
          </w:p>
        </w:tc>
        <w:tc>
          <w:tcPr>
            <w:tcW w:w="1227" w:type="dxa"/>
            <w:tcBorders>
              <w:top w:val="single" w:sz="4" w:space="0" w:color="auto"/>
              <w:left w:val="single" w:sz="4" w:space="0" w:color="auto"/>
              <w:bottom w:val="single" w:sz="4" w:space="0" w:color="auto"/>
              <w:right w:val="single" w:sz="4" w:space="0" w:color="auto"/>
            </w:tcBorders>
          </w:tcPr>
          <w:p w14:paraId="45264F68" w14:textId="4DCB7771" w:rsidR="00A048CB" w:rsidRPr="004360BF" w:rsidRDefault="00A048CB" w:rsidP="00D732C1">
            <w:pPr>
              <w:keepNext/>
              <w:spacing w:before="40" w:after="40"/>
              <w:jc w:val="right"/>
              <w:rPr>
                <w:sz w:val="22"/>
                <w:szCs w:val="22"/>
                <w:lang w:val="en-AU"/>
              </w:rPr>
            </w:pPr>
            <w:r w:rsidRPr="00626B7C">
              <w:rPr>
                <w:sz w:val="22"/>
                <w:szCs w:val="22"/>
                <w:lang w:val="en-AU"/>
              </w:rPr>
              <w:t>12.9%</w:t>
            </w:r>
          </w:p>
        </w:tc>
      </w:tr>
      <w:tr w:rsidR="00A048CB" w:rsidRPr="004360BF" w14:paraId="09B017D2" w14:textId="77777777" w:rsidTr="00375E68">
        <w:tc>
          <w:tcPr>
            <w:tcW w:w="4820" w:type="dxa"/>
            <w:tcBorders>
              <w:top w:val="single" w:sz="4" w:space="0" w:color="auto"/>
              <w:left w:val="single" w:sz="4" w:space="0" w:color="auto"/>
              <w:bottom w:val="single" w:sz="4" w:space="0" w:color="auto"/>
              <w:right w:val="single" w:sz="4" w:space="0" w:color="auto"/>
            </w:tcBorders>
          </w:tcPr>
          <w:p w14:paraId="30AD8732" w14:textId="77777777" w:rsidR="00A048CB" w:rsidRPr="004360BF" w:rsidRDefault="00A048CB" w:rsidP="00D732C1">
            <w:pPr>
              <w:keepNext/>
              <w:spacing w:before="40" w:after="40"/>
              <w:rPr>
                <w:sz w:val="22"/>
                <w:szCs w:val="22"/>
                <w:lang w:val="en-AU"/>
              </w:rPr>
            </w:pPr>
            <w:r w:rsidRPr="004360BF">
              <w:rPr>
                <w:sz w:val="22"/>
                <w:szCs w:val="22"/>
                <w:lang w:val="en-AU"/>
              </w:rPr>
              <w:t>Next 500 kVA per month</w:t>
            </w:r>
          </w:p>
        </w:tc>
        <w:tc>
          <w:tcPr>
            <w:tcW w:w="1278" w:type="dxa"/>
            <w:tcBorders>
              <w:top w:val="single" w:sz="4" w:space="0" w:color="auto"/>
              <w:left w:val="single" w:sz="4" w:space="0" w:color="auto"/>
              <w:bottom w:val="single" w:sz="4" w:space="0" w:color="auto"/>
              <w:right w:val="single" w:sz="4" w:space="0" w:color="auto"/>
            </w:tcBorders>
          </w:tcPr>
          <w:p w14:paraId="0C284D47" w14:textId="77777777" w:rsidR="00A048CB" w:rsidRPr="004360BF" w:rsidRDefault="00A048CB" w:rsidP="00D732C1">
            <w:pPr>
              <w:keepNext/>
              <w:spacing w:before="40" w:after="40"/>
              <w:jc w:val="right"/>
              <w:rPr>
                <w:sz w:val="22"/>
                <w:szCs w:val="22"/>
                <w:lang w:val="en-AU"/>
              </w:rPr>
            </w:pPr>
            <w:r w:rsidRPr="004360BF">
              <w:rPr>
                <w:sz w:val="22"/>
                <w:szCs w:val="22"/>
                <w:lang w:val="en-AU"/>
              </w:rPr>
              <w:t>1.775</w:t>
            </w:r>
          </w:p>
        </w:tc>
        <w:tc>
          <w:tcPr>
            <w:tcW w:w="1227" w:type="dxa"/>
            <w:tcBorders>
              <w:top w:val="single" w:sz="4" w:space="0" w:color="auto"/>
              <w:left w:val="single" w:sz="4" w:space="0" w:color="auto"/>
              <w:bottom w:val="single" w:sz="4" w:space="0" w:color="auto"/>
              <w:right w:val="single" w:sz="4" w:space="0" w:color="auto"/>
            </w:tcBorders>
          </w:tcPr>
          <w:p w14:paraId="0129548B" w14:textId="04FE34D7" w:rsidR="00A048CB" w:rsidRPr="004360BF" w:rsidRDefault="00A048CB" w:rsidP="00D732C1">
            <w:pPr>
              <w:keepNext/>
              <w:spacing w:before="40" w:after="40"/>
              <w:jc w:val="right"/>
              <w:rPr>
                <w:sz w:val="22"/>
                <w:szCs w:val="22"/>
                <w:lang w:val="en-AU"/>
              </w:rPr>
            </w:pPr>
            <w:r w:rsidRPr="00626B7C">
              <w:rPr>
                <w:sz w:val="22"/>
                <w:szCs w:val="22"/>
                <w:lang w:val="en-AU"/>
              </w:rPr>
              <w:t>2.004</w:t>
            </w:r>
          </w:p>
        </w:tc>
        <w:tc>
          <w:tcPr>
            <w:tcW w:w="1227" w:type="dxa"/>
            <w:tcBorders>
              <w:top w:val="single" w:sz="4" w:space="0" w:color="auto"/>
              <w:left w:val="single" w:sz="4" w:space="0" w:color="auto"/>
              <w:bottom w:val="single" w:sz="4" w:space="0" w:color="auto"/>
              <w:right w:val="single" w:sz="4" w:space="0" w:color="auto"/>
            </w:tcBorders>
          </w:tcPr>
          <w:p w14:paraId="299D115E" w14:textId="11B21833" w:rsidR="00A048CB" w:rsidRPr="004360BF" w:rsidRDefault="00A048CB" w:rsidP="00D732C1">
            <w:pPr>
              <w:keepNext/>
              <w:spacing w:before="40" w:after="40"/>
              <w:jc w:val="right"/>
              <w:rPr>
                <w:sz w:val="22"/>
                <w:szCs w:val="22"/>
                <w:lang w:val="en-AU"/>
              </w:rPr>
            </w:pPr>
            <w:r w:rsidRPr="00626B7C">
              <w:rPr>
                <w:sz w:val="22"/>
                <w:szCs w:val="22"/>
                <w:lang w:val="en-AU"/>
              </w:rPr>
              <w:t>12.9%</w:t>
            </w:r>
          </w:p>
        </w:tc>
      </w:tr>
      <w:tr w:rsidR="00A048CB" w:rsidRPr="004360BF" w14:paraId="5A647CE1" w14:textId="77777777" w:rsidTr="00375E68">
        <w:tc>
          <w:tcPr>
            <w:tcW w:w="4820" w:type="dxa"/>
            <w:tcBorders>
              <w:top w:val="single" w:sz="4" w:space="0" w:color="auto"/>
              <w:left w:val="single" w:sz="4" w:space="0" w:color="auto"/>
              <w:bottom w:val="single" w:sz="4" w:space="0" w:color="auto"/>
              <w:right w:val="single" w:sz="4" w:space="0" w:color="auto"/>
            </w:tcBorders>
          </w:tcPr>
          <w:p w14:paraId="438E9C02" w14:textId="77777777" w:rsidR="00A048CB" w:rsidRPr="004360BF" w:rsidRDefault="00A048CB" w:rsidP="00D732C1">
            <w:pPr>
              <w:keepNext/>
              <w:spacing w:before="40" w:after="40"/>
              <w:rPr>
                <w:sz w:val="22"/>
                <w:szCs w:val="22"/>
                <w:lang w:val="en-AU"/>
              </w:rPr>
            </w:pPr>
            <w:r w:rsidRPr="004360BF">
              <w:rPr>
                <w:sz w:val="22"/>
                <w:szCs w:val="22"/>
                <w:lang w:val="en-AU"/>
              </w:rPr>
              <w:t>Any further kVA per month</w:t>
            </w:r>
          </w:p>
        </w:tc>
        <w:tc>
          <w:tcPr>
            <w:tcW w:w="1278" w:type="dxa"/>
            <w:tcBorders>
              <w:top w:val="single" w:sz="4" w:space="0" w:color="auto"/>
              <w:left w:val="single" w:sz="4" w:space="0" w:color="auto"/>
              <w:bottom w:val="single" w:sz="4" w:space="0" w:color="auto"/>
              <w:right w:val="single" w:sz="4" w:space="0" w:color="auto"/>
            </w:tcBorders>
          </w:tcPr>
          <w:p w14:paraId="5103CA36" w14:textId="77777777" w:rsidR="00A048CB" w:rsidRPr="004360BF" w:rsidRDefault="00A048CB" w:rsidP="00D732C1">
            <w:pPr>
              <w:keepNext/>
              <w:spacing w:before="40" w:after="40"/>
              <w:jc w:val="right"/>
              <w:rPr>
                <w:sz w:val="22"/>
                <w:szCs w:val="22"/>
                <w:lang w:val="en-AU"/>
              </w:rPr>
            </w:pPr>
            <w:r w:rsidRPr="004360BF">
              <w:rPr>
                <w:sz w:val="22"/>
                <w:szCs w:val="22"/>
                <w:lang w:val="en-AU"/>
              </w:rPr>
              <w:t>1.337</w:t>
            </w:r>
          </w:p>
        </w:tc>
        <w:tc>
          <w:tcPr>
            <w:tcW w:w="1227" w:type="dxa"/>
            <w:tcBorders>
              <w:top w:val="single" w:sz="4" w:space="0" w:color="auto"/>
              <w:left w:val="single" w:sz="4" w:space="0" w:color="auto"/>
              <w:bottom w:val="single" w:sz="4" w:space="0" w:color="auto"/>
              <w:right w:val="single" w:sz="4" w:space="0" w:color="auto"/>
            </w:tcBorders>
          </w:tcPr>
          <w:p w14:paraId="197154BC" w14:textId="273DD2BB" w:rsidR="00A048CB" w:rsidRPr="004360BF" w:rsidRDefault="00A048CB" w:rsidP="00D732C1">
            <w:pPr>
              <w:keepNext/>
              <w:spacing w:before="40" w:after="40"/>
              <w:jc w:val="right"/>
              <w:rPr>
                <w:sz w:val="22"/>
                <w:szCs w:val="22"/>
                <w:lang w:val="en-AU"/>
              </w:rPr>
            </w:pPr>
            <w:r w:rsidRPr="00626B7C">
              <w:rPr>
                <w:sz w:val="22"/>
                <w:szCs w:val="22"/>
                <w:lang w:val="en-AU"/>
              </w:rPr>
              <w:t>1.577</w:t>
            </w:r>
          </w:p>
        </w:tc>
        <w:tc>
          <w:tcPr>
            <w:tcW w:w="1227" w:type="dxa"/>
            <w:tcBorders>
              <w:top w:val="single" w:sz="4" w:space="0" w:color="auto"/>
              <w:left w:val="single" w:sz="4" w:space="0" w:color="auto"/>
              <w:bottom w:val="single" w:sz="4" w:space="0" w:color="auto"/>
              <w:right w:val="single" w:sz="4" w:space="0" w:color="auto"/>
            </w:tcBorders>
          </w:tcPr>
          <w:p w14:paraId="2BCC5EFB" w14:textId="78571073" w:rsidR="00A048CB" w:rsidRPr="004360BF" w:rsidRDefault="00A048CB" w:rsidP="00D732C1">
            <w:pPr>
              <w:keepNext/>
              <w:spacing w:before="40" w:after="40"/>
              <w:jc w:val="right"/>
              <w:rPr>
                <w:sz w:val="22"/>
                <w:szCs w:val="22"/>
                <w:lang w:val="en-AU"/>
              </w:rPr>
            </w:pPr>
            <w:r w:rsidRPr="00626B7C">
              <w:rPr>
                <w:sz w:val="22"/>
                <w:szCs w:val="22"/>
                <w:lang w:val="en-AU"/>
              </w:rPr>
              <w:t>18.0%</w:t>
            </w:r>
          </w:p>
        </w:tc>
      </w:tr>
    </w:tbl>
    <w:p w14:paraId="5C179855" w14:textId="77777777" w:rsidR="006D0DFC" w:rsidRPr="004360BF" w:rsidRDefault="006D0DFC" w:rsidP="008145B7">
      <w:pPr>
        <w:rPr>
          <w:lang w:val="en-AU"/>
        </w:rPr>
      </w:pPr>
    </w:p>
    <w:p w14:paraId="103BD17E" w14:textId="77777777" w:rsidR="006D0DFC" w:rsidRPr="004360BF" w:rsidRDefault="003914F2" w:rsidP="00EE7AA1">
      <w:pPr>
        <w:pStyle w:val="Heading3"/>
      </w:pPr>
      <w:bookmarkStart w:id="383" w:name="_Ref240536708"/>
      <w:bookmarkStart w:id="384" w:name="_Toc417291771"/>
      <w:bookmarkStart w:id="385" w:name="_Toc417292539"/>
      <w:bookmarkStart w:id="386" w:name="_Toc291262259"/>
      <w:r w:rsidRPr="004360BF">
        <w:lastRenderedPageBreak/>
        <w:t xml:space="preserve">&gt;750 </w:t>
      </w:r>
      <w:proofErr w:type="spellStart"/>
      <w:r w:rsidRPr="004360BF">
        <w:t>MWh</w:t>
      </w:r>
      <w:proofErr w:type="spellEnd"/>
      <w:r w:rsidRPr="004360BF">
        <w:t xml:space="preserve"> pa </w:t>
      </w:r>
      <w:r w:rsidR="006D0DFC" w:rsidRPr="004360BF">
        <w:t>Commercial High Voltage tariff in 2014/15</w:t>
      </w:r>
      <w:bookmarkEnd w:id="383"/>
      <w:bookmarkEnd w:id="384"/>
      <w:bookmarkEnd w:id="385"/>
      <w:bookmarkEnd w:id="386"/>
    </w:p>
    <w:p w14:paraId="61E095BB" w14:textId="2B55418F" w:rsidR="006D0DFC" w:rsidRPr="004360BF" w:rsidRDefault="006D0DFC" w:rsidP="009B3257">
      <w:pPr>
        <w:keepNext/>
        <w:rPr>
          <w:lang w:val="en-AU"/>
        </w:rPr>
      </w:pPr>
      <w:r w:rsidRPr="004360BF">
        <w:rPr>
          <w:lang w:val="en-AU"/>
        </w:rPr>
        <w:t xml:space="preserve">The proposed tariff for </w:t>
      </w:r>
      <w:r w:rsidR="00B87B8D" w:rsidRPr="004360BF">
        <w:rPr>
          <w:lang w:val="en-AU"/>
        </w:rPr>
        <w:t>h</w:t>
      </w:r>
      <w:r w:rsidRPr="004360BF">
        <w:rPr>
          <w:lang w:val="en-AU"/>
        </w:rPr>
        <w:t xml:space="preserve">igh </w:t>
      </w:r>
      <w:r w:rsidR="00B87B8D" w:rsidRPr="004360BF">
        <w:rPr>
          <w:lang w:val="en-AU"/>
        </w:rPr>
        <w:t>v</w:t>
      </w:r>
      <w:r w:rsidRPr="004360BF">
        <w:rPr>
          <w:lang w:val="en-AU"/>
        </w:rPr>
        <w:t xml:space="preserve">oltage connected </w:t>
      </w:r>
      <w:r w:rsidR="003914F2" w:rsidRPr="004360BF">
        <w:rPr>
          <w:lang w:val="en-AU"/>
        </w:rPr>
        <w:t xml:space="preserve">commercial </w:t>
      </w:r>
      <w:r w:rsidRPr="004360BF">
        <w:rPr>
          <w:lang w:val="en-AU"/>
        </w:rPr>
        <w:t xml:space="preserve">customers </w:t>
      </w:r>
      <w:r w:rsidR="003914F2" w:rsidRPr="004360BF">
        <w:rPr>
          <w:lang w:val="en-AU"/>
        </w:rPr>
        <w:t>with consumption of more than 750 </w:t>
      </w:r>
      <w:proofErr w:type="spellStart"/>
      <w:r w:rsidR="003914F2" w:rsidRPr="004360BF">
        <w:rPr>
          <w:lang w:val="en-AU"/>
        </w:rPr>
        <w:t>MWh</w:t>
      </w:r>
      <w:proofErr w:type="spellEnd"/>
      <w:r w:rsidR="003914F2" w:rsidRPr="004360BF">
        <w:rPr>
          <w:lang w:val="en-AU"/>
        </w:rPr>
        <w:t xml:space="preserve"> per annum </w:t>
      </w:r>
      <w:r w:rsidRPr="004360BF">
        <w:rPr>
          <w:lang w:val="en-AU"/>
        </w:rPr>
        <w:t>in 201</w:t>
      </w:r>
      <w:r w:rsidR="00834FE9" w:rsidRPr="004360BF">
        <w:rPr>
          <w:lang w:val="en-AU"/>
        </w:rPr>
        <w:t>5</w:t>
      </w:r>
      <w:r w:rsidRPr="004360BF">
        <w:rPr>
          <w:lang w:val="en-AU"/>
        </w:rPr>
        <w:t>/1</w:t>
      </w:r>
      <w:r w:rsidR="00834FE9" w:rsidRPr="004360BF">
        <w:rPr>
          <w:lang w:val="en-AU"/>
        </w:rPr>
        <w:t>6</w:t>
      </w:r>
      <w:r w:rsidRPr="004360BF">
        <w:rPr>
          <w:lang w:val="en-AU"/>
        </w:rPr>
        <w:t xml:space="preserve"> is shown in </w:t>
      </w:r>
      <w:r w:rsidR="0036456E" w:rsidRPr="004360BF">
        <w:rPr>
          <w:lang w:val="en-AU"/>
        </w:rPr>
        <w:fldChar w:fldCharType="begin"/>
      </w:r>
      <w:r w:rsidR="0036456E" w:rsidRPr="004360BF">
        <w:rPr>
          <w:lang w:val="en-AU"/>
        </w:rPr>
        <w:instrText xml:space="preserve"> REF _Ref240536491 \h </w:instrText>
      </w:r>
      <w:r w:rsidR="0036456E" w:rsidRPr="004360BF">
        <w:rPr>
          <w:lang w:val="en-AU"/>
        </w:rPr>
      </w:r>
      <w:r w:rsidR="0036456E" w:rsidRPr="004360BF">
        <w:rPr>
          <w:lang w:val="en-AU"/>
        </w:rPr>
        <w:fldChar w:fldCharType="separate"/>
      </w:r>
      <w:r w:rsidR="008D3215" w:rsidRPr="004360BF">
        <w:rPr>
          <w:lang w:val="en-AU"/>
        </w:rPr>
        <w:t xml:space="preserve">Table </w:t>
      </w:r>
      <w:r w:rsidR="008D3215">
        <w:rPr>
          <w:noProof/>
          <w:lang w:val="en-AU"/>
        </w:rPr>
        <w:t>15</w:t>
      </w:r>
      <w:r w:rsidR="0036456E" w:rsidRPr="004360BF">
        <w:rPr>
          <w:lang w:val="en-AU"/>
        </w:rPr>
        <w:fldChar w:fldCharType="end"/>
      </w:r>
      <w:r w:rsidRPr="004360BF">
        <w:rPr>
          <w:lang w:val="en-AU"/>
        </w:rPr>
        <w:t xml:space="preserve">, with the change in each charging </w:t>
      </w:r>
      <w:r w:rsidR="00112A4E" w:rsidRPr="004360BF">
        <w:rPr>
          <w:lang w:val="en-AU"/>
        </w:rPr>
        <w:t>parameter</w:t>
      </w:r>
      <w:r w:rsidRPr="004360BF">
        <w:rPr>
          <w:lang w:val="en-AU"/>
        </w:rPr>
        <w:t xml:space="preserve"> from 201</w:t>
      </w:r>
      <w:r w:rsidR="00477205" w:rsidRPr="004360BF">
        <w:rPr>
          <w:lang w:val="en-AU"/>
        </w:rPr>
        <w:t>4</w:t>
      </w:r>
      <w:r w:rsidRPr="004360BF">
        <w:rPr>
          <w:lang w:val="en-AU"/>
        </w:rPr>
        <w:t>/1</w:t>
      </w:r>
      <w:r w:rsidR="00477205" w:rsidRPr="004360BF">
        <w:rPr>
          <w:lang w:val="en-AU"/>
        </w:rPr>
        <w:t>5</w:t>
      </w:r>
      <w:r w:rsidRPr="004360BF">
        <w:rPr>
          <w:lang w:val="en-AU"/>
        </w:rPr>
        <w:t>.</w:t>
      </w:r>
    </w:p>
    <w:p w14:paraId="7FDD014B" w14:textId="77777777" w:rsidR="006D0DFC" w:rsidRPr="004360BF" w:rsidRDefault="006D0DFC" w:rsidP="009B3257">
      <w:pPr>
        <w:pStyle w:val="Caption"/>
        <w:rPr>
          <w:lang w:val="en-AU"/>
        </w:rPr>
      </w:pPr>
      <w:bookmarkStart w:id="387" w:name="_Ref240536491"/>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15</w:t>
      </w:r>
      <w:r w:rsidR="00517DD9" w:rsidRPr="004360BF">
        <w:rPr>
          <w:lang w:val="en-AU"/>
        </w:rPr>
        <w:fldChar w:fldCharType="end"/>
      </w:r>
      <w:bookmarkEnd w:id="387"/>
      <w:r w:rsidRPr="004360BF">
        <w:rPr>
          <w:lang w:val="en-AU"/>
        </w:rPr>
        <w:t xml:space="preserve"> – </w:t>
      </w:r>
      <w:r w:rsidR="003914F2" w:rsidRPr="004360BF">
        <w:rPr>
          <w:lang w:val="en-AU"/>
        </w:rPr>
        <w:t xml:space="preserve">&gt;750 </w:t>
      </w:r>
      <w:proofErr w:type="spellStart"/>
      <w:r w:rsidR="003914F2" w:rsidRPr="004360BF">
        <w:rPr>
          <w:lang w:val="en-AU"/>
        </w:rPr>
        <w:t>MWh</w:t>
      </w:r>
      <w:proofErr w:type="spellEnd"/>
      <w:r w:rsidR="003914F2" w:rsidRPr="004360BF">
        <w:rPr>
          <w:lang w:val="en-AU"/>
        </w:rPr>
        <w:t xml:space="preserve"> pa </w:t>
      </w:r>
      <w:r w:rsidRPr="004360BF">
        <w:rPr>
          <w:lang w:val="en-AU"/>
        </w:rPr>
        <w:t>Comm</w:t>
      </w:r>
      <w:r w:rsidR="00EA6D6E" w:rsidRPr="004360BF">
        <w:rPr>
          <w:lang w:val="en-AU"/>
        </w:rPr>
        <w:t>ercial HV tariff in 201</w:t>
      </w:r>
      <w:r w:rsidR="00834FE9" w:rsidRPr="004360BF">
        <w:rPr>
          <w:lang w:val="en-AU"/>
        </w:rPr>
        <w:t>5</w:t>
      </w:r>
      <w:r w:rsidR="00EA6D6E" w:rsidRPr="004360BF">
        <w:rPr>
          <w:lang w:val="en-AU"/>
        </w:rPr>
        <w:t>/1</w:t>
      </w:r>
      <w:r w:rsidR="00834FE9" w:rsidRPr="004360BF">
        <w:rPr>
          <w:lang w:val="en-AU"/>
        </w:rPr>
        <w:t>6</w:t>
      </w:r>
      <w:r w:rsidRPr="004360BF">
        <w:rPr>
          <w:lang w:val="en-AU"/>
        </w:rPr>
        <w:t xml:space="preserve"> (GST exclusive)</w:t>
      </w:r>
    </w:p>
    <w:tbl>
      <w:tblPr>
        <w:tblW w:w="8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1278"/>
        <w:gridCol w:w="1227"/>
        <w:gridCol w:w="1227"/>
      </w:tblGrid>
      <w:tr w:rsidR="00834FE9" w:rsidRPr="004360BF" w14:paraId="543338DC" w14:textId="77777777" w:rsidTr="00375E68">
        <w:tc>
          <w:tcPr>
            <w:tcW w:w="4820" w:type="dxa"/>
            <w:tcBorders>
              <w:top w:val="single" w:sz="4" w:space="0" w:color="auto"/>
              <w:left w:val="single" w:sz="4" w:space="0" w:color="auto"/>
              <w:bottom w:val="nil"/>
              <w:right w:val="single" w:sz="4" w:space="0" w:color="auto"/>
            </w:tcBorders>
            <w:shd w:val="solid" w:color="C6D9F1" w:fill="auto"/>
          </w:tcPr>
          <w:p w14:paraId="5C879CB2" w14:textId="77777777" w:rsidR="00834FE9" w:rsidRPr="004360BF" w:rsidRDefault="00834FE9" w:rsidP="00D732C1">
            <w:pPr>
              <w:keepNext/>
              <w:spacing w:before="40" w:after="40"/>
              <w:rPr>
                <w:b/>
                <w:sz w:val="22"/>
                <w:szCs w:val="22"/>
                <w:lang w:val="en-AU"/>
              </w:rPr>
            </w:pPr>
            <w:r w:rsidRPr="004360BF">
              <w:rPr>
                <w:b/>
                <w:sz w:val="22"/>
                <w:szCs w:val="22"/>
                <w:lang w:val="en-AU"/>
              </w:rPr>
              <w:t>Tariff charging parameter</w:t>
            </w:r>
          </w:p>
        </w:tc>
        <w:tc>
          <w:tcPr>
            <w:tcW w:w="1278" w:type="dxa"/>
            <w:tcBorders>
              <w:top w:val="single" w:sz="4" w:space="0" w:color="auto"/>
              <w:left w:val="single" w:sz="4" w:space="0" w:color="auto"/>
              <w:bottom w:val="nil"/>
              <w:right w:val="single" w:sz="4" w:space="0" w:color="auto"/>
            </w:tcBorders>
            <w:shd w:val="solid" w:color="C6D9F1" w:fill="auto"/>
          </w:tcPr>
          <w:p w14:paraId="59933BA5" w14:textId="77777777" w:rsidR="00834FE9" w:rsidRPr="004360BF" w:rsidRDefault="00834FE9" w:rsidP="00D732C1">
            <w:pPr>
              <w:keepNext/>
              <w:spacing w:before="40" w:after="40"/>
              <w:jc w:val="center"/>
              <w:rPr>
                <w:b/>
                <w:sz w:val="22"/>
                <w:szCs w:val="22"/>
                <w:lang w:val="en-AU"/>
              </w:rPr>
            </w:pPr>
            <w:r w:rsidRPr="004360BF">
              <w:rPr>
                <w:b/>
                <w:sz w:val="22"/>
                <w:szCs w:val="22"/>
                <w:lang w:val="en-AU"/>
              </w:rPr>
              <w:t>2014/15</w:t>
            </w:r>
          </w:p>
        </w:tc>
        <w:tc>
          <w:tcPr>
            <w:tcW w:w="1227" w:type="dxa"/>
            <w:tcBorders>
              <w:top w:val="single" w:sz="4" w:space="0" w:color="auto"/>
              <w:left w:val="single" w:sz="4" w:space="0" w:color="auto"/>
              <w:bottom w:val="single" w:sz="4" w:space="0" w:color="auto"/>
              <w:right w:val="single" w:sz="4" w:space="0" w:color="auto"/>
            </w:tcBorders>
            <w:shd w:val="solid" w:color="C6D9F1" w:fill="auto"/>
          </w:tcPr>
          <w:p w14:paraId="006400C3" w14:textId="77777777" w:rsidR="00834FE9" w:rsidRPr="004360BF" w:rsidRDefault="00834FE9" w:rsidP="00D732C1">
            <w:pPr>
              <w:keepNext/>
              <w:spacing w:before="40" w:after="40"/>
              <w:jc w:val="center"/>
              <w:rPr>
                <w:b/>
                <w:sz w:val="22"/>
                <w:szCs w:val="22"/>
                <w:lang w:val="en-AU"/>
              </w:rPr>
            </w:pPr>
            <w:r w:rsidRPr="004360BF">
              <w:rPr>
                <w:b/>
                <w:sz w:val="22"/>
                <w:szCs w:val="22"/>
                <w:lang w:val="en-AU"/>
              </w:rPr>
              <w:t>2015/16</w:t>
            </w:r>
          </w:p>
        </w:tc>
        <w:tc>
          <w:tcPr>
            <w:tcW w:w="1227" w:type="dxa"/>
            <w:tcBorders>
              <w:top w:val="single" w:sz="4" w:space="0" w:color="auto"/>
              <w:left w:val="single" w:sz="4" w:space="0" w:color="auto"/>
              <w:bottom w:val="single" w:sz="4" w:space="0" w:color="auto"/>
              <w:right w:val="single" w:sz="4" w:space="0" w:color="auto"/>
            </w:tcBorders>
            <w:shd w:val="solid" w:color="C6D9F1" w:fill="auto"/>
          </w:tcPr>
          <w:p w14:paraId="177DE7D3" w14:textId="77777777" w:rsidR="00834FE9" w:rsidRPr="004360BF" w:rsidRDefault="00834FE9" w:rsidP="00D732C1">
            <w:pPr>
              <w:keepNext/>
              <w:spacing w:before="40" w:after="40"/>
              <w:jc w:val="center"/>
              <w:rPr>
                <w:b/>
                <w:sz w:val="22"/>
                <w:szCs w:val="22"/>
                <w:lang w:val="en-AU"/>
              </w:rPr>
            </w:pPr>
            <w:r w:rsidRPr="004360BF">
              <w:rPr>
                <w:b/>
                <w:sz w:val="22"/>
                <w:szCs w:val="22"/>
                <w:lang w:val="en-AU"/>
              </w:rPr>
              <w:t>Price change</w:t>
            </w:r>
          </w:p>
        </w:tc>
      </w:tr>
      <w:tr w:rsidR="00A048CB" w:rsidRPr="004360BF" w14:paraId="182547F2" w14:textId="77777777" w:rsidTr="00626B7C">
        <w:tc>
          <w:tcPr>
            <w:tcW w:w="4820" w:type="dxa"/>
          </w:tcPr>
          <w:p w14:paraId="4C192266" w14:textId="77777777" w:rsidR="00A048CB" w:rsidRPr="004360BF" w:rsidRDefault="00A048CB" w:rsidP="00D732C1">
            <w:pPr>
              <w:keepNext/>
              <w:spacing w:before="40" w:after="40"/>
              <w:rPr>
                <w:rFonts w:cs="Tahoma"/>
                <w:sz w:val="22"/>
                <w:szCs w:val="22"/>
                <w:lang w:val="en-AU"/>
              </w:rPr>
            </w:pPr>
            <w:r w:rsidRPr="004360BF">
              <w:rPr>
                <w:sz w:val="22"/>
                <w:szCs w:val="22"/>
                <w:lang w:val="en-AU"/>
              </w:rPr>
              <w:t>System Availability Charge $/month</w:t>
            </w:r>
          </w:p>
        </w:tc>
        <w:tc>
          <w:tcPr>
            <w:tcW w:w="1278" w:type="dxa"/>
          </w:tcPr>
          <w:p w14:paraId="7B49843C"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772.723</w:t>
            </w:r>
          </w:p>
        </w:tc>
        <w:tc>
          <w:tcPr>
            <w:tcW w:w="1227" w:type="dxa"/>
          </w:tcPr>
          <w:p w14:paraId="4E62E230" w14:textId="09CA135F" w:rsidR="00A048CB" w:rsidRPr="004360BF" w:rsidRDefault="00A048CB" w:rsidP="00D732C1">
            <w:pPr>
              <w:keepNext/>
              <w:spacing w:before="40" w:after="40"/>
              <w:jc w:val="right"/>
              <w:rPr>
                <w:sz w:val="22"/>
                <w:szCs w:val="22"/>
                <w:lang w:val="en-AU"/>
              </w:rPr>
            </w:pPr>
            <w:r w:rsidRPr="00626B7C">
              <w:rPr>
                <w:sz w:val="22"/>
                <w:szCs w:val="22"/>
                <w:lang w:val="en-AU"/>
              </w:rPr>
              <w:t>919.963</w:t>
            </w:r>
          </w:p>
        </w:tc>
        <w:tc>
          <w:tcPr>
            <w:tcW w:w="1227" w:type="dxa"/>
          </w:tcPr>
          <w:p w14:paraId="428C36F6" w14:textId="2855E946" w:rsidR="00A048CB" w:rsidRPr="004360BF" w:rsidRDefault="00A048CB" w:rsidP="00D732C1">
            <w:pPr>
              <w:keepNext/>
              <w:spacing w:before="40" w:after="40"/>
              <w:jc w:val="right"/>
              <w:rPr>
                <w:sz w:val="22"/>
                <w:szCs w:val="22"/>
                <w:lang w:val="en-AU"/>
              </w:rPr>
            </w:pPr>
            <w:r w:rsidRPr="00626B7C">
              <w:rPr>
                <w:sz w:val="22"/>
                <w:szCs w:val="22"/>
                <w:lang w:val="en-AU"/>
              </w:rPr>
              <w:t>19.1%</w:t>
            </w:r>
          </w:p>
        </w:tc>
      </w:tr>
      <w:tr w:rsidR="00A048CB" w:rsidRPr="004360BF" w14:paraId="72D080A1" w14:textId="77777777" w:rsidTr="00626B7C">
        <w:tc>
          <w:tcPr>
            <w:tcW w:w="4820" w:type="dxa"/>
          </w:tcPr>
          <w:p w14:paraId="6945DAD0" w14:textId="77777777" w:rsidR="00A048CB" w:rsidRPr="004360BF" w:rsidRDefault="00A048CB" w:rsidP="00D732C1">
            <w:pPr>
              <w:keepNext/>
              <w:spacing w:before="40" w:after="40"/>
              <w:rPr>
                <w:rFonts w:cs="Tahoma"/>
                <w:sz w:val="22"/>
                <w:szCs w:val="22"/>
                <w:lang w:val="en-AU"/>
              </w:rPr>
            </w:pPr>
            <w:r w:rsidRPr="004360BF">
              <w:rPr>
                <w:b/>
                <w:i/>
                <w:sz w:val="22"/>
                <w:szCs w:val="22"/>
                <w:lang w:val="en-AU"/>
              </w:rPr>
              <w:t>Peak period energy (c/kWh)</w:t>
            </w:r>
          </w:p>
        </w:tc>
        <w:tc>
          <w:tcPr>
            <w:tcW w:w="1278" w:type="dxa"/>
          </w:tcPr>
          <w:p w14:paraId="37E85DD7" w14:textId="77777777" w:rsidR="00A048CB" w:rsidRPr="004360BF" w:rsidRDefault="00A048CB" w:rsidP="00D732C1">
            <w:pPr>
              <w:keepNext/>
              <w:spacing w:before="40" w:after="40"/>
              <w:jc w:val="right"/>
              <w:rPr>
                <w:rFonts w:cs="Tahoma"/>
                <w:sz w:val="22"/>
                <w:szCs w:val="22"/>
                <w:lang w:val="en-AU"/>
              </w:rPr>
            </w:pPr>
          </w:p>
        </w:tc>
        <w:tc>
          <w:tcPr>
            <w:tcW w:w="1227" w:type="dxa"/>
          </w:tcPr>
          <w:p w14:paraId="6864D9BE" w14:textId="7B671541" w:rsidR="00A048CB" w:rsidRPr="004360BF" w:rsidRDefault="00A048CB" w:rsidP="00D732C1">
            <w:pPr>
              <w:keepNext/>
              <w:spacing w:before="40" w:after="40"/>
              <w:jc w:val="right"/>
              <w:rPr>
                <w:sz w:val="22"/>
                <w:szCs w:val="22"/>
                <w:lang w:val="en-AU"/>
              </w:rPr>
            </w:pPr>
          </w:p>
        </w:tc>
        <w:tc>
          <w:tcPr>
            <w:tcW w:w="1227" w:type="dxa"/>
          </w:tcPr>
          <w:p w14:paraId="000249A9" w14:textId="3CA76B67" w:rsidR="00A048CB" w:rsidRPr="004360BF" w:rsidRDefault="00A048CB" w:rsidP="00D732C1">
            <w:pPr>
              <w:keepNext/>
              <w:spacing w:before="40" w:after="40"/>
              <w:jc w:val="right"/>
              <w:rPr>
                <w:sz w:val="22"/>
                <w:szCs w:val="22"/>
                <w:lang w:val="en-AU"/>
              </w:rPr>
            </w:pPr>
          </w:p>
        </w:tc>
      </w:tr>
      <w:tr w:rsidR="00A048CB" w:rsidRPr="004360BF" w14:paraId="793E4833" w14:textId="77777777" w:rsidTr="00626B7C">
        <w:tc>
          <w:tcPr>
            <w:tcW w:w="4820" w:type="dxa"/>
          </w:tcPr>
          <w:p w14:paraId="43E38F15" w14:textId="77777777" w:rsidR="00A048CB" w:rsidRPr="004360BF" w:rsidRDefault="00A048CB" w:rsidP="00D732C1">
            <w:pPr>
              <w:keepNext/>
              <w:spacing w:before="40" w:after="40"/>
              <w:rPr>
                <w:rFonts w:cs="Tahoma"/>
                <w:sz w:val="22"/>
                <w:szCs w:val="22"/>
                <w:lang w:val="en-AU"/>
              </w:rPr>
            </w:pPr>
            <w:r w:rsidRPr="004360BF">
              <w:rPr>
                <w:sz w:val="22"/>
                <w:szCs w:val="22"/>
                <w:lang w:val="en-AU"/>
              </w:rPr>
              <w:t>First 10,000 kWh per month</w:t>
            </w:r>
          </w:p>
        </w:tc>
        <w:tc>
          <w:tcPr>
            <w:tcW w:w="1278" w:type="dxa"/>
          </w:tcPr>
          <w:p w14:paraId="0BF5044E"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6.474</w:t>
            </w:r>
          </w:p>
        </w:tc>
        <w:tc>
          <w:tcPr>
            <w:tcW w:w="1227" w:type="dxa"/>
          </w:tcPr>
          <w:p w14:paraId="51B2D87C" w14:textId="368BB926" w:rsidR="00A048CB" w:rsidRPr="004360BF" w:rsidRDefault="00A048CB" w:rsidP="00D732C1">
            <w:pPr>
              <w:keepNext/>
              <w:spacing w:before="40" w:after="40"/>
              <w:jc w:val="right"/>
              <w:rPr>
                <w:sz w:val="22"/>
                <w:szCs w:val="22"/>
                <w:lang w:val="en-AU"/>
              </w:rPr>
            </w:pPr>
            <w:r w:rsidRPr="00626B7C">
              <w:rPr>
                <w:sz w:val="22"/>
                <w:szCs w:val="22"/>
                <w:lang w:val="en-AU"/>
              </w:rPr>
              <w:t>6.655</w:t>
            </w:r>
          </w:p>
        </w:tc>
        <w:tc>
          <w:tcPr>
            <w:tcW w:w="1227" w:type="dxa"/>
          </w:tcPr>
          <w:p w14:paraId="5527F712" w14:textId="209606B3" w:rsidR="00A048CB" w:rsidRPr="004360BF" w:rsidRDefault="00A048CB" w:rsidP="00D732C1">
            <w:pPr>
              <w:keepNext/>
              <w:spacing w:before="40" w:after="40"/>
              <w:jc w:val="right"/>
              <w:rPr>
                <w:sz w:val="22"/>
                <w:szCs w:val="22"/>
                <w:lang w:val="en-AU"/>
              </w:rPr>
            </w:pPr>
            <w:r w:rsidRPr="00626B7C">
              <w:rPr>
                <w:sz w:val="22"/>
                <w:szCs w:val="22"/>
                <w:lang w:val="en-AU"/>
              </w:rPr>
              <w:t>2.8%</w:t>
            </w:r>
          </w:p>
        </w:tc>
      </w:tr>
      <w:tr w:rsidR="00A048CB" w:rsidRPr="004360BF" w14:paraId="1D0E75FB" w14:textId="77777777" w:rsidTr="00626B7C">
        <w:tc>
          <w:tcPr>
            <w:tcW w:w="4820" w:type="dxa"/>
          </w:tcPr>
          <w:p w14:paraId="6564C47C" w14:textId="77777777" w:rsidR="00A048CB" w:rsidRPr="004360BF" w:rsidRDefault="00A048CB" w:rsidP="00D732C1">
            <w:pPr>
              <w:keepNext/>
              <w:spacing w:before="40" w:after="40"/>
              <w:rPr>
                <w:rFonts w:cs="Tahoma"/>
                <w:sz w:val="22"/>
                <w:szCs w:val="22"/>
                <w:lang w:val="en-AU"/>
              </w:rPr>
            </w:pPr>
            <w:r w:rsidRPr="004360BF">
              <w:rPr>
                <w:sz w:val="22"/>
                <w:szCs w:val="22"/>
                <w:lang w:val="en-AU"/>
              </w:rPr>
              <w:t>Next 20,000 kWh per month</w:t>
            </w:r>
          </w:p>
        </w:tc>
        <w:tc>
          <w:tcPr>
            <w:tcW w:w="1278" w:type="dxa"/>
          </w:tcPr>
          <w:p w14:paraId="65D2C1E7"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4.912</w:t>
            </w:r>
          </w:p>
        </w:tc>
        <w:tc>
          <w:tcPr>
            <w:tcW w:w="1227" w:type="dxa"/>
          </w:tcPr>
          <w:p w14:paraId="6165BA98" w14:textId="294AC285" w:rsidR="00A048CB" w:rsidRPr="004360BF" w:rsidRDefault="00A048CB" w:rsidP="00D732C1">
            <w:pPr>
              <w:keepNext/>
              <w:spacing w:before="40" w:after="40"/>
              <w:jc w:val="right"/>
              <w:rPr>
                <w:sz w:val="22"/>
                <w:szCs w:val="22"/>
                <w:lang w:val="en-AU"/>
              </w:rPr>
            </w:pPr>
            <w:r w:rsidRPr="00626B7C">
              <w:rPr>
                <w:sz w:val="22"/>
                <w:szCs w:val="22"/>
                <w:lang w:val="en-AU"/>
              </w:rPr>
              <w:t>5.049</w:t>
            </w:r>
          </w:p>
        </w:tc>
        <w:tc>
          <w:tcPr>
            <w:tcW w:w="1227" w:type="dxa"/>
          </w:tcPr>
          <w:p w14:paraId="16B446D7" w14:textId="34152862" w:rsidR="00A048CB" w:rsidRPr="004360BF" w:rsidRDefault="00A048CB" w:rsidP="00D732C1">
            <w:pPr>
              <w:keepNext/>
              <w:spacing w:before="40" w:after="40"/>
              <w:jc w:val="right"/>
              <w:rPr>
                <w:sz w:val="22"/>
                <w:szCs w:val="22"/>
                <w:lang w:val="en-AU"/>
              </w:rPr>
            </w:pPr>
            <w:r w:rsidRPr="00626B7C">
              <w:rPr>
                <w:sz w:val="22"/>
                <w:szCs w:val="22"/>
                <w:lang w:val="en-AU"/>
              </w:rPr>
              <w:t>2.8%</w:t>
            </w:r>
          </w:p>
        </w:tc>
      </w:tr>
      <w:tr w:rsidR="00A048CB" w:rsidRPr="004360BF" w14:paraId="35195D7D" w14:textId="77777777" w:rsidTr="00626B7C">
        <w:tc>
          <w:tcPr>
            <w:tcW w:w="4820" w:type="dxa"/>
          </w:tcPr>
          <w:p w14:paraId="4ED0E9C9" w14:textId="77777777" w:rsidR="00A048CB" w:rsidRPr="004360BF" w:rsidRDefault="00A048CB" w:rsidP="00D732C1">
            <w:pPr>
              <w:keepNext/>
              <w:spacing w:before="40" w:after="40"/>
              <w:rPr>
                <w:rFonts w:cs="Tahoma"/>
                <w:sz w:val="22"/>
                <w:szCs w:val="22"/>
                <w:lang w:val="en-AU"/>
              </w:rPr>
            </w:pPr>
            <w:r w:rsidRPr="004360BF">
              <w:rPr>
                <w:sz w:val="22"/>
                <w:szCs w:val="22"/>
                <w:lang w:val="en-AU"/>
              </w:rPr>
              <w:t>Next 50,000 kWh per month</w:t>
            </w:r>
          </w:p>
        </w:tc>
        <w:tc>
          <w:tcPr>
            <w:tcW w:w="1278" w:type="dxa"/>
          </w:tcPr>
          <w:p w14:paraId="3FA5A86C"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4.003</w:t>
            </w:r>
          </w:p>
        </w:tc>
        <w:tc>
          <w:tcPr>
            <w:tcW w:w="1227" w:type="dxa"/>
          </w:tcPr>
          <w:p w14:paraId="513B205C" w14:textId="2ABAF6B1" w:rsidR="00A048CB" w:rsidRPr="004360BF" w:rsidRDefault="00A048CB" w:rsidP="00D732C1">
            <w:pPr>
              <w:keepNext/>
              <w:spacing w:before="40" w:after="40"/>
              <w:jc w:val="right"/>
              <w:rPr>
                <w:sz w:val="22"/>
                <w:szCs w:val="22"/>
                <w:lang w:val="en-AU"/>
              </w:rPr>
            </w:pPr>
            <w:r w:rsidRPr="00626B7C">
              <w:rPr>
                <w:sz w:val="22"/>
                <w:szCs w:val="22"/>
                <w:lang w:val="en-AU"/>
              </w:rPr>
              <w:t>4.115</w:t>
            </w:r>
          </w:p>
        </w:tc>
        <w:tc>
          <w:tcPr>
            <w:tcW w:w="1227" w:type="dxa"/>
          </w:tcPr>
          <w:p w14:paraId="64553D31" w14:textId="7F55FB48" w:rsidR="00A048CB" w:rsidRPr="004360BF" w:rsidRDefault="00A048CB" w:rsidP="00D732C1">
            <w:pPr>
              <w:keepNext/>
              <w:spacing w:before="40" w:after="40"/>
              <w:jc w:val="right"/>
              <w:rPr>
                <w:sz w:val="22"/>
                <w:szCs w:val="22"/>
                <w:lang w:val="en-AU"/>
              </w:rPr>
            </w:pPr>
            <w:r w:rsidRPr="00626B7C">
              <w:rPr>
                <w:sz w:val="22"/>
                <w:szCs w:val="22"/>
                <w:lang w:val="en-AU"/>
              </w:rPr>
              <w:t>2.8%</w:t>
            </w:r>
          </w:p>
        </w:tc>
      </w:tr>
      <w:tr w:rsidR="00A048CB" w:rsidRPr="004360BF" w14:paraId="2310FD05" w14:textId="77777777" w:rsidTr="00626B7C">
        <w:tc>
          <w:tcPr>
            <w:tcW w:w="4820" w:type="dxa"/>
          </w:tcPr>
          <w:p w14:paraId="29245256" w14:textId="77777777" w:rsidR="00A048CB" w:rsidRPr="004360BF" w:rsidRDefault="00A048CB" w:rsidP="00D732C1">
            <w:pPr>
              <w:keepNext/>
              <w:spacing w:before="40" w:after="40"/>
              <w:rPr>
                <w:rFonts w:cs="Tahoma"/>
                <w:sz w:val="22"/>
                <w:szCs w:val="22"/>
                <w:lang w:val="en-AU"/>
              </w:rPr>
            </w:pPr>
            <w:r w:rsidRPr="004360BF">
              <w:rPr>
                <w:sz w:val="22"/>
                <w:szCs w:val="22"/>
                <w:lang w:val="en-AU"/>
              </w:rPr>
              <w:t>Next 100,000 kWh per month</w:t>
            </w:r>
          </w:p>
        </w:tc>
        <w:tc>
          <w:tcPr>
            <w:tcW w:w="1278" w:type="dxa"/>
          </w:tcPr>
          <w:p w14:paraId="7177837B"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3.381</w:t>
            </w:r>
          </w:p>
        </w:tc>
        <w:tc>
          <w:tcPr>
            <w:tcW w:w="1227" w:type="dxa"/>
          </w:tcPr>
          <w:p w14:paraId="10FC0883" w14:textId="6196BBE4" w:rsidR="00A048CB" w:rsidRPr="004360BF" w:rsidRDefault="00A048CB" w:rsidP="00D732C1">
            <w:pPr>
              <w:keepNext/>
              <w:spacing w:before="40" w:after="40"/>
              <w:jc w:val="right"/>
              <w:rPr>
                <w:sz w:val="22"/>
                <w:szCs w:val="22"/>
                <w:lang w:val="en-AU"/>
              </w:rPr>
            </w:pPr>
            <w:r w:rsidRPr="00626B7C">
              <w:rPr>
                <w:sz w:val="22"/>
                <w:szCs w:val="22"/>
                <w:lang w:val="en-AU"/>
              </w:rPr>
              <w:t>3.712</w:t>
            </w:r>
          </w:p>
        </w:tc>
        <w:tc>
          <w:tcPr>
            <w:tcW w:w="1227" w:type="dxa"/>
          </w:tcPr>
          <w:p w14:paraId="2FDF42C3" w14:textId="0765AC4D" w:rsidR="00A048CB" w:rsidRPr="004360BF" w:rsidRDefault="00A048CB" w:rsidP="00D732C1">
            <w:pPr>
              <w:keepNext/>
              <w:spacing w:before="40" w:after="40"/>
              <w:jc w:val="right"/>
              <w:rPr>
                <w:sz w:val="22"/>
                <w:szCs w:val="22"/>
                <w:lang w:val="en-AU"/>
              </w:rPr>
            </w:pPr>
            <w:r w:rsidRPr="00626B7C">
              <w:rPr>
                <w:sz w:val="22"/>
                <w:szCs w:val="22"/>
                <w:lang w:val="en-AU"/>
              </w:rPr>
              <w:t>9.8%</w:t>
            </w:r>
          </w:p>
        </w:tc>
      </w:tr>
      <w:tr w:rsidR="00A048CB" w:rsidRPr="004360BF" w14:paraId="0A3BDAA6" w14:textId="77777777" w:rsidTr="00626B7C">
        <w:tc>
          <w:tcPr>
            <w:tcW w:w="4820" w:type="dxa"/>
          </w:tcPr>
          <w:p w14:paraId="5DC77BE9" w14:textId="77777777" w:rsidR="00A048CB" w:rsidRPr="004360BF" w:rsidRDefault="00A048CB" w:rsidP="00D732C1">
            <w:pPr>
              <w:keepNext/>
              <w:spacing w:before="40" w:after="40"/>
              <w:rPr>
                <w:rFonts w:cs="Tahoma"/>
                <w:sz w:val="22"/>
                <w:szCs w:val="22"/>
                <w:lang w:val="en-AU"/>
              </w:rPr>
            </w:pPr>
            <w:r w:rsidRPr="004360BF">
              <w:rPr>
                <w:sz w:val="22"/>
                <w:szCs w:val="22"/>
                <w:lang w:val="en-AU"/>
              </w:rPr>
              <w:t>Any further kWh per month</w:t>
            </w:r>
          </w:p>
        </w:tc>
        <w:tc>
          <w:tcPr>
            <w:tcW w:w="1278" w:type="dxa"/>
          </w:tcPr>
          <w:p w14:paraId="48E98458"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2.238</w:t>
            </w:r>
          </w:p>
        </w:tc>
        <w:tc>
          <w:tcPr>
            <w:tcW w:w="1227" w:type="dxa"/>
          </w:tcPr>
          <w:p w14:paraId="4186F09F" w14:textId="6EB300A1" w:rsidR="00A048CB" w:rsidRPr="004360BF" w:rsidRDefault="00A048CB" w:rsidP="00D732C1">
            <w:pPr>
              <w:keepNext/>
              <w:spacing w:before="40" w:after="40"/>
              <w:jc w:val="right"/>
              <w:rPr>
                <w:sz w:val="22"/>
                <w:szCs w:val="22"/>
                <w:lang w:val="en-AU"/>
              </w:rPr>
            </w:pPr>
            <w:r w:rsidRPr="00626B7C">
              <w:rPr>
                <w:sz w:val="22"/>
                <w:szCs w:val="22"/>
                <w:lang w:val="en-AU"/>
              </w:rPr>
              <w:t>2.569</w:t>
            </w:r>
          </w:p>
        </w:tc>
        <w:tc>
          <w:tcPr>
            <w:tcW w:w="1227" w:type="dxa"/>
          </w:tcPr>
          <w:p w14:paraId="70C9D6A1" w14:textId="642C026B" w:rsidR="00A048CB" w:rsidRPr="004360BF" w:rsidRDefault="00A048CB" w:rsidP="00D732C1">
            <w:pPr>
              <w:keepNext/>
              <w:spacing w:before="40" w:after="40"/>
              <w:jc w:val="right"/>
              <w:rPr>
                <w:sz w:val="22"/>
                <w:szCs w:val="22"/>
                <w:lang w:val="en-AU"/>
              </w:rPr>
            </w:pPr>
            <w:r w:rsidRPr="00626B7C">
              <w:rPr>
                <w:sz w:val="22"/>
                <w:szCs w:val="22"/>
                <w:lang w:val="en-AU"/>
              </w:rPr>
              <w:t>14.8%</w:t>
            </w:r>
          </w:p>
        </w:tc>
      </w:tr>
      <w:tr w:rsidR="00A048CB" w:rsidRPr="004360BF" w14:paraId="5CAFD54A" w14:textId="77777777" w:rsidTr="00626B7C">
        <w:tc>
          <w:tcPr>
            <w:tcW w:w="4820" w:type="dxa"/>
          </w:tcPr>
          <w:p w14:paraId="353FC508" w14:textId="77777777" w:rsidR="00A048CB" w:rsidRPr="004360BF" w:rsidRDefault="00A048CB" w:rsidP="00D732C1">
            <w:pPr>
              <w:keepNext/>
              <w:spacing w:before="40" w:after="40"/>
              <w:rPr>
                <w:rFonts w:cs="Tahoma"/>
                <w:sz w:val="22"/>
                <w:szCs w:val="22"/>
                <w:lang w:val="en-AU"/>
              </w:rPr>
            </w:pPr>
            <w:r w:rsidRPr="004360BF">
              <w:rPr>
                <w:b/>
                <w:i/>
                <w:sz w:val="22"/>
                <w:szCs w:val="22"/>
                <w:lang w:val="en-AU"/>
              </w:rPr>
              <w:t>Off peak period energy (c/kWh)</w:t>
            </w:r>
          </w:p>
        </w:tc>
        <w:tc>
          <w:tcPr>
            <w:tcW w:w="1278" w:type="dxa"/>
          </w:tcPr>
          <w:p w14:paraId="6A769C9E" w14:textId="77777777" w:rsidR="00A048CB" w:rsidRPr="004360BF" w:rsidRDefault="00A048CB" w:rsidP="00D732C1">
            <w:pPr>
              <w:keepNext/>
              <w:spacing w:before="40" w:after="40"/>
              <w:jc w:val="right"/>
              <w:rPr>
                <w:rFonts w:cs="Tahoma"/>
                <w:sz w:val="22"/>
                <w:szCs w:val="22"/>
                <w:lang w:val="en-AU"/>
              </w:rPr>
            </w:pPr>
          </w:p>
        </w:tc>
        <w:tc>
          <w:tcPr>
            <w:tcW w:w="1227" w:type="dxa"/>
          </w:tcPr>
          <w:p w14:paraId="63635BFF" w14:textId="1BA4B35E" w:rsidR="00A048CB" w:rsidRPr="004360BF" w:rsidRDefault="00A048CB" w:rsidP="00D732C1">
            <w:pPr>
              <w:keepNext/>
              <w:spacing w:before="40" w:after="40"/>
              <w:jc w:val="right"/>
              <w:rPr>
                <w:sz w:val="22"/>
                <w:szCs w:val="22"/>
                <w:lang w:val="en-AU"/>
              </w:rPr>
            </w:pPr>
          </w:p>
        </w:tc>
        <w:tc>
          <w:tcPr>
            <w:tcW w:w="1227" w:type="dxa"/>
          </w:tcPr>
          <w:p w14:paraId="75CD367A" w14:textId="1881D2F3" w:rsidR="00A048CB" w:rsidRPr="004360BF" w:rsidRDefault="00A048CB" w:rsidP="00D732C1">
            <w:pPr>
              <w:keepNext/>
              <w:spacing w:before="40" w:after="40"/>
              <w:jc w:val="right"/>
              <w:rPr>
                <w:sz w:val="22"/>
                <w:szCs w:val="22"/>
                <w:lang w:val="en-AU"/>
              </w:rPr>
            </w:pPr>
          </w:p>
        </w:tc>
      </w:tr>
      <w:tr w:rsidR="00A048CB" w:rsidRPr="004360BF" w14:paraId="095398F4" w14:textId="77777777" w:rsidTr="00626B7C">
        <w:tc>
          <w:tcPr>
            <w:tcW w:w="4820" w:type="dxa"/>
          </w:tcPr>
          <w:p w14:paraId="6096522B" w14:textId="77777777" w:rsidR="00A048CB" w:rsidRPr="004360BF" w:rsidRDefault="00A048CB" w:rsidP="00D732C1">
            <w:pPr>
              <w:keepNext/>
              <w:spacing w:before="40" w:after="40"/>
              <w:rPr>
                <w:rFonts w:cs="Tahoma"/>
                <w:sz w:val="22"/>
                <w:szCs w:val="22"/>
                <w:lang w:val="en-AU"/>
              </w:rPr>
            </w:pPr>
            <w:r w:rsidRPr="004360BF">
              <w:rPr>
                <w:sz w:val="22"/>
                <w:szCs w:val="22"/>
                <w:lang w:val="en-AU"/>
              </w:rPr>
              <w:t>First 10,000 kWh per month</w:t>
            </w:r>
          </w:p>
        </w:tc>
        <w:tc>
          <w:tcPr>
            <w:tcW w:w="1278" w:type="dxa"/>
          </w:tcPr>
          <w:p w14:paraId="01DB371B"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6.121</w:t>
            </w:r>
          </w:p>
        </w:tc>
        <w:tc>
          <w:tcPr>
            <w:tcW w:w="1227" w:type="dxa"/>
          </w:tcPr>
          <w:p w14:paraId="51DDC779" w14:textId="70C57608" w:rsidR="00A048CB" w:rsidRPr="004360BF" w:rsidRDefault="00A048CB" w:rsidP="00D732C1">
            <w:pPr>
              <w:keepNext/>
              <w:spacing w:before="40" w:after="40"/>
              <w:jc w:val="right"/>
              <w:rPr>
                <w:sz w:val="22"/>
                <w:szCs w:val="22"/>
                <w:lang w:val="en-AU"/>
              </w:rPr>
            </w:pPr>
            <w:r w:rsidRPr="00626B7C">
              <w:rPr>
                <w:sz w:val="22"/>
                <w:szCs w:val="22"/>
                <w:lang w:val="en-AU"/>
              </w:rPr>
              <w:t>6.292</w:t>
            </w:r>
          </w:p>
        </w:tc>
        <w:tc>
          <w:tcPr>
            <w:tcW w:w="1227" w:type="dxa"/>
          </w:tcPr>
          <w:p w14:paraId="443A3D6F" w14:textId="3D9AA555" w:rsidR="00A048CB" w:rsidRPr="004360BF" w:rsidRDefault="00A048CB" w:rsidP="00D732C1">
            <w:pPr>
              <w:keepNext/>
              <w:spacing w:before="40" w:after="40"/>
              <w:jc w:val="right"/>
              <w:rPr>
                <w:sz w:val="22"/>
                <w:szCs w:val="22"/>
                <w:lang w:val="en-AU"/>
              </w:rPr>
            </w:pPr>
            <w:r w:rsidRPr="00626B7C">
              <w:rPr>
                <w:sz w:val="22"/>
                <w:szCs w:val="22"/>
                <w:lang w:val="en-AU"/>
              </w:rPr>
              <w:t>2.8%</w:t>
            </w:r>
          </w:p>
        </w:tc>
      </w:tr>
      <w:tr w:rsidR="00A048CB" w:rsidRPr="004360BF" w14:paraId="40861B23" w14:textId="77777777" w:rsidTr="00626B7C">
        <w:tc>
          <w:tcPr>
            <w:tcW w:w="4820" w:type="dxa"/>
          </w:tcPr>
          <w:p w14:paraId="671F8302" w14:textId="77777777" w:rsidR="00A048CB" w:rsidRPr="004360BF" w:rsidRDefault="00A048CB" w:rsidP="00D732C1">
            <w:pPr>
              <w:keepNext/>
              <w:spacing w:before="40" w:after="40"/>
              <w:rPr>
                <w:rFonts w:cs="Tahoma"/>
                <w:sz w:val="22"/>
                <w:szCs w:val="22"/>
                <w:lang w:val="en-AU"/>
              </w:rPr>
            </w:pPr>
            <w:r w:rsidRPr="004360BF">
              <w:rPr>
                <w:sz w:val="22"/>
                <w:szCs w:val="22"/>
                <w:lang w:val="en-AU"/>
              </w:rPr>
              <w:t>Next 20,000 kWh per month</w:t>
            </w:r>
          </w:p>
        </w:tc>
        <w:tc>
          <w:tcPr>
            <w:tcW w:w="1278" w:type="dxa"/>
          </w:tcPr>
          <w:p w14:paraId="3EF1D0AC"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4.357</w:t>
            </w:r>
          </w:p>
        </w:tc>
        <w:tc>
          <w:tcPr>
            <w:tcW w:w="1227" w:type="dxa"/>
          </w:tcPr>
          <w:p w14:paraId="5DDF345E" w14:textId="624E0E09" w:rsidR="00A048CB" w:rsidRPr="004360BF" w:rsidRDefault="00A048CB" w:rsidP="00D732C1">
            <w:pPr>
              <w:keepNext/>
              <w:spacing w:before="40" w:after="40"/>
              <w:jc w:val="right"/>
              <w:rPr>
                <w:sz w:val="22"/>
                <w:szCs w:val="22"/>
                <w:lang w:val="en-AU"/>
              </w:rPr>
            </w:pPr>
            <w:r w:rsidRPr="00626B7C">
              <w:rPr>
                <w:sz w:val="22"/>
                <w:szCs w:val="22"/>
                <w:lang w:val="en-AU"/>
              </w:rPr>
              <w:t>4.479</w:t>
            </w:r>
          </w:p>
        </w:tc>
        <w:tc>
          <w:tcPr>
            <w:tcW w:w="1227" w:type="dxa"/>
          </w:tcPr>
          <w:p w14:paraId="56E8EAD7" w14:textId="3C4EFF08" w:rsidR="00A048CB" w:rsidRPr="004360BF" w:rsidRDefault="00A048CB" w:rsidP="00D732C1">
            <w:pPr>
              <w:keepNext/>
              <w:spacing w:before="40" w:after="40"/>
              <w:jc w:val="right"/>
              <w:rPr>
                <w:sz w:val="22"/>
                <w:szCs w:val="22"/>
                <w:lang w:val="en-AU"/>
              </w:rPr>
            </w:pPr>
            <w:r w:rsidRPr="00626B7C">
              <w:rPr>
                <w:sz w:val="22"/>
                <w:szCs w:val="22"/>
                <w:lang w:val="en-AU"/>
              </w:rPr>
              <w:t>2.8%</w:t>
            </w:r>
          </w:p>
        </w:tc>
      </w:tr>
      <w:tr w:rsidR="00A048CB" w:rsidRPr="004360BF" w14:paraId="254084D3" w14:textId="77777777" w:rsidTr="00626B7C">
        <w:tc>
          <w:tcPr>
            <w:tcW w:w="4820" w:type="dxa"/>
          </w:tcPr>
          <w:p w14:paraId="73CBF02B" w14:textId="77777777" w:rsidR="00A048CB" w:rsidRPr="004360BF" w:rsidRDefault="00A048CB" w:rsidP="00D732C1">
            <w:pPr>
              <w:keepNext/>
              <w:spacing w:before="40" w:after="40"/>
              <w:rPr>
                <w:rFonts w:cs="Tahoma"/>
                <w:sz w:val="22"/>
                <w:szCs w:val="22"/>
                <w:lang w:val="en-AU"/>
              </w:rPr>
            </w:pPr>
            <w:r w:rsidRPr="004360BF">
              <w:rPr>
                <w:sz w:val="22"/>
                <w:szCs w:val="22"/>
                <w:lang w:val="en-AU"/>
              </w:rPr>
              <w:t>Next 50,000 kWh per month</w:t>
            </w:r>
          </w:p>
        </w:tc>
        <w:tc>
          <w:tcPr>
            <w:tcW w:w="1278" w:type="dxa"/>
          </w:tcPr>
          <w:p w14:paraId="71C99562"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3.447</w:t>
            </w:r>
          </w:p>
        </w:tc>
        <w:tc>
          <w:tcPr>
            <w:tcW w:w="1227" w:type="dxa"/>
          </w:tcPr>
          <w:p w14:paraId="5D74C2DE" w14:textId="677D5625" w:rsidR="00A048CB" w:rsidRPr="004360BF" w:rsidRDefault="00A048CB" w:rsidP="00D732C1">
            <w:pPr>
              <w:keepNext/>
              <w:spacing w:before="40" w:after="40"/>
              <w:jc w:val="right"/>
              <w:rPr>
                <w:sz w:val="22"/>
                <w:szCs w:val="22"/>
                <w:lang w:val="en-AU"/>
              </w:rPr>
            </w:pPr>
            <w:r w:rsidRPr="00626B7C">
              <w:rPr>
                <w:sz w:val="22"/>
                <w:szCs w:val="22"/>
                <w:lang w:val="en-AU"/>
              </w:rPr>
              <w:t>3.543</w:t>
            </w:r>
          </w:p>
        </w:tc>
        <w:tc>
          <w:tcPr>
            <w:tcW w:w="1227" w:type="dxa"/>
          </w:tcPr>
          <w:p w14:paraId="636498A3" w14:textId="4E5EB257" w:rsidR="00A048CB" w:rsidRPr="004360BF" w:rsidRDefault="00A048CB" w:rsidP="00D732C1">
            <w:pPr>
              <w:keepNext/>
              <w:spacing w:before="40" w:after="40"/>
              <w:jc w:val="right"/>
              <w:rPr>
                <w:sz w:val="22"/>
                <w:szCs w:val="22"/>
                <w:lang w:val="en-AU"/>
              </w:rPr>
            </w:pPr>
            <w:r w:rsidRPr="00626B7C">
              <w:rPr>
                <w:sz w:val="22"/>
                <w:szCs w:val="22"/>
                <w:lang w:val="en-AU"/>
              </w:rPr>
              <w:t>2.8%</w:t>
            </w:r>
          </w:p>
        </w:tc>
      </w:tr>
      <w:tr w:rsidR="00A048CB" w:rsidRPr="004360BF" w14:paraId="67A8DCA1" w14:textId="77777777" w:rsidTr="00626B7C">
        <w:tc>
          <w:tcPr>
            <w:tcW w:w="4820" w:type="dxa"/>
          </w:tcPr>
          <w:p w14:paraId="373463CD" w14:textId="77777777" w:rsidR="00A048CB" w:rsidRPr="004360BF" w:rsidRDefault="00A048CB" w:rsidP="00D732C1">
            <w:pPr>
              <w:keepNext/>
              <w:spacing w:before="40" w:after="40"/>
              <w:rPr>
                <w:rFonts w:cs="Tahoma"/>
                <w:sz w:val="22"/>
                <w:szCs w:val="22"/>
                <w:lang w:val="en-AU"/>
              </w:rPr>
            </w:pPr>
            <w:r w:rsidRPr="004360BF">
              <w:rPr>
                <w:sz w:val="22"/>
                <w:szCs w:val="22"/>
                <w:lang w:val="en-AU"/>
              </w:rPr>
              <w:t>Next 100,000 kWh per month</w:t>
            </w:r>
          </w:p>
        </w:tc>
        <w:tc>
          <w:tcPr>
            <w:tcW w:w="1278" w:type="dxa"/>
          </w:tcPr>
          <w:p w14:paraId="6FE57E72"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2.808</w:t>
            </w:r>
          </w:p>
        </w:tc>
        <w:tc>
          <w:tcPr>
            <w:tcW w:w="1227" w:type="dxa"/>
          </w:tcPr>
          <w:p w14:paraId="5230C67C" w14:textId="0CB00C6F" w:rsidR="00A048CB" w:rsidRPr="004360BF" w:rsidRDefault="00A048CB" w:rsidP="00D732C1">
            <w:pPr>
              <w:keepNext/>
              <w:spacing w:before="40" w:after="40"/>
              <w:jc w:val="right"/>
              <w:rPr>
                <w:sz w:val="22"/>
                <w:szCs w:val="22"/>
                <w:lang w:val="en-AU"/>
              </w:rPr>
            </w:pPr>
            <w:r w:rsidRPr="00626B7C">
              <w:rPr>
                <w:sz w:val="22"/>
                <w:szCs w:val="22"/>
                <w:lang w:val="en-AU"/>
              </w:rPr>
              <w:t>3.083</w:t>
            </w:r>
          </w:p>
        </w:tc>
        <w:tc>
          <w:tcPr>
            <w:tcW w:w="1227" w:type="dxa"/>
          </w:tcPr>
          <w:p w14:paraId="343B729E" w14:textId="21EC98D6" w:rsidR="00A048CB" w:rsidRPr="004360BF" w:rsidRDefault="00A048CB" w:rsidP="00D732C1">
            <w:pPr>
              <w:keepNext/>
              <w:spacing w:before="40" w:after="40"/>
              <w:jc w:val="right"/>
              <w:rPr>
                <w:sz w:val="22"/>
                <w:szCs w:val="22"/>
                <w:lang w:val="en-AU"/>
              </w:rPr>
            </w:pPr>
            <w:r w:rsidRPr="00626B7C">
              <w:rPr>
                <w:sz w:val="22"/>
                <w:szCs w:val="22"/>
                <w:lang w:val="en-AU"/>
              </w:rPr>
              <w:t>9.8%</w:t>
            </w:r>
          </w:p>
        </w:tc>
      </w:tr>
      <w:tr w:rsidR="00A048CB" w:rsidRPr="004360BF" w14:paraId="14883736" w14:textId="77777777" w:rsidTr="00626B7C">
        <w:tc>
          <w:tcPr>
            <w:tcW w:w="4820" w:type="dxa"/>
          </w:tcPr>
          <w:p w14:paraId="54250665" w14:textId="77777777" w:rsidR="00A048CB" w:rsidRPr="004360BF" w:rsidRDefault="00A048CB" w:rsidP="00D732C1">
            <w:pPr>
              <w:keepNext/>
              <w:spacing w:before="40" w:after="40"/>
              <w:rPr>
                <w:rFonts w:cs="Tahoma"/>
                <w:sz w:val="22"/>
                <w:szCs w:val="22"/>
                <w:lang w:val="en-AU"/>
              </w:rPr>
            </w:pPr>
            <w:r w:rsidRPr="004360BF">
              <w:rPr>
                <w:sz w:val="22"/>
                <w:szCs w:val="22"/>
                <w:lang w:val="en-AU"/>
              </w:rPr>
              <w:t>Any further kWh per month</w:t>
            </w:r>
          </w:p>
        </w:tc>
        <w:tc>
          <w:tcPr>
            <w:tcW w:w="1278" w:type="dxa"/>
          </w:tcPr>
          <w:p w14:paraId="2B733ED6"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1.497</w:t>
            </w:r>
          </w:p>
        </w:tc>
        <w:tc>
          <w:tcPr>
            <w:tcW w:w="1227" w:type="dxa"/>
          </w:tcPr>
          <w:p w14:paraId="7F3E7207" w14:textId="58D9A4C3" w:rsidR="00A048CB" w:rsidRPr="004360BF" w:rsidRDefault="00A048CB" w:rsidP="00D732C1">
            <w:pPr>
              <w:keepNext/>
              <w:spacing w:before="40" w:after="40"/>
              <w:jc w:val="right"/>
              <w:rPr>
                <w:sz w:val="22"/>
                <w:szCs w:val="22"/>
                <w:lang w:val="en-AU"/>
              </w:rPr>
            </w:pPr>
            <w:r w:rsidRPr="00626B7C">
              <w:rPr>
                <w:sz w:val="22"/>
                <w:szCs w:val="22"/>
                <w:lang w:val="en-AU"/>
              </w:rPr>
              <w:t>1.718</w:t>
            </w:r>
          </w:p>
        </w:tc>
        <w:tc>
          <w:tcPr>
            <w:tcW w:w="1227" w:type="dxa"/>
          </w:tcPr>
          <w:p w14:paraId="19A97207" w14:textId="3092ADA6" w:rsidR="00A048CB" w:rsidRPr="004360BF" w:rsidRDefault="00A048CB" w:rsidP="00D732C1">
            <w:pPr>
              <w:keepNext/>
              <w:spacing w:before="40" w:after="40"/>
              <w:jc w:val="right"/>
              <w:rPr>
                <w:sz w:val="22"/>
                <w:szCs w:val="22"/>
                <w:lang w:val="en-AU"/>
              </w:rPr>
            </w:pPr>
            <w:r w:rsidRPr="00626B7C">
              <w:rPr>
                <w:sz w:val="22"/>
                <w:szCs w:val="22"/>
                <w:lang w:val="en-AU"/>
              </w:rPr>
              <w:t>14.8%</w:t>
            </w:r>
          </w:p>
        </w:tc>
      </w:tr>
      <w:tr w:rsidR="00A048CB" w:rsidRPr="004360BF" w14:paraId="78FA872A" w14:textId="77777777" w:rsidTr="00626B7C">
        <w:tc>
          <w:tcPr>
            <w:tcW w:w="4820" w:type="dxa"/>
          </w:tcPr>
          <w:p w14:paraId="48BABCBA" w14:textId="77777777" w:rsidR="00A048CB" w:rsidRPr="004360BF" w:rsidRDefault="00A048CB" w:rsidP="00D732C1">
            <w:pPr>
              <w:keepNext/>
              <w:spacing w:before="40" w:after="40"/>
              <w:rPr>
                <w:rFonts w:cs="Tahoma"/>
                <w:sz w:val="22"/>
                <w:szCs w:val="22"/>
                <w:lang w:val="en-AU"/>
              </w:rPr>
            </w:pPr>
            <w:r w:rsidRPr="004360BF">
              <w:rPr>
                <w:b/>
                <w:i/>
                <w:sz w:val="22"/>
                <w:szCs w:val="22"/>
                <w:lang w:val="en-AU"/>
              </w:rPr>
              <w:t>Peak period demand ($/kVA)</w:t>
            </w:r>
          </w:p>
        </w:tc>
        <w:tc>
          <w:tcPr>
            <w:tcW w:w="1278" w:type="dxa"/>
          </w:tcPr>
          <w:p w14:paraId="3EE7088F" w14:textId="77777777" w:rsidR="00A048CB" w:rsidRPr="004360BF" w:rsidRDefault="00A048CB" w:rsidP="00D732C1">
            <w:pPr>
              <w:keepNext/>
              <w:spacing w:before="40" w:after="40"/>
              <w:jc w:val="right"/>
              <w:rPr>
                <w:rFonts w:cs="Tahoma"/>
                <w:sz w:val="22"/>
                <w:szCs w:val="22"/>
                <w:lang w:val="en-AU"/>
              </w:rPr>
            </w:pPr>
          </w:p>
        </w:tc>
        <w:tc>
          <w:tcPr>
            <w:tcW w:w="1227" w:type="dxa"/>
          </w:tcPr>
          <w:p w14:paraId="40401963" w14:textId="478677CA" w:rsidR="00A048CB" w:rsidRPr="004360BF" w:rsidRDefault="00A048CB" w:rsidP="00D732C1">
            <w:pPr>
              <w:keepNext/>
              <w:spacing w:before="40" w:after="40"/>
              <w:jc w:val="right"/>
              <w:rPr>
                <w:sz w:val="22"/>
                <w:szCs w:val="22"/>
                <w:lang w:val="en-AU"/>
              </w:rPr>
            </w:pPr>
          </w:p>
        </w:tc>
        <w:tc>
          <w:tcPr>
            <w:tcW w:w="1227" w:type="dxa"/>
          </w:tcPr>
          <w:p w14:paraId="761AB0B8" w14:textId="0CAE4D1D" w:rsidR="00A048CB" w:rsidRPr="004360BF" w:rsidRDefault="00A048CB" w:rsidP="00D732C1">
            <w:pPr>
              <w:keepNext/>
              <w:spacing w:before="40" w:after="40"/>
              <w:jc w:val="right"/>
              <w:rPr>
                <w:sz w:val="22"/>
                <w:szCs w:val="22"/>
                <w:lang w:val="en-AU"/>
              </w:rPr>
            </w:pPr>
          </w:p>
        </w:tc>
      </w:tr>
      <w:tr w:rsidR="00A048CB" w:rsidRPr="004360BF" w14:paraId="123835A7" w14:textId="77777777" w:rsidTr="00626B7C">
        <w:tc>
          <w:tcPr>
            <w:tcW w:w="4820" w:type="dxa"/>
          </w:tcPr>
          <w:p w14:paraId="3E204E12" w14:textId="77777777" w:rsidR="00A048CB" w:rsidRPr="004360BF" w:rsidRDefault="00A048CB" w:rsidP="00D732C1">
            <w:pPr>
              <w:keepNext/>
              <w:spacing w:before="40" w:after="40"/>
              <w:rPr>
                <w:rFonts w:cs="Tahoma"/>
                <w:sz w:val="22"/>
                <w:szCs w:val="22"/>
                <w:lang w:val="en-AU"/>
              </w:rPr>
            </w:pPr>
            <w:r w:rsidRPr="004360BF">
              <w:rPr>
                <w:sz w:val="22"/>
                <w:szCs w:val="22"/>
                <w:lang w:val="en-AU"/>
              </w:rPr>
              <w:t>First 50 kVA per month</w:t>
            </w:r>
          </w:p>
        </w:tc>
        <w:tc>
          <w:tcPr>
            <w:tcW w:w="1278" w:type="dxa"/>
          </w:tcPr>
          <w:p w14:paraId="785FCD18"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10.999</w:t>
            </w:r>
          </w:p>
        </w:tc>
        <w:tc>
          <w:tcPr>
            <w:tcW w:w="1227" w:type="dxa"/>
          </w:tcPr>
          <w:p w14:paraId="0E4C19A4" w14:textId="17658FDC" w:rsidR="00A048CB" w:rsidRPr="004360BF" w:rsidRDefault="00A048CB" w:rsidP="00D732C1">
            <w:pPr>
              <w:keepNext/>
              <w:spacing w:before="40" w:after="40"/>
              <w:jc w:val="right"/>
              <w:rPr>
                <w:sz w:val="22"/>
                <w:szCs w:val="22"/>
                <w:lang w:val="en-AU"/>
              </w:rPr>
            </w:pPr>
            <w:r w:rsidRPr="00626B7C">
              <w:rPr>
                <w:sz w:val="22"/>
                <w:szCs w:val="22"/>
                <w:lang w:val="en-AU"/>
              </w:rPr>
              <w:t>11.054</w:t>
            </w:r>
          </w:p>
        </w:tc>
        <w:tc>
          <w:tcPr>
            <w:tcW w:w="1227" w:type="dxa"/>
          </w:tcPr>
          <w:p w14:paraId="18806F3D" w14:textId="061C86DC" w:rsidR="00A048CB" w:rsidRPr="004360BF" w:rsidRDefault="00A048CB" w:rsidP="00D732C1">
            <w:pPr>
              <w:keepNext/>
              <w:spacing w:before="40" w:after="40"/>
              <w:jc w:val="right"/>
              <w:rPr>
                <w:sz w:val="22"/>
                <w:szCs w:val="22"/>
                <w:lang w:val="en-AU"/>
              </w:rPr>
            </w:pPr>
            <w:r w:rsidRPr="00626B7C">
              <w:rPr>
                <w:sz w:val="22"/>
                <w:szCs w:val="22"/>
                <w:lang w:val="en-AU"/>
              </w:rPr>
              <w:t>0.5%</w:t>
            </w:r>
          </w:p>
        </w:tc>
      </w:tr>
      <w:tr w:rsidR="00A048CB" w:rsidRPr="004360BF" w14:paraId="6B306D06" w14:textId="77777777" w:rsidTr="00626B7C">
        <w:tc>
          <w:tcPr>
            <w:tcW w:w="4820" w:type="dxa"/>
          </w:tcPr>
          <w:p w14:paraId="116F0DE1" w14:textId="77777777" w:rsidR="00A048CB" w:rsidRPr="004360BF" w:rsidRDefault="00A048CB" w:rsidP="00D732C1">
            <w:pPr>
              <w:keepNext/>
              <w:spacing w:before="40" w:after="40"/>
              <w:rPr>
                <w:rFonts w:cs="Tahoma"/>
                <w:sz w:val="22"/>
                <w:szCs w:val="22"/>
                <w:lang w:val="en-AU"/>
              </w:rPr>
            </w:pPr>
            <w:r w:rsidRPr="004360BF">
              <w:rPr>
                <w:sz w:val="22"/>
                <w:szCs w:val="22"/>
                <w:lang w:val="en-AU"/>
              </w:rPr>
              <w:t>Next 100 kVA per month</w:t>
            </w:r>
          </w:p>
        </w:tc>
        <w:tc>
          <w:tcPr>
            <w:tcW w:w="1278" w:type="dxa"/>
          </w:tcPr>
          <w:p w14:paraId="6C742BC8"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9.648</w:t>
            </w:r>
          </w:p>
        </w:tc>
        <w:tc>
          <w:tcPr>
            <w:tcW w:w="1227" w:type="dxa"/>
          </w:tcPr>
          <w:p w14:paraId="3FC07697" w14:textId="2E4CA212" w:rsidR="00A048CB" w:rsidRPr="004360BF" w:rsidRDefault="00A048CB" w:rsidP="00D732C1">
            <w:pPr>
              <w:keepNext/>
              <w:spacing w:before="40" w:after="40"/>
              <w:jc w:val="right"/>
              <w:rPr>
                <w:sz w:val="22"/>
                <w:szCs w:val="22"/>
                <w:lang w:val="en-AU"/>
              </w:rPr>
            </w:pPr>
            <w:r w:rsidRPr="00626B7C">
              <w:rPr>
                <w:sz w:val="22"/>
                <w:szCs w:val="22"/>
                <w:lang w:val="en-AU"/>
              </w:rPr>
              <w:t>11.054</w:t>
            </w:r>
          </w:p>
        </w:tc>
        <w:tc>
          <w:tcPr>
            <w:tcW w:w="1227" w:type="dxa"/>
          </w:tcPr>
          <w:p w14:paraId="55925E17" w14:textId="4CF25A64" w:rsidR="00A048CB" w:rsidRPr="004360BF" w:rsidRDefault="00A048CB" w:rsidP="00D732C1">
            <w:pPr>
              <w:keepNext/>
              <w:spacing w:before="40" w:after="40"/>
              <w:jc w:val="right"/>
              <w:rPr>
                <w:sz w:val="22"/>
                <w:szCs w:val="22"/>
                <w:lang w:val="en-AU"/>
              </w:rPr>
            </w:pPr>
            <w:r w:rsidRPr="00626B7C">
              <w:rPr>
                <w:sz w:val="22"/>
                <w:szCs w:val="22"/>
                <w:lang w:val="en-AU"/>
              </w:rPr>
              <w:t>14.6%</w:t>
            </w:r>
          </w:p>
        </w:tc>
      </w:tr>
      <w:tr w:rsidR="00A048CB" w:rsidRPr="004360BF" w14:paraId="7CCAACF3" w14:textId="77777777" w:rsidTr="00626B7C">
        <w:tc>
          <w:tcPr>
            <w:tcW w:w="4820" w:type="dxa"/>
          </w:tcPr>
          <w:p w14:paraId="3BD362C3" w14:textId="77777777" w:rsidR="00A048CB" w:rsidRPr="004360BF" w:rsidRDefault="00A048CB" w:rsidP="00D732C1">
            <w:pPr>
              <w:keepNext/>
              <w:spacing w:before="40" w:after="40"/>
              <w:rPr>
                <w:rFonts w:cs="Tahoma"/>
                <w:sz w:val="22"/>
                <w:szCs w:val="22"/>
                <w:lang w:val="en-AU"/>
              </w:rPr>
            </w:pPr>
            <w:r w:rsidRPr="004360BF">
              <w:rPr>
                <w:sz w:val="22"/>
                <w:szCs w:val="22"/>
                <w:lang w:val="en-AU"/>
              </w:rPr>
              <w:t>Next 300 kVA per month</w:t>
            </w:r>
          </w:p>
        </w:tc>
        <w:tc>
          <w:tcPr>
            <w:tcW w:w="1278" w:type="dxa"/>
          </w:tcPr>
          <w:p w14:paraId="378095C0"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8.039</w:t>
            </w:r>
          </w:p>
        </w:tc>
        <w:tc>
          <w:tcPr>
            <w:tcW w:w="1227" w:type="dxa"/>
          </w:tcPr>
          <w:p w14:paraId="5AFDC875" w14:textId="08827D9B" w:rsidR="00A048CB" w:rsidRPr="004360BF" w:rsidRDefault="00A048CB" w:rsidP="00D732C1">
            <w:pPr>
              <w:keepNext/>
              <w:spacing w:before="40" w:after="40"/>
              <w:jc w:val="right"/>
              <w:rPr>
                <w:sz w:val="22"/>
                <w:szCs w:val="22"/>
                <w:lang w:val="en-AU"/>
              </w:rPr>
            </w:pPr>
            <w:r w:rsidRPr="00626B7C">
              <w:rPr>
                <w:sz w:val="22"/>
                <w:szCs w:val="22"/>
                <w:lang w:val="en-AU"/>
              </w:rPr>
              <w:t>9.148</w:t>
            </w:r>
          </w:p>
        </w:tc>
        <w:tc>
          <w:tcPr>
            <w:tcW w:w="1227" w:type="dxa"/>
          </w:tcPr>
          <w:p w14:paraId="550004F2" w14:textId="11195D88" w:rsidR="00A048CB" w:rsidRPr="004360BF" w:rsidRDefault="00A048CB" w:rsidP="00D732C1">
            <w:pPr>
              <w:keepNext/>
              <w:spacing w:before="40" w:after="40"/>
              <w:jc w:val="right"/>
              <w:rPr>
                <w:sz w:val="22"/>
                <w:szCs w:val="22"/>
                <w:lang w:val="en-AU"/>
              </w:rPr>
            </w:pPr>
            <w:r w:rsidRPr="00626B7C">
              <w:rPr>
                <w:sz w:val="22"/>
                <w:szCs w:val="22"/>
                <w:lang w:val="en-AU"/>
              </w:rPr>
              <w:t>13.8%</w:t>
            </w:r>
          </w:p>
        </w:tc>
      </w:tr>
      <w:tr w:rsidR="00A048CB" w:rsidRPr="004360BF" w14:paraId="6669CFEB" w14:textId="77777777" w:rsidTr="00626B7C">
        <w:tc>
          <w:tcPr>
            <w:tcW w:w="4820" w:type="dxa"/>
          </w:tcPr>
          <w:p w14:paraId="0659DBD8" w14:textId="77777777" w:rsidR="00A048CB" w:rsidRPr="004360BF" w:rsidRDefault="00A048CB" w:rsidP="00D732C1">
            <w:pPr>
              <w:keepNext/>
              <w:spacing w:before="40" w:after="40"/>
              <w:rPr>
                <w:rFonts w:cs="Tahoma"/>
                <w:sz w:val="22"/>
                <w:szCs w:val="22"/>
                <w:lang w:val="en-AU"/>
              </w:rPr>
            </w:pPr>
            <w:r w:rsidRPr="004360BF">
              <w:rPr>
                <w:sz w:val="22"/>
                <w:szCs w:val="22"/>
                <w:lang w:val="en-AU"/>
              </w:rPr>
              <w:t>Next 500 kVA per month</w:t>
            </w:r>
          </w:p>
        </w:tc>
        <w:tc>
          <w:tcPr>
            <w:tcW w:w="1278" w:type="dxa"/>
          </w:tcPr>
          <w:p w14:paraId="4053A0CC"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6.370</w:t>
            </w:r>
          </w:p>
        </w:tc>
        <w:tc>
          <w:tcPr>
            <w:tcW w:w="1227" w:type="dxa"/>
          </w:tcPr>
          <w:p w14:paraId="634C75D8" w14:textId="13F827C7" w:rsidR="00A048CB" w:rsidRPr="004360BF" w:rsidRDefault="00A048CB" w:rsidP="00D732C1">
            <w:pPr>
              <w:keepNext/>
              <w:spacing w:before="40" w:after="40"/>
              <w:jc w:val="right"/>
              <w:rPr>
                <w:sz w:val="22"/>
                <w:szCs w:val="22"/>
                <w:lang w:val="en-AU"/>
              </w:rPr>
            </w:pPr>
            <w:r w:rsidRPr="00626B7C">
              <w:rPr>
                <w:sz w:val="22"/>
                <w:szCs w:val="22"/>
                <w:lang w:val="en-AU"/>
              </w:rPr>
              <w:t>7.249</w:t>
            </w:r>
          </w:p>
        </w:tc>
        <w:tc>
          <w:tcPr>
            <w:tcW w:w="1227" w:type="dxa"/>
          </w:tcPr>
          <w:p w14:paraId="0751C11B" w14:textId="0BCF1DFA" w:rsidR="00A048CB" w:rsidRPr="004360BF" w:rsidRDefault="00A048CB" w:rsidP="00D732C1">
            <w:pPr>
              <w:keepNext/>
              <w:spacing w:before="40" w:after="40"/>
              <w:jc w:val="right"/>
              <w:rPr>
                <w:sz w:val="22"/>
                <w:szCs w:val="22"/>
                <w:lang w:val="en-AU"/>
              </w:rPr>
            </w:pPr>
            <w:r w:rsidRPr="00626B7C">
              <w:rPr>
                <w:sz w:val="22"/>
                <w:szCs w:val="22"/>
                <w:lang w:val="en-AU"/>
              </w:rPr>
              <w:t>13.8%</w:t>
            </w:r>
          </w:p>
        </w:tc>
      </w:tr>
      <w:tr w:rsidR="00A048CB" w:rsidRPr="004360BF" w14:paraId="03D76107" w14:textId="77777777" w:rsidTr="00626B7C">
        <w:tc>
          <w:tcPr>
            <w:tcW w:w="4820" w:type="dxa"/>
          </w:tcPr>
          <w:p w14:paraId="045A6389" w14:textId="77777777" w:rsidR="00A048CB" w:rsidRPr="004360BF" w:rsidRDefault="00A048CB" w:rsidP="00D732C1">
            <w:pPr>
              <w:keepNext/>
              <w:spacing w:before="40" w:after="40"/>
              <w:rPr>
                <w:rFonts w:cs="Tahoma"/>
                <w:sz w:val="22"/>
                <w:szCs w:val="22"/>
                <w:lang w:val="en-AU"/>
              </w:rPr>
            </w:pPr>
            <w:r w:rsidRPr="004360BF">
              <w:rPr>
                <w:sz w:val="22"/>
                <w:szCs w:val="22"/>
                <w:lang w:val="en-AU"/>
              </w:rPr>
              <w:t>Any further kVA per month</w:t>
            </w:r>
          </w:p>
        </w:tc>
        <w:tc>
          <w:tcPr>
            <w:tcW w:w="1278" w:type="dxa"/>
          </w:tcPr>
          <w:p w14:paraId="1AA9273C"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4.454</w:t>
            </w:r>
          </w:p>
        </w:tc>
        <w:tc>
          <w:tcPr>
            <w:tcW w:w="1227" w:type="dxa"/>
          </w:tcPr>
          <w:p w14:paraId="6652DF91" w14:textId="471E6EAB" w:rsidR="00A048CB" w:rsidRPr="004360BF" w:rsidRDefault="00A048CB" w:rsidP="00D732C1">
            <w:pPr>
              <w:keepNext/>
              <w:spacing w:before="40" w:after="40"/>
              <w:jc w:val="right"/>
              <w:rPr>
                <w:sz w:val="22"/>
                <w:szCs w:val="22"/>
                <w:lang w:val="en-AU"/>
              </w:rPr>
            </w:pPr>
            <w:r w:rsidRPr="00626B7C">
              <w:rPr>
                <w:sz w:val="22"/>
                <w:szCs w:val="22"/>
                <w:lang w:val="en-AU"/>
              </w:rPr>
              <w:t>5.247</w:t>
            </w:r>
          </w:p>
        </w:tc>
        <w:tc>
          <w:tcPr>
            <w:tcW w:w="1227" w:type="dxa"/>
          </w:tcPr>
          <w:p w14:paraId="1457B56A" w14:textId="23BDBAA4" w:rsidR="00A048CB" w:rsidRPr="004360BF" w:rsidRDefault="00A048CB" w:rsidP="00D732C1">
            <w:pPr>
              <w:keepNext/>
              <w:spacing w:before="40" w:after="40"/>
              <w:jc w:val="right"/>
              <w:rPr>
                <w:sz w:val="22"/>
                <w:szCs w:val="22"/>
                <w:lang w:val="en-AU"/>
              </w:rPr>
            </w:pPr>
            <w:r w:rsidRPr="00626B7C">
              <w:rPr>
                <w:sz w:val="22"/>
                <w:szCs w:val="22"/>
                <w:lang w:val="en-AU"/>
              </w:rPr>
              <w:t>17.8%</w:t>
            </w:r>
          </w:p>
        </w:tc>
      </w:tr>
      <w:tr w:rsidR="00A048CB" w:rsidRPr="004360BF" w14:paraId="7EADFBA7" w14:textId="77777777" w:rsidTr="00626B7C">
        <w:tc>
          <w:tcPr>
            <w:tcW w:w="4820" w:type="dxa"/>
          </w:tcPr>
          <w:p w14:paraId="78B201E3" w14:textId="77777777" w:rsidR="00A048CB" w:rsidRPr="004360BF" w:rsidRDefault="00A048CB" w:rsidP="00D732C1">
            <w:pPr>
              <w:keepNext/>
              <w:spacing w:before="40" w:after="40"/>
              <w:rPr>
                <w:rFonts w:cs="Tahoma"/>
                <w:sz w:val="22"/>
                <w:szCs w:val="22"/>
                <w:lang w:val="en-AU"/>
              </w:rPr>
            </w:pPr>
            <w:r w:rsidRPr="004360BF">
              <w:rPr>
                <w:b/>
                <w:i/>
                <w:sz w:val="22"/>
                <w:szCs w:val="22"/>
                <w:lang w:val="en-AU"/>
              </w:rPr>
              <w:t>Off peak period demand ($/kVA)</w:t>
            </w:r>
          </w:p>
        </w:tc>
        <w:tc>
          <w:tcPr>
            <w:tcW w:w="1278" w:type="dxa"/>
          </w:tcPr>
          <w:p w14:paraId="5FFF5215" w14:textId="77777777" w:rsidR="00A048CB" w:rsidRPr="004360BF" w:rsidRDefault="00A048CB" w:rsidP="00D732C1">
            <w:pPr>
              <w:keepNext/>
              <w:spacing w:before="40" w:after="40"/>
              <w:jc w:val="right"/>
              <w:rPr>
                <w:rFonts w:cs="Tahoma"/>
                <w:sz w:val="22"/>
                <w:szCs w:val="22"/>
                <w:lang w:val="en-AU"/>
              </w:rPr>
            </w:pPr>
          </w:p>
        </w:tc>
        <w:tc>
          <w:tcPr>
            <w:tcW w:w="1227" w:type="dxa"/>
          </w:tcPr>
          <w:p w14:paraId="60FCC9C4" w14:textId="15D10504" w:rsidR="00A048CB" w:rsidRPr="004360BF" w:rsidRDefault="00A048CB" w:rsidP="00D732C1">
            <w:pPr>
              <w:keepNext/>
              <w:spacing w:before="40" w:after="40"/>
              <w:jc w:val="right"/>
              <w:rPr>
                <w:sz w:val="22"/>
                <w:szCs w:val="22"/>
                <w:lang w:val="en-AU"/>
              </w:rPr>
            </w:pPr>
          </w:p>
        </w:tc>
        <w:tc>
          <w:tcPr>
            <w:tcW w:w="1227" w:type="dxa"/>
          </w:tcPr>
          <w:p w14:paraId="5CD551BF" w14:textId="0EBA15C4" w:rsidR="00A048CB" w:rsidRPr="004360BF" w:rsidRDefault="00A048CB" w:rsidP="00D732C1">
            <w:pPr>
              <w:keepNext/>
              <w:spacing w:before="40" w:after="40"/>
              <w:jc w:val="right"/>
              <w:rPr>
                <w:sz w:val="22"/>
                <w:szCs w:val="22"/>
                <w:lang w:val="en-AU"/>
              </w:rPr>
            </w:pPr>
          </w:p>
        </w:tc>
      </w:tr>
      <w:tr w:rsidR="00A048CB" w:rsidRPr="004360BF" w14:paraId="5F5DD9D5" w14:textId="77777777" w:rsidTr="00626B7C">
        <w:tc>
          <w:tcPr>
            <w:tcW w:w="4820" w:type="dxa"/>
          </w:tcPr>
          <w:p w14:paraId="739C2BC1" w14:textId="77777777" w:rsidR="00A048CB" w:rsidRPr="004360BF" w:rsidRDefault="00A048CB" w:rsidP="00D732C1">
            <w:pPr>
              <w:keepNext/>
              <w:spacing w:before="40" w:after="40"/>
              <w:rPr>
                <w:rFonts w:cs="Tahoma"/>
                <w:sz w:val="22"/>
                <w:szCs w:val="22"/>
                <w:lang w:val="en-AU"/>
              </w:rPr>
            </w:pPr>
            <w:r w:rsidRPr="004360BF">
              <w:rPr>
                <w:sz w:val="22"/>
                <w:szCs w:val="22"/>
                <w:lang w:val="en-AU"/>
              </w:rPr>
              <w:t>First 50 kVA per month</w:t>
            </w:r>
          </w:p>
        </w:tc>
        <w:tc>
          <w:tcPr>
            <w:tcW w:w="1278" w:type="dxa"/>
          </w:tcPr>
          <w:p w14:paraId="49476F24"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2.557</w:t>
            </w:r>
          </w:p>
        </w:tc>
        <w:tc>
          <w:tcPr>
            <w:tcW w:w="1227" w:type="dxa"/>
          </w:tcPr>
          <w:p w14:paraId="547FA4CC" w14:textId="75885FC6" w:rsidR="00A048CB" w:rsidRPr="004360BF" w:rsidRDefault="00A048CB" w:rsidP="00D732C1">
            <w:pPr>
              <w:keepNext/>
              <w:spacing w:before="40" w:after="40"/>
              <w:jc w:val="right"/>
              <w:rPr>
                <w:sz w:val="22"/>
                <w:szCs w:val="22"/>
                <w:lang w:val="en-AU"/>
              </w:rPr>
            </w:pPr>
            <w:r w:rsidRPr="00626B7C">
              <w:rPr>
                <w:sz w:val="22"/>
                <w:szCs w:val="22"/>
                <w:lang w:val="en-AU"/>
              </w:rPr>
              <w:t>2.608</w:t>
            </w:r>
          </w:p>
        </w:tc>
        <w:tc>
          <w:tcPr>
            <w:tcW w:w="1227" w:type="dxa"/>
          </w:tcPr>
          <w:p w14:paraId="3FE21574" w14:textId="6BCDF8D4" w:rsidR="00A048CB" w:rsidRPr="004360BF" w:rsidRDefault="00A048CB" w:rsidP="00D732C1">
            <w:pPr>
              <w:keepNext/>
              <w:spacing w:before="40" w:after="40"/>
              <w:jc w:val="right"/>
              <w:rPr>
                <w:sz w:val="22"/>
                <w:szCs w:val="22"/>
                <w:lang w:val="en-AU"/>
              </w:rPr>
            </w:pPr>
            <w:r w:rsidRPr="00626B7C">
              <w:rPr>
                <w:sz w:val="22"/>
                <w:szCs w:val="22"/>
                <w:lang w:val="en-AU"/>
              </w:rPr>
              <w:t>2.0%</w:t>
            </w:r>
          </w:p>
        </w:tc>
      </w:tr>
      <w:tr w:rsidR="00A048CB" w:rsidRPr="004360BF" w14:paraId="225CE34F" w14:textId="77777777" w:rsidTr="00626B7C">
        <w:tc>
          <w:tcPr>
            <w:tcW w:w="4820" w:type="dxa"/>
          </w:tcPr>
          <w:p w14:paraId="2E7AA04A" w14:textId="77777777" w:rsidR="00A048CB" w:rsidRPr="004360BF" w:rsidRDefault="00A048CB" w:rsidP="00D732C1">
            <w:pPr>
              <w:keepNext/>
              <w:spacing w:before="40" w:after="40"/>
              <w:rPr>
                <w:rFonts w:cs="Tahoma"/>
                <w:sz w:val="22"/>
                <w:szCs w:val="22"/>
                <w:lang w:val="en-AU"/>
              </w:rPr>
            </w:pPr>
            <w:r w:rsidRPr="004360BF">
              <w:rPr>
                <w:sz w:val="22"/>
                <w:szCs w:val="22"/>
                <w:lang w:val="en-AU"/>
              </w:rPr>
              <w:t>Next 100 kVA per month</w:t>
            </w:r>
          </w:p>
        </w:tc>
        <w:tc>
          <w:tcPr>
            <w:tcW w:w="1278" w:type="dxa"/>
          </w:tcPr>
          <w:p w14:paraId="3163FD8B"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2.294</w:t>
            </w:r>
          </w:p>
        </w:tc>
        <w:tc>
          <w:tcPr>
            <w:tcW w:w="1227" w:type="dxa"/>
          </w:tcPr>
          <w:p w14:paraId="64027BFC" w14:textId="57EC1C3C" w:rsidR="00A048CB" w:rsidRPr="004360BF" w:rsidRDefault="00A048CB" w:rsidP="00D732C1">
            <w:pPr>
              <w:keepNext/>
              <w:spacing w:before="40" w:after="40"/>
              <w:jc w:val="right"/>
              <w:rPr>
                <w:sz w:val="22"/>
                <w:szCs w:val="22"/>
                <w:lang w:val="en-AU"/>
              </w:rPr>
            </w:pPr>
            <w:r w:rsidRPr="00626B7C">
              <w:rPr>
                <w:sz w:val="22"/>
                <w:szCs w:val="22"/>
                <w:lang w:val="en-AU"/>
              </w:rPr>
              <w:t>2.608</w:t>
            </w:r>
          </w:p>
        </w:tc>
        <w:tc>
          <w:tcPr>
            <w:tcW w:w="1227" w:type="dxa"/>
          </w:tcPr>
          <w:p w14:paraId="4E5B5F1E" w14:textId="2F292138" w:rsidR="00A048CB" w:rsidRPr="004360BF" w:rsidRDefault="00A048CB" w:rsidP="00D732C1">
            <w:pPr>
              <w:keepNext/>
              <w:spacing w:before="40" w:after="40"/>
              <w:jc w:val="right"/>
              <w:rPr>
                <w:sz w:val="22"/>
                <w:szCs w:val="22"/>
                <w:lang w:val="en-AU"/>
              </w:rPr>
            </w:pPr>
            <w:r w:rsidRPr="00626B7C">
              <w:rPr>
                <w:sz w:val="22"/>
                <w:szCs w:val="22"/>
                <w:lang w:val="en-AU"/>
              </w:rPr>
              <w:t>13.7%</w:t>
            </w:r>
          </w:p>
        </w:tc>
      </w:tr>
      <w:tr w:rsidR="00A048CB" w:rsidRPr="004360BF" w14:paraId="46809487" w14:textId="77777777" w:rsidTr="00626B7C">
        <w:tc>
          <w:tcPr>
            <w:tcW w:w="4820" w:type="dxa"/>
          </w:tcPr>
          <w:p w14:paraId="60890645" w14:textId="77777777" w:rsidR="00A048CB" w:rsidRPr="004360BF" w:rsidRDefault="00A048CB" w:rsidP="00D732C1">
            <w:pPr>
              <w:keepNext/>
              <w:spacing w:before="40" w:after="40"/>
              <w:rPr>
                <w:rFonts w:cs="Tahoma"/>
                <w:sz w:val="22"/>
                <w:szCs w:val="22"/>
                <w:lang w:val="en-AU"/>
              </w:rPr>
            </w:pPr>
            <w:r w:rsidRPr="004360BF">
              <w:rPr>
                <w:sz w:val="22"/>
                <w:szCs w:val="22"/>
                <w:lang w:val="en-AU"/>
              </w:rPr>
              <w:t>Next 300 kVA per month</w:t>
            </w:r>
          </w:p>
        </w:tc>
        <w:tc>
          <w:tcPr>
            <w:tcW w:w="1278" w:type="dxa"/>
          </w:tcPr>
          <w:p w14:paraId="03C2643B" w14:textId="77777777" w:rsidR="00A048CB" w:rsidRPr="004360BF" w:rsidRDefault="00A048CB" w:rsidP="00D732C1">
            <w:pPr>
              <w:keepNext/>
              <w:spacing w:before="40" w:after="40"/>
              <w:jc w:val="right"/>
              <w:rPr>
                <w:rFonts w:cs="Tahoma"/>
                <w:sz w:val="22"/>
                <w:szCs w:val="22"/>
                <w:lang w:val="en-AU"/>
              </w:rPr>
            </w:pPr>
            <w:r w:rsidRPr="004360BF">
              <w:rPr>
                <w:sz w:val="22"/>
                <w:szCs w:val="22"/>
                <w:lang w:val="en-AU"/>
              </w:rPr>
              <w:t>1.775</w:t>
            </w:r>
          </w:p>
        </w:tc>
        <w:tc>
          <w:tcPr>
            <w:tcW w:w="1227" w:type="dxa"/>
          </w:tcPr>
          <w:p w14:paraId="538BD2C5" w14:textId="45A6B7C7" w:rsidR="00A048CB" w:rsidRPr="004360BF" w:rsidRDefault="00A048CB" w:rsidP="00D732C1">
            <w:pPr>
              <w:keepNext/>
              <w:spacing w:before="40" w:after="40"/>
              <w:jc w:val="right"/>
              <w:rPr>
                <w:sz w:val="22"/>
                <w:szCs w:val="22"/>
                <w:lang w:val="en-AU"/>
              </w:rPr>
            </w:pPr>
            <w:r w:rsidRPr="00626B7C">
              <w:rPr>
                <w:sz w:val="22"/>
                <w:szCs w:val="22"/>
                <w:lang w:val="en-AU"/>
              </w:rPr>
              <w:t>1.984</w:t>
            </w:r>
          </w:p>
        </w:tc>
        <w:tc>
          <w:tcPr>
            <w:tcW w:w="1227" w:type="dxa"/>
          </w:tcPr>
          <w:p w14:paraId="3621B745" w14:textId="7178E2EE" w:rsidR="00A048CB" w:rsidRPr="004360BF" w:rsidRDefault="00A048CB" w:rsidP="00D732C1">
            <w:pPr>
              <w:keepNext/>
              <w:spacing w:before="40" w:after="40"/>
              <w:jc w:val="right"/>
              <w:rPr>
                <w:sz w:val="22"/>
                <w:szCs w:val="22"/>
                <w:lang w:val="en-AU"/>
              </w:rPr>
            </w:pPr>
            <w:r w:rsidRPr="00626B7C">
              <w:rPr>
                <w:sz w:val="22"/>
                <w:szCs w:val="22"/>
                <w:lang w:val="en-AU"/>
              </w:rPr>
              <w:t>11.8%</w:t>
            </w:r>
          </w:p>
        </w:tc>
      </w:tr>
      <w:tr w:rsidR="00A048CB" w:rsidRPr="004360BF" w14:paraId="23C7EFFA" w14:textId="77777777" w:rsidTr="00626B7C">
        <w:tc>
          <w:tcPr>
            <w:tcW w:w="4820" w:type="dxa"/>
          </w:tcPr>
          <w:p w14:paraId="4DCEDD4D" w14:textId="77777777" w:rsidR="00A048CB" w:rsidRPr="004360BF" w:rsidRDefault="00A048CB" w:rsidP="00D732C1">
            <w:pPr>
              <w:keepNext/>
              <w:spacing w:before="40" w:after="40"/>
              <w:rPr>
                <w:sz w:val="22"/>
                <w:szCs w:val="22"/>
                <w:lang w:val="en-AU"/>
              </w:rPr>
            </w:pPr>
            <w:r w:rsidRPr="004360BF">
              <w:rPr>
                <w:sz w:val="22"/>
                <w:szCs w:val="22"/>
                <w:lang w:val="en-AU"/>
              </w:rPr>
              <w:t>Next 500 kVA per month</w:t>
            </w:r>
          </w:p>
        </w:tc>
        <w:tc>
          <w:tcPr>
            <w:tcW w:w="1278" w:type="dxa"/>
          </w:tcPr>
          <w:p w14:paraId="140CC025" w14:textId="77777777" w:rsidR="00A048CB" w:rsidRPr="004360BF" w:rsidRDefault="00A048CB" w:rsidP="00D732C1">
            <w:pPr>
              <w:keepNext/>
              <w:spacing w:before="40" w:after="40"/>
              <w:jc w:val="right"/>
              <w:rPr>
                <w:sz w:val="22"/>
                <w:szCs w:val="22"/>
                <w:lang w:val="en-AU"/>
              </w:rPr>
            </w:pPr>
            <w:r w:rsidRPr="004360BF">
              <w:rPr>
                <w:sz w:val="22"/>
                <w:szCs w:val="22"/>
                <w:lang w:val="en-AU"/>
              </w:rPr>
              <w:t>1.775</w:t>
            </w:r>
          </w:p>
        </w:tc>
        <w:tc>
          <w:tcPr>
            <w:tcW w:w="1227" w:type="dxa"/>
          </w:tcPr>
          <w:p w14:paraId="483417DE" w14:textId="27E515C0" w:rsidR="00A048CB" w:rsidRPr="004360BF" w:rsidRDefault="00A048CB" w:rsidP="00D732C1">
            <w:pPr>
              <w:keepNext/>
              <w:spacing w:before="40" w:after="40"/>
              <w:jc w:val="right"/>
              <w:rPr>
                <w:sz w:val="22"/>
                <w:szCs w:val="22"/>
                <w:lang w:val="en-AU"/>
              </w:rPr>
            </w:pPr>
            <w:r w:rsidRPr="00626B7C">
              <w:rPr>
                <w:sz w:val="22"/>
                <w:szCs w:val="22"/>
                <w:lang w:val="en-AU"/>
              </w:rPr>
              <w:t>1.984</w:t>
            </w:r>
          </w:p>
        </w:tc>
        <w:tc>
          <w:tcPr>
            <w:tcW w:w="1227" w:type="dxa"/>
          </w:tcPr>
          <w:p w14:paraId="118483FB" w14:textId="18042129" w:rsidR="00A048CB" w:rsidRPr="004360BF" w:rsidRDefault="00A048CB" w:rsidP="00D732C1">
            <w:pPr>
              <w:keepNext/>
              <w:spacing w:before="40" w:after="40"/>
              <w:jc w:val="right"/>
              <w:rPr>
                <w:sz w:val="22"/>
                <w:szCs w:val="22"/>
                <w:lang w:val="en-AU"/>
              </w:rPr>
            </w:pPr>
            <w:r w:rsidRPr="00626B7C">
              <w:rPr>
                <w:sz w:val="22"/>
                <w:szCs w:val="22"/>
                <w:lang w:val="en-AU"/>
              </w:rPr>
              <w:t>11.8%</w:t>
            </w:r>
          </w:p>
        </w:tc>
      </w:tr>
      <w:tr w:rsidR="00A048CB" w:rsidRPr="004360BF" w14:paraId="0DC56AF4" w14:textId="77777777" w:rsidTr="00626B7C">
        <w:tc>
          <w:tcPr>
            <w:tcW w:w="4820" w:type="dxa"/>
          </w:tcPr>
          <w:p w14:paraId="484E21B6" w14:textId="77777777" w:rsidR="00A048CB" w:rsidRPr="004360BF" w:rsidRDefault="00A048CB" w:rsidP="00D732C1">
            <w:pPr>
              <w:keepNext/>
              <w:spacing w:before="40" w:after="40"/>
              <w:rPr>
                <w:sz w:val="22"/>
                <w:szCs w:val="22"/>
                <w:lang w:val="en-AU"/>
              </w:rPr>
            </w:pPr>
            <w:r w:rsidRPr="004360BF">
              <w:rPr>
                <w:sz w:val="22"/>
                <w:szCs w:val="22"/>
                <w:lang w:val="en-AU"/>
              </w:rPr>
              <w:t>Any further kVA per month</w:t>
            </w:r>
          </w:p>
        </w:tc>
        <w:tc>
          <w:tcPr>
            <w:tcW w:w="1278" w:type="dxa"/>
          </w:tcPr>
          <w:p w14:paraId="78701F6D" w14:textId="77777777" w:rsidR="00A048CB" w:rsidRPr="004360BF" w:rsidRDefault="00A048CB" w:rsidP="00D732C1">
            <w:pPr>
              <w:keepNext/>
              <w:spacing w:before="40" w:after="40"/>
              <w:jc w:val="right"/>
              <w:rPr>
                <w:sz w:val="22"/>
                <w:szCs w:val="22"/>
                <w:lang w:val="en-AU"/>
              </w:rPr>
            </w:pPr>
            <w:r w:rsidRPr="004360BF">
              <w:rPr>
                <w:sz w:val="22"/>
                <w:szCs w:val="22"/>
                <w:lang w:val="en-AU"/>
              </w:rPr>
              <w:t>1.337</w:t>
            </w:r>
          </w:p>
        </w:tc>
        <w:tc>
          <w:tcPr>
            <w:tcW w:w="1227" w:type="dxa"/>
          </w:tcPr>
          <w:p w14:paraId="0072906A" w14:textId="433269EF" w:rsidR="00A048CB" w:rsidRPr="004360BF" w:rsidRDefault="00A048CB" w:rsidP="00D732C1">
            <w:pPr>
              <w:keepNext/>
              <w:spacing w:before="40" w:after="40"/>
              <w:jc w:val="right"/>
              <w:rPr>
                <w:sz w:val="22"/>
                <w:szCs w:val="22"/>
                <w:lang w:val="en-AU"/>
              </w:rPr>
            </w:pPr>
            <w:r w:rsidRPr="00626B7C">
              <w:rPr>
                <w:sz w:val="22"/>
                <w:szCs w:val="22"/>
                <w:lang w:val="en-AU"/>
              </w:rPr>
              <w:t>1.575</w:t>
            </w:r>
          </w:p>
        </w:tc>
        <w:tc>
          <w:tcPr>
            <w:tcW w:w="1227" w:type="dxa"/>
          </w:tcPr>
          <w:p w14:paraId="461AD0B4" w14:textId="1A803308" w:rsidR="00A048CB" w:rsidRPr="004360BF" w:rsidRDefault="00A048CB" w:rsidP="00D732C1">
            <w:pPr>
              <w:keepNext/>
              <w:spacing w:before="40" w:after="40"/>
              <w:jc w:val="right"/>
              <w:rPr>
                <w:sz w:val="22"/>
                <w:szCs w:val="22"/>
                <w:lang w:val="en-AU"/>
              </w:rPr>
            </w:pPr>
            <w:r w:rsidRPr="00626B7C">
              <w:rPr>
                <w:sz w:val="22"/>
                <w:szCs w:val="22"/>
                <w:lang w:val="en-AU"/>
              </w:rPr>
              <w:t>17.8%</w:t>
            </w:r>
          </w:p>
        </w:tc>
      </w:tr>
    </w:tbl>
    <w:p w14:paraId="69A4BE3F" w14:textId="77777777" w:rsidR="006D0DFC" w:rsidRPr="004360BF" w:rsidRDefault="006D0DFC" w:rsidP="00501D42">
      <w:pPr>
        <w:rPr>
          <w:lang w:val="en-AU"/>
        </w:rPr>
      </w:pPr>
      <w:bookmarkStart w:id="388" w:name="_Ref240614478"/>
      <w:bookmarkStart w:id="389" w:name="_Ref240621468"/>
      <w:bookmarkEnd w:id="360"/>
    </w:p>
    <w:p w14:paraId="70236C26" w14:textId="77777777" w:rsidR="00942DE7" w:rsidRPr="004360BF" w:rsidRDefault="00942DE7" w:rsidP="00904125">
      <w:pPr>
        <w:rPr>
          <w:rFonts w:ascii="Arial" w:hAnsi="Arial"/>
          <w:sz w:val="26"/>
          <w:lang w:val="en-AU"/>
        </w:rPr>
      </w:pPr>
      <w:bookmarkStart w:id="390" w:name="_Ref258680641"/>
      <w:bookmarkStart w:id="391" w:name="_Ref258680729"/>
      <w:bookmarkEnd w:id="388"/>
      <w:bookmarkEnd w:id="389"/>
      <w:r w:rsidRPr="004360BF">
        <w:rPr>
          <w:lang w:val="en-AU"/>
        </w:rPr>
        <w:br w:type="page"/>
      </w:r>
    </w:p>
    <w:p w14:paraId="19F8D1E9" w14:textId="77777777" w:rsidR="008145B7" w:rsidRPr="004360BF" w:rsidRDefault="008145B7" w:rsidP="00B30BF6">
      <w:pPr>
        <w:pStyle w:val="Heading1"/>
      </w:pPr>
      <w:bookmarkStart w:id="392" w:name="_Toc417291263"/>
      <w:bookmarkStart w:id="393" w:name="_Toc417291772"/>
      <w:bookmarkStart w:id="394" w:name="_Toc417292540"/>
      <w:bookmarkStart w:id="395" w:name="_Toc291262260"/>
      <w:bookmarkStart w:id="396" w:name="_Ref291313360"/>
      <w:bookmarkStart w:id="397" w:name="_Toc417458025"/>
      <w:bookmarkStart w:id="398" w:name="_Toc418608694"/>
      <w:r w:rsidRPr="004360BF">
        <w:lastRenderedPageBreak/>
        <w:t>Customer Impacts</w:t>
      </w:r>
      <w:bookmarkEnd w:id="390"/>
      <w:bookmarkEnd w:id="391"/>
      <w:bookmarkEnd w:id="392"/>
      <w:bookmarkEnd w:id="393"/>
      <w:bookmarkEnd w:id="394"/>
      <w:bookmarkEnd w:id="395"/>
      <w:bookmarkEnd w:id="396"/>
      <w:bookmarkEnd w:id="397"/>
      <w:bookmarkEnd w:id="398"/>
    </w:p>
    <w:p w14:paraId="7999A4E4" w14:textId="77777777" w:rsidR="00223D0E" w:rsidRPr="004360BF" w:rsidRDefault="00501D42" w:rsidP="00B30BF6">
      <w:pPr>
        <w:pStyle w:val="Heading2"/>
      </w:pPr>
      <w:bookmarkStart w:id="399" w:name="_Toc417291264"/>
      <w:bookmarkStart w:id="400" w:name="_Toc417291773"/>
      <w:bookmarkStart w:id="401" w:name="_Toc417292541"/>
      <w:bookmarkStart w:id="402" w:name="_Toc291262261"/>
      <w:bookmarkStart w:id="403" w:name="_Ref291313260"/>
      <w:bookmarkStart w:id="404" w:name="_Toc417458026"/>
      <w:bookmarkStart w:id="405" w:name="_Toc418608695"/>
      <w:r w:rsidRPr="004360BF">
        <w:t>Indicative</w:t>
      </w:r>
      <w:r w:rsidR="00223D0E" w:rsidRPr="004360BF">
        <w:t xml:space="preserve"> customer impact</w:t>
      </w:r>
      <w:bookmarkEnd w:id="399"/>
      <w:bookmarkEnd w:id="400"/>
      <w:bookmarkEnd w:id="401"/>
      <w:bookmarkEnd w:id="402"/>
      <w:bookmarkEnd w:id="403"/>
      <w:bookmarkEnd w:id="404"/>
      <w:bookmarkEnd w:id="405"/>
    </w:p>
    <w:p w14:paraId="1657C973" w14:textId="77777777" w:rsidR="006D0DFC" w:rsidRPr="004360BF" w:rsidRDefault="006D0DFC" w:rsidP="00031DD7">
      <w:pPr>
        <w:rPr>
          <w:lang w:val="en-AU" w:eastAsia="en-AU"/>
        </w:rPr>
      </w:pPr>
      <w:r w:rsidRPr="004360BF">
        <w:rPr>
          <w:lang w:val="en-AU" w:eastAsia="en-AU"/>
        </w:rPr>
        <w:t xml:space="preserve">The proposed increase in </w:t>
      </w:r>
      <w:r w:rsidR="003914F2" w:rsidRPr="004360BF">
        <w:rPr>
          <w:lang w:val="en-AU" w:eastAsia="en-AU"/>
        </w:rPr>
        <w:t>n</w:t>
      </w:r>
      <w:r w:rsidRPr="004360BF">
        <w:rPr>
          <w:lang w:val="en-AU" w:eastAsia="en-AU"/>
        </w:rPr>
        <w:t xml:space="preserve">etwork </w:t>
      </w:r>
      <w:r w:rsidR="003914F2" w:rsidRPr="004360BF">
        <w:rPr>
          <w:lang w:val="en-AU" w:eastAsia="en-AU"/>
        </w:rPr>
        <w:t>t</w:t>
      </w:r>
      <w:r w:rsidRPr="004360BF">
        <w:rPr>
          <w:lang w:val="en-AU" w:eastAsia="en-AU"/>
        </w:rPr>
        <w:t xml:space="preserve">ariffs is passed on to retailers in the first instance. Retailers can pass on the increased </w:t>
      </w:r>
      <w:r w:rsidR="003914F2" w:rsidRPr="004360BF">
        <w:rPr>
          <w:lang w:val="en-AU" w:eastAsia="en-AU"/>
        </w:rPr>
        <w:t>n</w:t>
      </w:r>
      <w:r w:rsidRPr="004360BF">
        <w:rPr>
          <w:lang w:val="en-AU" w:eastAsia="en-AU"/>
        </w:rPr>
        <w:t xml:space="preserve">etwork </w:t>
      </w:r>
      <w:r w:rsidR="003914F2" w:rsidRPr="004360BF">
        <w:rPr>
          <w:lang w:val="en-AU" w:eastAsia="en-AU"/>
        </w:rPr>
        <w:t>t</w:t>
      </w:r>
      <w:r w:rsidRPr="004360BF">
        <w:rPr>
          <w:lang w:val="en-AU" w:eastAsia="en-AU"/>
        </w:rPr>
        <w:t>ariffs to contracted customers if they have a pass-through clause in their contracts. However, for customers o</w:t>
      </w:r>
      <w:r w:rsidR="00A708B7" w:rsidRPr="004360BF">
        <w:rPr>
          <w:lang w:val="en-AU" w:eastAsia="en-AU"/>
        </w:rPr>
        <w:t>n pricing orders, retailers can</w:t>
      </w:r>
      <w:r w:rsidRPr="004360BF">
        <w:rPr>
          <w:lang w:val="en-AU" w:eastAsia="en-AU"/>
        </w:rPr>
        <w:t>not charge above the regulated retail tariff.</w:t>
      </w:r>
    </w:p>
    <w:p w14:paraId="40D7F5C0" w14:textId="02B70F54" w:rsidR="006D0DFC" w:rsidRPr="004360BF" w:rsidRDefault="003914F2" w:rsidP="00AB6EF7">
      <w:pPr>
        <w:keepNext/>
        <w:rPr>
          <w:lang w:val="en-AU" w:eastAsia="en-AU"/>
        </w:rPr>
      </w:pPr>
      <w:r w:rsidRPr="004360BF">
        <w:rPr>
          <w:lang w:val="en-AU" w:eastAsia="en-AU"/>
        </w:rPr>
        <w:t>In accordance with</w:t>
      </w:r>
      <w:r w:rsidRPr="004360BF">
        <w:rPr>
          <w:lang w:val="en-AU"/>
        </w:rPr>
        <w:t xml:space="preserve"> the customer impact requirement of clause 18.1(</w:t>
      </w:r>
      <w:proofErr w:type="spellStart"/>
      <w:r w:rsidRPr="004360BF">
        <w:rPr>
          <w:lang w:val="en-AU"/>
        </w:rPr>
        <w:t>i</w:t>
      </w:r>
      <w:proofErr w:type="spellEnd"/>
      <w:r w:rsidRPr="004360BF">
        <w:rPr>
          <w:lang w:val="en-AU"/>
        </w:rPr>
        <w:t xml:space="preserve">) of the RIN, </w:t>
      </w:r>
      <w:r w:rsidR="0036456E" w:rsidRPr="004360BF">
        <w:rPr>
          <w:lang w:val="en-AU"/>
        </w:rPr>
        <w:fldChar w:fldCharType="begin"/>
      </w:r>
      <w:r w:rsidR="0036456E" w:rsidRPr="004360BF">
        <w:rPr>
          <w:lang w:val="en-AU"/>
        </w:rPr>
        <w:instrText xml:space="preserve"> REF _Ref240619986 \h </w:instrText>
      </w:r>
      <w:r w:rsidR="0036456E" w:rsidRPr="004360BF">
        <w:rPr>
          <w:lang w:val="en-AU"/>
        </w:rPr>
      </w:r>
      <w:r w:rsidR="0036456E" w:rsidRPr="004360BF">
        <w:rPr>
          <w:lang w:val="en-AU"/>
        </w:rPr>
        <w:fldChar w:fldCharType="separate"/>
      </w:r>
      <w:r w:rsidR="008D3215" w:rsidRPr="004360BF">
        <w:rPr>
          <w:lang w:val="en-AU"/>
        </w:rPr>
        <w:t xml:space="preserve">Table </w:t>
      </w:r>
      <w:r w:rsidR="008D3215">
        <w:rPr>
          <w:noProof/>
          <w:lang w:val="en-AU"/>
        </w:rPr>
        <w:t>16</w:t>
      </w:r>
      <w:r w:rsidR="0036456E" w:rsidRPr="004360BF">
        <w:rPr>
          <w:lang w:val="en-AU"/>
        </w:rPr>
        <w:fldChar w:fldCharType="end"/>
      </w:r>
      <w:r w:rsidR="0036456E" w:rsidRPr="004360BF">
        <w:rPr>
          <w:lang w:val="en-AU"/>
        </w:rPr>
        <w:t xml:space="preserve"> </w:t>
      </w:r>
      <w:r w:rsidR="006D0DFC" w:rsidRPr="004360BF">
        <w:rPr>
          <w:lang w:val="en-AU" w:eastAsia="en-AU"/>
        </w:rPr>
        <w:t>below outlines the i</w:t>
      </w:r>
      <w:r w:rsidR="00A708B7" w:rsidRPr="004360BF">
        <w:rPr>
          <w:lang w:val="en-AU" w:eastAsia="en-AU"/>
        </w:rPr>
        <w:t>ndicative i</w:t>
      </w:r>
      <w:r w:rsidR="006D0DFC" w:rsidRPr="004360BF">
        <w:rPr>
          <w:lang w:val="en-AU" w:eastAsia="en-AU"/>
        </w:rPr>
        <w:t xml:space="preserve">mpacts of the proposed </w:t>
      </w:r>
      <w:r w:rsidRPr="004360BF">
        <w:rPr>
          <w:lang w:val="en-AU" w:eastAsia="en-AU"/>
        </w:rPr>
        <w:t>n</w:t>
      </w:r>
      <w:r w:rsidR="006D0DFC" w:rsidRPr="004360BF">
        <w:rPr>
          <w:lang w:val="en-AU" w:eastAsia="en-AU"/>
        </w:rPr>
        <w:t xml:space="preserve">etwork </w:t>
      </w:r>
      <w:r w:rsidRPr="004360BF">
        <w:rPr>
          <w:lang w:val="en-AU" w:eastAsia="en-AU"/>
        </w:rPr>
        <w:t>t</w:t>
      </w:r>
      <w:r w:rsidR="006D0DFC" w:rsidRPr="004360BF">
        <w:rPr>
          <w:lang w:val="en-AU" w:eastAsia="en-AU"/>
        </w:rPr>
        <w:t xml:space="preserve">ariff increase </w:t>
      </w:r>
      <w:r w:rsidR="0033288F" w:rsidRPr="004360BF">
        <w:rPr>
          <w:lang w:val="en-AU" w:eastAsia="en-AU"/>
        </w:rPr>
        <w:t xml:space="preserve">on the electricity price </w:t>
      </w:r>
      <w:r w:rsidR="006D0DFC" w:rsidRPr="004360BF">
        <w:rPr>
          <w:lang w:val="en-AU" w:eastAsia="en-AU"/>
        </w:rPr>
        <w:t>for each customer type, based on a sample of customers.</w:t>
      </w:r>
    </w:p>
    <w:p w14:paraId="37FBB0B3" w14:textId="77777777" w:rsidR="006D0DFC" w:rsidRPr="004360BF" w:rsidRDefault="006D0DFC" w:rsidP="00AB6EF7">
      <w:pPr>
        <w:pStyle w:val="Caption"/>
        <w:rPr>
          <w:lang w:val="en-AU"/>
        </w:rPr>
      </w:pPr>
      <w:bookmarkStart w:id="406" w:name="_Ref240619986"/>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16</w:t>
      </w:r>
      <w:r w:rsidR="00517DD9" w:rsidRPr="004360BF">
        <w:rPr>
          <w:lang w:val="en-AU"/>
        </w:rPr>
        <w:fldChar w:fldCharType="end"/>
      </w:r>
      <w:bookmarkEnd w:id="406"/>
      <w:r w:rsidRPr="004360BF">
        <w:rPr>
          <w:lang w:val="en-AU"/>
        </w:rPr>
        <w:t xml:space="preserve"> –I</w:t>
      </w:r>
      <w:r w:rsidR="00A708B7" w:rsidRPr="004360BF">
        <w:rPr>
          <w:lang w:val="en-AU"/>
        </w:rPr>
        <w:t xml:space="preserve">ndicative </w:t>
      </w:r>
      <w:r w:rsidR="0018622D" w:rsidRPr="004360BF">
        <w:rPr>
          <w:lang w:val="en-AU"/>
        </w:rPr>
        <w:t xml:space="preserve">Average </w:t>
      </w:r>
      <w:r w:rsidR="00A708B7" w:rsidRPr="004360BF">
        <w:rPr>
          <w:lang w:val="en-AU"/>
        </w:rPr>
        <w:t>I</w:t>
      </w:r>
      <w:r w:rsidRPr="004360BF">
        <w:rPr>
          <w:lang w:val="en-AU"/>
        </w:rPr>
        <w:t xml:space="preserve">mpact on </w:t>
      </w:r>
      <w:r w:rsidR="0018622D" w:rsidRPr="004360BF">
        <w:rPr>
          <w:lang w:val="en-AU"/>
        </w:rPr>
        <w:t>C</w:t>
      </w:r>
      <w:r w:rsidRPr="004360BF">
        <w:rPr>
          <w:lang w:val="en-AU"/>
        </w:rPr>
        <w:t>ustomers</w:t>
      </w:r>
      <w:r w:rsidR="00A708B7" w:rsidRPr="004360BF">
        <w:rPr>
          <w:lang w:val="en-AU"/>
        </w:rPr>
        <w:t xml:space="preserve"> </w:t>
      </w:r>
    </w:p>
    <w:tbl>
      <w:tblPr>
        <w:tblW w:w="0" w:type="auto"/>
        <w:tblLayout w:type="fixed"/>
        <w:tblLook w:val="00A0" w:firstRow="1" w:lastRow="0" w:firstColumn="1" w:lastColumn="0" w:noHBand="0" w:noVBand="0"/>
      </w:tblPr>
      <w:tblGrid>
        <w:gridCol w:w="3000"/>
        <w:gridCol w:w="1985"/>
        <w:gridCol w:w="1984"/>
        <w:gridCol w:w="1985"/>
      </w:tblGrid>
      <w:tr w:rsidR="0018622D" w:rsidRPr="004360BF" w14:paraId="46C5958E" w14:textId="77777777" w:rsidTr="00904125">
        <w:trPr>
          <w:trHeight w:val="662"/>
        </w:trPr>
        <w:tc>
          <w:tcPr>
            <w:tcW w:w="3000" w:type="dxa"/>
          </w:tcPr>
          <w:p w14:paraId="4DB696B9" w14:textId="77FC7E38" w:rsidR="00146715" w:rsidRPr="004360BF" w:rsidRDefault="00447E76" w:rsidP="00D732C1">
            <w:pPr>
              <w:keepNext/>
              <w:spacing w:before="40" w:after="40"/>
              <w:rPr>
                <w:b/>
                <w:sz w:val="22"/>
                <w:szCs w:val="22"/>
                <w:lang w:val="en-AU"/>
              </w:rPr>
            </w:pPr>
            <w:r w:rsidRPr="004360BF">
              <w:rPr>
                <w:b/>
                <w:sz w:val="22"/>
                <w:szCs w:val="22"/>
                <w:lang w:val="en-AU"/>
              </w:rPr>
              <w:t>Tariff</w:t>
            </w:r>
          </w:p>
        </w:tc>
        <w:tc>
          <w:tcPr>
            <w:tcW w:w="1985" w:type="dxa"/>
          </w:tcPr>
          <w:p w14:paraId="70C10CEC" w14:textId="77777777" w:rsidR="00146715" w:rsidRPr="004360BF" w:rsidRDefault="00146715" w:rsidP="00B83CD6">
            <w:pPr>
              <w:keepNext/>
              <w:spacing w:before="40" w:after="40"/>
              <w:jc w:val="center"/>
              <w:rPr>
                <w:b/>
                <w:sz w:val="22"/>
                <w:szCs w:val="22"/>
                <w:lang w:val="en-AU"/>
              </w:rPr>
            </w:pPr>
            <w:r w:rsidRPr="004360BF">
              <w:rPr>
                <w:b/>
                <w:sz w:val="22"/>
                <w:szCs w:val="22"/>
                <w:lang w:val="en-AU"/>
              </w:rPr>
              <w:t xml:space="preserve">Total Bill $ Increase </w:t>
            </w:r>
          </w:p>
        </w:tc>
        <w:tc>
          <w:tcPr>
            <w:tcW w:w="1984" w:type="dxa"/>
          </w:tcPr>
          <w:p w14:paraId="3919B225" w14:textId="77777777" w:rsidR="00146715" w:rsidRPr="004360BF" w:rsidRDefault="0018622D" w:rsidP="00D732C1">
            <w:pPr>
              <w:keepNext/>
              <w:spacing w:before="40" w:after="40"/>
              <w:jc w:val="center"/>
              <w:rPr>
                <w:b/>
                <w:sz w:val="22"/>
                <w:szCs w:val="22"/>
                <w:lang w:val="en-AU"/>
              </w:rPr>
            </w:pPr>
            <w:r w:rsidRPr="004360BF">
              <w:rPr>
                <w:b/>
                <w:sz w:val="22"/>
                <w:szCs w:val="22"/>
                <w:lang w:val="en-AU"/>
              </w:rPr>
              <w:t>Total Bill % I</w:t>
            </w:r>
            <w:r w:rsidR="00146715" w:rsidRPr="004360BF">
              <w:rPr>
                <w:b/>
                <w:sz w:val="22"/>
                <w:szCs w:val="22"/>
                <w:lang w:val="en-AU"/>
              </w:rPr>
              <w:t>ncrease</w:t>
            </w:r>
          </w:p>
        </w:tc>
        <w:tc>
          <w:tcPr>
            <w:tcW w:w="1985" w:type="dxa"/>
          </w:tcPr>
          <w:p w14:paraId="29D40B63" w14:textId="77777777" w:rsidR="00146715" w:rsidRPr="004360BF" w:rsidRDefault="0018622D" w:rsidP="00334B18">
            <w:pPr>
              <w:keepNext/>
              <w:tabs>
                <w:tab w:val="left" w:pos="1844"/>
                <w:tab w:val="left" w:pos="2443"/>
              </w:tabs>
              <w:spacing w:before="40" w:after="40"/>
              <w:ind w:right="34"/>
              <w:jc w:val="center"/>
              <w:rPr>
                <w:b/>
                <w:sz w:val="22"/>
                <w:szCs w:val="22"/>
                <w:lang w:val="en-AU"/>
              </w:rPr>
            </w:pPr>
            <w:r w:rsidRPr="004360BF">
              <w:rPr>
                <w:b/>
                <w:sz w:val="22"/>
                <w:szCs w:val="22"/>
                <w:lang w:val="en-AU"/>
              </w:rPr>
              <w:t xml:space="preserve">% Network Bill </w:t>
            </w:r>
            <w:r w:rsidR="00146715" w:rsidRPr="004360BF">
              <w:rPr>
                <w:b/>
                <w:sz w:val="22"/>
                <w:szCs w:val="22"/>
                <w:lang w:val="en-AU"/>
              </w:rPr>
              <w:t xml:space="preserve">Increase </w:t>
            </w:r>
          </w:p>
        </w:tc>
      </w:tr>
      <w:tr w:rsidR="0018622D" w:rsidRPr="004360BF" w14:paraId="5E23FE3E" w14:textId="77777777" w:rsidTr="00904125">
        <w:trPr>
          <w:trHeight w:val="369"/>
        </w:trPr>
        <w:tc>
          <w:tcPr>
            <w:tcW w:w="3000" w:type="dxa"/>
          </w:tcPr>
          <w:p w14:paraId="25073218" w14:textId="2BD57564" w:rsidR="00146715" w:rsidRPr="004360BF" w:rsidRDefault="002105C5" w:rsidP="00DE6C76">
            <w:pPr>
              <w:keepNext/>
              <w:spacing w:before="40" w:after="40"/>
              <w:rPr>
                <w:sz w:val="22"/>
                <w:szCs w:val="22"/>
                <w:lang w:val="en-AU"/>
              </w:rPr>
            </w:pPr>
            <w:r w:rsidRPr="004360BF">
              <w:rPr>
                <w:sz w:val="22"/>
                <w:szCs w:val="22"/>
                <w:lang w:val="en-AU"/>
              </w:rPr>
              <w:t>Domestic</w:t>
            </w:r>
            <w:r w:rsidR="00146715" w:rsidRPr="004360BF">
              <w:rPr>
                <w:sz w:val="22"/>
                <w:szCs w:val="22"/>
                <w:lang w:val="en-AU"/>
              </w:rPr>
              <w:t xml:space="preserve"> </w:t>
            </w:r>
          </w:p>
        </w:tc>
        <w:tc>
          <w:tcPr>
            <w:tcW w:w="1985" w:type="dxa"/>
          </w:tcPr>
          <w:p w14:paraId="20197D77" w14:textId="3161D7BA" w:rsidR="00B03003" w:rsidRPr="004360BF" w:rsidRDefault="00146715" w:rsidP="00B03003">
            <w:pPr>
              <w:keepNext/>
              <w:spacing w:before="40" w:after="40"/>
              <w:jc w:val="center"/>
              <w:rPr>
                <w:sz w:val="22"/>
                <w:szCs w:val="22"/>
                <w:lang w:val="en-AU"/>
              </w:rPr>
            </w:pPr>
            <w:r w:rsidRPr="004360BF">
              <w:rPr>
                <w:sz w:val="22"/>
                <w:szCs w:val="22"/>
                <w:lang w:val="en-AU"/>
              </w:rPr>
              <w:t>1</w:t>
            </w:r>
            <w:r w:rsidR="00A048CB">
              <w:rPr>
                <w:sz w:val="22"/>
                <w:szCs w:val="22"/>
                <w:lang w:val="en-AU"/>
              </w:rPr>
              <w:t>4</w:t>
            </w:r>
            <w:r w:rsidR="00447E76" w:rsidRPr="004360BF">
              <w:rPr>
                <w:sz w:val="22"/>
                <w:szCs w:val="22"/>
                <w:lang w:val="en-AU"/>
              </w:rPr>
              <w:t>3</w:t>
            </w:r>
          </w:p>
        </w:tc>
        <w:tc>
          <w:tcPr>
            <w:tcW w:w="1984" w:type="dxa"/>
          </w:tcPr>
          <w:p w14:paraId="0CEF014B" w14:textId="119DD2B0" w:rsidR="00146715" w:rsidRPr="004360BF" w:rsidRDefault="00B03003" w:rsidP="00DE6C76">
            <w:pPr>
              <w:keepNext/>
              <w:spacing w:before="40" w:after="40"/>
              <w:jc w:val="center"/>
              <w:rPr>
                <w:sz w:val="22"/>
                <w:szCs w:val="22"/>
                <w:lang w:val="en-AU"/>
              </w:rPr>
            </w:pPr>
            <w:r w:rsidRPr="004360BF">
              <w:rPr>
                <w:sz w:val="22"/>
                <w:szCs w:val="22"/>
                <w:lang w:val="en-AU"/>
              </w:rPr>
              <w:t>6.</w:t>
            </w:r>
            <w:r w:rsidR="00A048CB">
              <w:rPr>
                <w:sz w:val="22"/>
                <w:szCs w:val="22"/>
                <w:lang w:val="en-AU"/>
              </w:rPr>
              <w:t>0</w:t>
            </w:r>
            <w:r w:rsidR="00146715" w:rsidRPr="004360BF">
              <w:rPr>
                <w:sz w:val="22"/>
                <w:szCs w:val="22"/>
                <w:lang w:val="en-AU"/>
              </w:rPr>
              <w:t>%</w:t>
            </w:r>
          </w:p>
        </w:tc>
        <w:tc>
          <w:tcPr>
            <w:tcW w:w="1985" w:type="dxa"/>
          </w:tcPr>
          <w:p w14:paraId="48116387" w14:textId="2372EF52" w:rsidR="00146715" w:rsidRPr="004360BF" w:rsidRDefault="00146715" w:rsidP="00B03003">
            <w:pPr>
              <w:keepNext/>
              <w:spacing w:before="40" w:after="40"/>
              <w:jc w:val="center"/>
              <w:rPr>
                <w:sz w:val="22"/>
                <w:szCs w:val="22"/>
                <w:lang w:val="en-AU"/>
              </w:rPr>
            </w:pPr>
            <w:r w:rsidRPr="004360BF">
              <w:rPr>
                <w:sz w:val="22"/>
                <w:szCs w:val="22"/>
                <w:lang w:val="en-AU"/>
              </w:rPr>
              <w:t>1</w:t>
            </w:r>
            <w:r w:rsidR="00B03003" w:rsidRPr="004360BF">
              <w:rPr>
                <w:sz w:val="22"/>
                <w:szCs w:val="22"/>
                <w:lang w:val="en-AU"/>
              </w:rPr>
              <w:t>2.</w:t>
            </w:r>
            <w:r w:rsidR="00A048CB">
              <w:rPr>
                <w:sz w:val="22"/>
                <w:szCs w:val="22"/>
                <w:lang w:val="en-AU"/>
              </w:rPr>
              <w:t>1</w:t>
            </w:r>
            <w:r w:rsidRPr="004360BF">
              <w:rPr>
                <w:sz w:val="22"/>
                <w:szCs w:val="22"/>
                <w:lang w:val="en-AU"/>
              </w:rPr>
              <w:t>%</w:t>
            </w:r>
          </w:p>
        </w:tc>
      </w:tr>
      <w:tr w:rsidR="0018622D" w:rsidRPr="004360BF" w14:paraId="7A5D5C41" w14:textId="77777777" w:rsidTr="00904125">
        <w:trPr>
          <w:trHeight w:val="368"/>
        </w:trPr>
        <w:tc>
          <w:tcPr>
            <w:tcW w:w="3000" w:type="dxa"/>
          </w:tcPr>
          <w:p w14:paraId="25DD8650" w14:textId="77777777" w:rsidR="00146715" w:rsidRPr="004360BF" w:rsidRDefault="00146715" w:rsidP="00DE6C76">
            <w:pPr>
              <w:keepNext/>
              <w:spacing w:before="40" w:after="40"/>
              <w:rPr>
                <w:sz w:val="22"/>
                <w:szCs w:val="22"/>
                <w:lang w:val="en-AU"/>
              </w:rPr>
            </w:pPr>
            <w:r w:rsidRPr="004360BF">
              <w:rPr>
                <w:sz w:val="22"/>
                <w:szCs w:val="22"/>
                <w:lang w:val="en-AU"/>
              </w:rPr>
              <w:t xml:space="preserve">Commercial &lt;750 </w:t>
            </w:r>
            <w:proofErr w:type="spellStart"/>
            <w:r w:rsidRPr="004360BF">
              <w:rPr>
                <w:sz w:val="22"/>
                <w:szCs w:val="22"/>
                <w:lang w:val="en-AU"/>
              </w:rPr>
              <w:t>MWh</w:t>
            </w:r>
            <w:proofErr w:type="spellEnd"/>
            <w:r w:rsidRPr="004360BF">
              <w:rPr>
                <w:sz w:val="22"/>
                <w:szCs w:val="22"/>
                <w:lang w:val="en-AU"/>
              </w:rPr>
              <w:t xml:space="preserve"> pa</w:t>
            </w:r>
          </w:p>
        </w:tc>
        <w:tc>
          <w:tcPr>
            <w:tcW w:w="1985" w:type="dxa"/>
          </w:tcPr>
          <w:p w14:paraId="3E767338" w14:textId="239F8D3C" w:rsidR="00146715" w:rsidRPr="004360BF" w:rsidRDefault="0072554D" w:rsidP="0072554D">
            <w:pPr>
              <w:keepNext/>
              <w:spacing w:before="40" w:after="40"/>
              <w:jc w:val="center"/>
              <w:rPr>
                <w:sz w:val="22"/>
                <w:szCs w:val="22"/>
                <w:lang w:val="en-AU"/>
              </w:rPr>
            </w:pPr>
            <w:r w:rsidRPr="004360BF">
              <w:rPr>
                <w:sz w:val="22"/>
                <w:szCs w:val="22"/>
                <w:lang w:val="en-AU"/>
              </w:rPr>
              <w:t>5</w:t>
            </w:r>
            <w:r>
              <w:rPr>
                <w:sz w:val="22"/>
                <w:szCs w:val="22"/>
                <w:lang w:val="en-AU"/>
              </w:rPr>
              <w:t>47</w:t>
            </w:r>
          </w:p>
        </w:tc>
        <w:tc>
          <w:tcPr>
            <w:tcW w:w="1984" w:type="dxa"/>
          </w:tcPr>
          <w:p w14:paraId="612F021C" w14:textId="0CDEC12D" w:rsidR="00146715" w:rsidRPr="004360BF" w:rsidRDefault="00B03003" w:rsidP="00DD2419">
            <w:pPr>
              <w:keepNext/>
              <w:spacing w:before="40" w:after="40"/>
              <w:jc w:val="center"/>
              <w:rPr>
                <w:sz w:val="22"/>
                <w:szCs w:val="22"/>
                <w:lang w:val="en-AU"/>
              </w:rPr>
            </w:pPr>
            <w:r w:rsidRPr="004360BF">
              <w:rPr>
                <w:sz w:val="22"/>
                <w:szCs w:val="22"/>
                <w:lang w:val="en-AU"/>
              </w:rPr>
              <w:t>5</w:t>
            </w:r>
            <w:r w:rsidR="00146715" w:rsidRPr="004360BF">
              <w:rPr>
                <w:sz w:val="22"/>
                <w:szCs w:val="22"/>
                <w:lang w:val="en-AU"/>
              </w:rPr>
              <w:t>.</w:t>
            </w:r>
            <w:r w:rsidR="00DD2419" w:rsidRPr="004360BF">
              <w:rPr>
                <w:sz w:val="22"/>
                <w:szCs w:val="22"/>
                <w:lang w:val="en-AU"/>
              </w:rPr>
              <w:t>4</w:t>
            </w:r>
            <w:r w:rsidR="00146715" w:rsidRPr="004360BF">
              <w:rPr>
                <w:sz w:val="22"/>
                <w:szCs w:val="22"/>
                <w:lang w:val="en-AU"/>
              </w:rPr>
              <w:t>%</w:t>
            </w:r>
          </w:p>
        </w:tc>
        <w:tc>
          <w:tcPr>
            <w:tcW w:w="1985" w:type="dxa"/>
          </w:tcPr>
          <w:p w14:paraId="6370D30C" w14:textId="2D8B62C9" w:rsidR="00146715" w:rsidRPr="004360BF" w:rsidRDefault="00B03003" w:rsidP="0072554D">
            <w:pPr>
              <w:keepNext/>
              <w:spacing w:before="40" w:after="40"/>
              <w:jc w:val="center"/>
              <w:rPr>
                <w:sz w:val="22"/>
                <w:szCs w:val="22"/>
                <w:lang w:val="en-AU"/>
              </w:rPr>
            </w:pPr>
            <w:r w:rsidRPr="004360BF">
              <w:rPr>
                <w:sz w:val="22"/>
                <w:szCs w:val="22"/>
                <w:lang w:val="en-AU"/>
              </w:rPr>
              <w:t>1</w:t>
            </w:r>
            <w:r w:rsidR="00A048CB">
              <w:rPr>
                <w:sz w:val="22"/>
                <w:szCs w:val="22"/>
                <w:lang w:val="en-AU"/>
              </w:rPr>
              <w:t>2.5</w:t>
            </w:r>
            <w:r w:rsidR="00146715" w:rsidRPr="004360BF">
              <w:rPr>
                <w:sz w:val="22"/>
                <w:szCs w:val="22"/>
                <w:lang w:val="en-AU"/>
              </w:rPr>
              <w:t>%</w:t>
            </w:r>
          </w:p>
        </w:tc>
      </w:tr>
      <w:tr w:rsidR="0018622D" w:rsidRPr="004360BF" w14:paraId="71B4795B" w14:textId="77777777" w:rsidTr="00904125">
        <w:trPr>
          <w:trHeight w:val="382"/>
        </w:trPr>
        <w:tc>
          <w:tcPr>
            <w:tcW w:w="3000" w:type="dxa"/>
          </w:tcPr>
          <w:p w14:paraId="6AA93534" w14:textId="5E6B2011" w:rsidR="00146715" w:rsidRPr="004360BF" w:rsidRDefault="00146715" w:rsidP="00DE6C76">
            <w:pPr>
              <w:keepNext/>
              <w:spacing w:before="40" w:after="40"/>
              <w:rPr>
                <w:sz w:val="22"/>
                <w:szCs w:val="22"/>
                <w:lang w:val="en-AU"/>
              </w:rPr>
            </w:pPr>
            <w:r w:rsidRPr="004360BF">
              <w:rPr>
                <w:sz w:val="22"/>
                <w:szCs w:val="22"/>
                <w:lang w:val="en-AU"/>
              </w:rPr>
              <w:t xml:space="preserve">&gt;750 </w:t>
            </w:r>
            <w:proofErr w:type="spellStart"/>
            <w:r w:rsidRPr="004360BF">
              <w:rPr>
                <w:sz w:val="22"/>
                <w:szCs w:val="22"/>
                <w:lang w:val="en-AU"/>
              </w:rPr>
              <w:t>MWh</w:t>
            </w:r>
            <w:proofErr w:type="spellEnd"/>
            <w:r w:rsidRPr="004360BF">
              <w:rPr>
                <w:sz w:val="22"/>
                <w:szCs w:val="22"/>
                <w:lang w:val="en-AU"/>
              </w:rPr>
              <w:t xml:space="preserve"> pa LV</w:t>
            </w:r>
          </w:p>
        </w:tc>
        <w:tc>
          <w:tcPr>
            <w:tcW w:w="1985" w:type="dxa"/>
          </w:tcPr>
          <w:p w14:paraId="786AF503" w14:textId="1F44B78C" w:rsidR="00146715" w:rsidRPr="004360BF" w:rsidRDefault="00146715" w:rsidP="0072554D">
            <w:pPr>
              <w:keepNext/>
              <w:spacing w:before="40" w:after="40"/>
              <w:jc w:val="center"/>
              <w:rPr>
                <w:sz w:val="22"/>
                <w:szCs w:val="22"/>
                <w:lang w:val="en-AU"/>
              </w:rPr>
            </w:pPr>
            <w:r w:rsidRPr="004360BF">
              <w:rPr>
                <w:sz w:val="22"/>
                <w:szCs w:val="22"/>
                <w:lang w:val="en-AU"/>
              </w:rPr>
              <w:t>1</w:t>
            </w:r>
            <w:r w:rsidR="00DD2419" w:rsidRPr="004360BF">
              <w:rPr>
                <w:sz w:val="22"/>
                <w:szCs w:val="22"/>
                <w:lang w:val="en-AU"/>
              </w:rPr>
              <w:t>5</w:t>
            </w:r>
            <w:r w:rsidRPr="004360BF">
              <w:rPr>
                <w:sz w:val="22"/>
                <w:szCs w:val="22"/>
                <w:lang w:val="en-AU"/>
              </w:rPr>
              <w:t>,</w:t>
            </w:r>
            <w:r w:rsidR="00A048CB">
              <w:rPr>
                <w:sz w:val="22"/>
                <w:szCs w:val="22"/>
                <w:lang w:val="en-AU"/>
              </w:rPr>
              <w:t>049</w:t>
            </w:r>
          </w:p>
        </w:tc>
        <w:tc>
          <w:tcPr>
            <w:tcW w:w="1984" w:type="dxa"/>
          </w:tcPr>
          <w:p w14:paraId="3A466E39" w14:textId="77777777" w:rsidR="00146715" w:rsidRPr="004360BF" w:rsidRDefault="00146715" w:rsidP="00DE6C76">
            <w:pPr>
              <w:keepNext/>
              <w:spacing w:before="40" w:after="40"/>
              <w:jc w:val="center"/>
              <w:rPr>
                <w:sz w:val="22"/>
                <w:szCs w:val="22"/>
                <w:lang w:val="en-AU"/>
              </w:rPr>
            </w:pPr>
            <w:r w:rsidRPr="004360BF">
              <w:rPr>
                <w:sz w:val="22"/>
                <w:szCs w:val="22"/>
                <w:lang w:val="en-AU"/>
              </w:rPr>
              <w:t>N/A*</w:t>
            </w:r>
          </w:p>
        </w:tc>
        <w:tc>
          <w:tcPr>
            <w:tcW w:w="1985" w:type="dxa"/>
          </w:tcPr>
          <w:p w14:paraId="3AFF5D8B" w14:textId="57597E07" w:rsidR="00146715" w:rsidRPr="004360BF" w:rsidRDefault="00146715" w:rsidP="0072554D">
            <w:pPr>
              <w:keepNext/>
              <w:spacing w:before="40" w:after="40"/>
              <w:jc w:val="center"/>
              <w:rPr>
                <w:sz w:val="22"/>
                <w:szCs w:val="22"/>
                <w:lang w:val="en-AU"/>
              </w:rPr>
            </w:pPr>
            <w:r w:rsidRPr="004360BF">
              <w:rPr>
                <w:sz w:val="22"/>
                <w:szCs w:val="22"/>
                <w:lang w:val="en-AU"/>
              </w:rPr>
              <w:t>1</w:t>
            </w:r>
            <w:r w:rsidR="00A048CB">
              <w:rPr>
                <w:sz w:val="22"/>
                <w:szCs w:val="22"/>
                <w:lang w:val="en-AU"/>
              </w:rPr>
              <w:t>2.4</w:t>
            </w:r>
            <w:r w:rsidRPr="004360BF">
              <w:rPr>
                <w:sz w:val="22"/>
                <w:szCs w:val="22"/>
                <w:lang w:val="en-AU"/>
              </w:rPr>
              <w:t>%</w:t>
            </w:r>
          </w:p>
        </w:tc>
      </w:tr>
      <w:tr w:rsidR="0018622D" w:rsidRPr="004360BF" w14:paraId="419AF64C" w14:textId="77777777" w:rsidTr="00904125">
        <w:trPr>
          <w:trHeight w:val="368"/>
        </w:trPr>
        <w:tc>
          <w:tcPr>
            <w:tcW w:w="3000" w:type="dxa"/>
          </w:tcPr>
          <w:p w14:paraId="33A08C6C" w14:textId="1EA92770" w:rsidR="00146715" w:rsidRPr="004360BF" w:rsidRDefault="00146715" w:rsidP="00DE6C76">
            <w:pPr>
              <w:keepNext/>
              <w:spacing w:before="40" w:after="40"/>
              <w:rPr>
                <w:sz w:val="22"/>
                <w:szCs w:val="22"/>
                <w:lang w:val="en-AU"/>
              </w:rPr>
            </w:pPr>
            <w:r w:rsidRPr="004360BF">
              <w:rPr>
                <w:sz w:val="22"/>
                <w:szCs w:val="22"/>
                <w:lang w:val="en-AU"/>
              </w:rPr>
              <w:t xml:space="preserve">&gt;750 </w:t>
            </w:r>
            <w:proofErr w:type="spellStart"/>
            <w:r w:rsidRPr="004360BF">
              <w:rPr>
                <w:sz w:val="22"/>
                <w:szCs w:val="22"/>
                <w:lang w:val="en-AU"/>
              </w:rPr>
              <w:t>MWh</w:t>
            </w:r>
            <w:proofErr w:type="spellEnd"/>
            <w:r w:rsidRPr="004360BF">
              <w:rPr>
                <w:sz w:val="22"/>
                <w:szCs w:val="22"/>
                <w:lang w:val="en-AU"/>
              </w:rPr>
              <w:t xml:space="preserve"> pa </w:t>
            </w:r>
            <w:r w:rsidR="00597A63" w:rsidRPr="004360BF">
              <w:rPr>
                <w:sz w:val="22"/>
                <w:szCs w:val="22"/>
                <w:lang w:val="en-AU"/>
              </w:rPr>
              <w:t>H</w:t>
            </w:r>
            <w:r w:rsidRPr="004360BF">
              <w:rPr>
                <w:sz w:val="22"/>
                <w:szCs w:val="22"/>
                <w:lang w:val="en-AU"/>
              </w:rPr>
              <w:t>V</w:t>
            </w:r>
          </w:p>
        </w:tc>
        <w:tc>
          <w:tcPr>
            <w:tcW w:w="1985" w:type="dxa"/>
          </w:tcPr>
          <w:p w14:paraId="3137E885" w14:textId="4F9554D4" w:rsidR="00146715" w:rsidRPr="004360BF" w:rsidRDefault="00146715">
            <w:pPr>
              <w:keepNext/>
              <w:spacing w:before="40" w:after="40"/>
              <w:jc w:val="center"/>
              <w:rPr>
                <w:sz w:val="22"/>
                <w:szCs w:val="22"/>
                <w:lang w:val="en-AU"/>
              </w:rPr>
            </w:pPr>
            <w:r w:rsidRPr="004360BF">
              <w:rPr>
                <w:sz w:val="22"/>
                <w:szCs w:val="22"/>
                <w:lang w:val="en-AU"/>
              </w:rPr>
              <w:t>5</w:t>
            </w:r>
            <w:r w:rsidR="00A048CB">
              <w:rPr>
                <w:sz w:val="22"/>
                <w:szCs w:val="22"/>
                <w:lang w:val="en-AU"/>
              </w:rPr>
              <w:t>4</w:t>
            </w:r>
            <w:r w:rsidRPr="004360BF">
              <w:rPr>
                <w:sz w:val="22"/>
                <w:szCs w:val="22"/>
                <w:lang w:val="en-AU"/>
              </w:rPr>
              <w:t>,</w:t>
            </w:r>
            <w:r w:rsidR="00A048CB">
              <w:rPr>
                <w:sz w:val="22"/>
                <w:szCs w:val="22"/>
                <w:lang w:val="en-AU"/>
              </w:rPr>
              <w:t>784</w:t>
            </w:r>
          </w:p>
        </w:tc>
        <w:tc>
          <w:tcPr>
            <w:tcW w:w="1984" w:type="dxa"/>
          </w:tcPr>
          <w:p w14:paraId="48E015A0" w14:textId="77777777" w:rsidR="00146715" w:rsidRPr="004360BF" w:rsidRDefault="00146715" w:rsidP="00DE6C76">
            <w:pPr>
              <w:keepNext/>
              <w:spacing w:before="40" w:after="40"/>
              <w:jc w:val="center"/>
              <w:rPr>
                <w:sz w:val="22"/>
                <w:szCs w:val="22"/>
                <w:lang w:val="en-AU"/>
              </w:rPr>
            </w:pPr>
            <w:r w:rsidRPr="004360BF">
              <w:rPr>
                <w:sz w:val="22"/>
                <w:szCs w:val="22"/>
                <w:lang w:val="en-AU"/>
              </w:rPr>
              <w:t>N/A*</w:t>
            </w:r>
          </w:p>
        </w:tc>
        <w:tc>
          <w:tcPr>
            <w:tcW w:w="1985" w:type="dxa"/>
          </w:tcPr>
          <w:p w14:paraId="57AA76C3" w14:textId="6EA874CA" w:rsidR="00146715" w:rsidRPr="004360BF" w:rsidRDefault="00FC3432" w:rsidP="00DE6C76">
            <w:pPr>
              <w:keepNext/>
              <w:spacing w:before="40" w:after="40"/>
              <w:jc w:val="center"/>
              <w:rPr>
                <w:sz w:val="22"/>
                <w:szCs w:val="22"/>
                <w:lang w:val="en-AU"/>
              </w:rPr>
            </w:pPr>
            <w:r w:rsidRPr="004360BF">
              <w:rPr>
                <w:sz w:val="22"/>
                <w:szCs w:val="22"/>
                <w:lang w:val="en-AU"/>
              </w:rPr>
              <w:t>13.</w:t>
            </w:r>
            <w:r w:rsidR="00A048CB">
              <w:rPr>
                <w:sz w:val="22"/>
                <w:szCs w:val="22"/>
                <w:lang w:val="en-AU"/>
              </w:rPr>
              <w:t>1</w:t>
            </w:r>
            <w:r w:rsidR="00146715" w:rsidRPr="004360BF">
              <w:rPr>
                <w:sz w:val="22"/>
                <w:szCs w:val="22"/>
                <w:lang w:val="en-AU"/>
              </w:rPr>
              <w:t>%</w:t>
            </w:r>
          </w:p>
        </w:tc>
      </w:tr>
    </w:tbl>
    <w:p w14:paraId="70E7AB2E" w14:textId="77777777" w:rsidR="0018622D" w:rsidRPr="004360BF" w:rsidRDefault="0018622D" w:rsidP="00334B18">
      <w:pPr>
        <w:rPr>
          <w:rFonts w:eastAsia="Times New Roman"/>
          <w:sz w:val="20"/>
          <w:szCs w:val="20"/>
          <w:lang w:val="en-AU" w:eastAsia="en-AU"/>
        </w:rPr>
      </w:pPr>
      <w:r w:rsidRPr="004360BF">
        <w:rPr>
          <w:rFonts w:eastAsia="Times New Roman"/>
          <w:sz w:val="20"/>
          <w:szCs w:val="20"/>
          <w:lang w:val="en-AU" w:eastAsia="en-AU"/>
        </w:rPr>
        <w:t>*</w:t>
      </w:r>
      <w:r w:rsidR="007453C0" w:rsidRPr="004360BF">
        <w:rPr>
          <w:rFonts w:eastAsia="Times New Roman"/>
          <w:sz w:val="20"/>
          <w:szCs w:val="20"/>
          <w:lang w:val="en-AU" w:eastAsia="en-AU"/>
        </w:rPr>
        <w:t>PWC</w:t>
      </w:r>
      <w:r w:rsidRPr="004360BF">
        <w:rPr>
          <w:rFonts w:eastAsia="Times New Roman"/>
          <w:sz w:val="20"/>
          <w:szCs w:val="20"/>
          <w:lang w:val="en-AU" w:eastAsia="en-AU"/>
        </w:rPr>
        <w:t xml:space="preserve"> is not privy to the total bills of individually contracted customers.</w:t>
      </w:r>
    </w:p>
    <w:p w14:paraId="029F014B" w14:textId="577E614D" w:rsidR="006D0DFC" w:rsidRPr="004360BF" w:rsidRDefault="006261A1" w:rsidP="00EA6D49">
      <w:pPr>
        <w:spacing w:before="240"/>
        <w:rPr>
          <w:rFonts w:eastAsia="Times New Roman"/>
          <w:lang w:val="en-AU" w:eastAsia="en-AU"/>
        </w:rPr>
      </w:pPr>
      <w:r w:rsidRPr="004360BF">
        <w:rPr>
          <w:rFonts w:eastAsia="Times New Roman"/>
          <w:lang w:val="en-AU" w:eastAsia="en-AU"/>
        </w:rPr>
        <w:t>It must be noted</w:t>
      </w:r>
      <w:r w:rsidR="006D0DFC" w:rsidRPr="004360BF">
        <w:rPr>
          <w:rFonts w:eastAsia="Times New Roman"/>
          <w:lang w:val="en-AU" w:eastAsia="en-AU"/>
        </w:rPr>
        <w:t xml:space="preserve"> that </w:t>
      </w:r>
      <w:r w:rsidR="00CC17B3" w:rsidRPr="004360BF">
        <w:rPr>
          <w:rFonts w:eastAsia="Times New Roman"/>
          <w:lang w:val="en-AU" w:eastAsia="en-AU"/>
        </w:rPr>
        <w:t xml:space="preserve">the </w:t>
      </w:r>
      <w:r w:rsidR="007453C0" w:rsidRPr="004360BF">
        <w:rPr>
          <w:rFonts w:eastAsia="Times New Roman"/>
          <w:lang w:val="en-AU" w:eastAsia="en-AU"/>
        </w:rPr>
        <w:t>a</w:t>
      </w:r>
      <w:r w:rsidR="00CC17B3" w:rsidRPr="004360BF">
        <w:rPr>
          <w:rFonts w:eastAsia="Times New Roman"/>
          <w:lang w:val="en-AU" w:eastAsia="en-AU"/>
        </w:rPr>
        <w:t xml:space="preserve">bove </w:t>
      </w:r>
      <w:r w:rsidR="006D0DFC" w:rsidRPr="004360BF">
        <w:rPr>
          <w:rFonts w:eastAsia="Times New Roman"/>
          <w:lang w:val="en-AU" w:eastAsia="en-AU"/>
        </w:rPr>
        <w:t>impacts are indicative only, as the impact on each customer will depend on its individual consumption and demand profile.</w:t>
      </w:r>
    </w:p>
    <w:p w14:paraId="29015E35" w14:textId="77777777" w:rsidR="006D0DFC" w:rsidRPr="004360BF" w:rsidRDefault="006D0DFC" w:rsidP="00B30BF6">
      <w:pPr>
        <w:pStyle w:val="Heading2"/>
      </w:pPr>
      <w:bookmarkStart w:id="407" w:name="_Ref387487056"/>
      <w:bookmarkStart w:id="408" w:name="_Toc417291265"/>
      <w:bookmarkStart w:id="409" w:name="_Toc417291774"/>
      <w:bookmarkStart w:id="410" w:name="_Toc417292542"/>
      <w:bookmarkStart w:id="411" w:name="_Toc291262262"/>
      <w:bookmarkStart w:id="412" w:name="_Toc417458027"/>
      <w:bookmarkStart w:id="413" w:name="_Toc418608696"/>
      <w:r w:rsidRPr="004360BF">
        <w:t>Variations to tariffs</w:t>
      </w:r>
      <w:bookmarkEnd w:id="407"/>
      <w:bookmarkEnd w:id="408"/>
      <w:bookmarkEnd w:id="409"/>
      <w:bookmarkEnd w:id="410"/>
      <w:bookmarkEnd w:id="411"/>
      <w:bookmarkEnd w:id="412"/>
      <w:bookmarkEnd w:id="413"/>
      <w:r w:rsidRPr="004360BF">
        <w:t xml:space="preserve"> </w:t>
      </w:r>
    </w:p>
    <w:p w14:paraId="3487E76E" w14:textId="77777777" w:rsidR="006D0DFC" w:rsidRPr="004360BF" w:rsidRDefault="006D0DFC" w:rsidP="00886545">
      <w:pPr>
        <w:rPr>
          <w:lang w:val="en-AU"/>
        </w:rPr>
      </w:pPr>
      <w:r w:rsidRPr="004360BF">
        <w:rPr>
          <w:lang w:val="en-AU"/>
        </w:rPr>
        <w:t>Power Networks envisages that there may be a variation in network revenue and consequently in tariffs if a pass through event were to be approved by the Commission for a material cost impact (positive or negative) that was beyond Power Networks’ control.</w:t>
      </w:r>
      <w:r w:rsidR="00CC6CF8" w:rsidRPr="004360BF">
        <w:rPr>
          <w:lang w:val="en-AU"/>
        </w:rPr>
        <w:t xml:space="preserve"> </w:t>
      </w:r>
    </w:p>
    <w:p w14:paraId="5CC63F13" w14:textId="77777777" w:rsidR="006D0DFC" w:rsidRPr="004360BF" w:rsidRDefault="006D0DFC" w:rsidP="00E71941">
      <w:pPr>
        <w:pStyle w:val="Dottop"/>
        <w:rPr>
          <w:lang w:val="en-AU"/>
        </w:rPr>
      </w:pPr>
      <w:r w:rsidRPr="004360BF">
        <w:rPr>
          <w:lang w:val="en-AU"/>
        </w:rPr>
        <w:t xml:space="preserve">The Commission </w:t>
      </w:r>
      <w:r w:rsidR="00AF1A51" w:rsidRPr="004360BF">
        <w:rPr>
          <w:lang w:val="en-AU"/>
        </w:rPr>
        <w:t xml:space="preserve">approved </w:t>
      </w:r>
      <w:r w:rsidRPr="004360BF">
        <w:rPr>
          <w:lang w:val="en-AU"/>
        </w:rPr>
        <w:t xml:space="preserve">the following pass through events in the </w:t>
      </w:r>
      <w:r w:rsidR="00AF1A51" w:rsidRPr="004360BF">
        <w:rPr>
          <w:lang w:val="en-AU"/>
        </w:rPr>
        <w:t>2014 NPD Final Determination</w:t>
      </w:r>
      <w:r w:rsidRPr="004360BF">
        <w:rPr>
          <w:vertAlign w:val="superscript"/>
          <w:lang w:val="en-AU"/>
        </w:rPr>
        <w:footnoteReference w:id="24"/>
      </w:r>
      <w:r w:rsidRPr="004360BF">
        <w:rPr>
          <w:lang w:val="en-AU"/>
        </w:rPr>
        <w:t>:</w:t>
      </w:r>
      <w:r w:rsidR="00A708B7" w:rsidRPr="004360BF">
        <w:rPr>
          <w:lang w:val="en-AU"/>
        </w:rPr>
        <w:t xml:space="preserve"> </w:t>
      </w:r>
    </w:p>
    <w:p w14:paraId="3C6EAD1F" w14:textId="77777777" w:rsidR="00AF1A51" w:rsidRPr="004360BF" w:rsidRDefault="00AF1A51" w:rsidP="004519A6">
      <w:pPr>
        <w:pStyle w:val="Dot"/>
        <w:spacing w:after="80"/>
        <w:ind w:left="714" w:hanging="357"/>
        <w:rPr>
          <w:lang w:val="en-AU"/>
        </w:rPr>
      </w:pPr>
      <w:r w:rsidRPr="004360BF">
        <w:rPr>
          <w:lang w:val="en-AU"/>
        </w:rPr>
        <w:t>A regulatory change event;</w:t>
      </w:r>
    </w:p>
    <w:p w14:paraId="7CF44358" w14:textId="77777777" w:rsidR="00AF1A51" w:rsidRPr="004360BF" w:rsidRDefault="00AF1A51" w:rsidP="004519A6">
      <w:pPr>
        <w:pStyle w:val="Dot"/>
        <w:spacing w:after="80"/>
        <w:ind w:left="714" w:hanging="357"/>
        <w:rPr>
          <w:lang w:val="en-AU"/>
        </w:rPr>
      </w:pPr>
      <w:r w:rsidRPr="004360BF">
        <w:rPr>
          <w:lang w:val="en-AU"/>
        </w:rPr>
        <w:t>A service standard event;</w:t>
      </w:r>
    </w:p>
    <w:p w14:paraId="41C872F1" w14:textId="77777777" w:rsidR="00AF1A51" w:rsidRPr="004360BF" w:rsidRDefault="00AF1A51" w:rsidP="004519A6">
      <w:pPr>
        <w:pStyle w:val="Dot"/>
        <w:spacing w:after="80"/>
        <w:ind w:left="714" w:hanging="357"/>
        <w:rPr>
          <w:lang w:val="en-AU"/>
        </w:rPr>
      </w:pPr>
      <w:r w:rsidRPr="004360BF">
        <w:rPr>
          <w:lang w:val="en-AU"/>
        </w:rPr>
        <w:t>A tax change event;</w:t>
      </w:r>
    </w:p>
    <w:p w14:paraId="41EE57A6" w14:textId="77777777" w:rsidR="00AF1A51" w:rsidRPr="004360BF" w:rsidRDefault="00AF1A51" w:rsidP="004519A6">
      <w:pPr>
        <w:pStyle w:val="Dot"/>
        <w:spacing w:after="80"/>
        <w:ind w:left="714" w:hanging="357"/>
        <w:rPr>
          <w:lang w:val="en-AU"/>
        </w:rPr>
      </w:pPr>
      <w:r w:rsidRPr="004360BF">
        <w:rPr>
          <w:lang w:val="en-AU"/>
        </w:rPr>
        <w:t>A retailer insolvency event;</w:t>
      </w:r>
    </w:p>
    <w:p w14:paraId="6FA55BCF" w14:textId="77777777" w:rsidR="00AF1A51" w:rsidRPr="004360BF" w:rsidRDefault="00AF1A51" w:rsidP="004519A6">
      <w:pPr>
        <w:pStyle w:val="Dot"/>
        <w:spacing w:after="80"/>
        <w:ind w:left="714" w:hanging="357"/>
        <w:rPr>
          <w:lang w:val="en-AU"/>
        </w:rPr>
      </w:pPr>
      <w:r w:rsidRPr="004360BF">
        <w:rPr>
          <w:lang w:val="en-AU"/>
        </w:rPr>
        <w:t>A terrorism event;</w:t>
      </w:r>
    </w:p>
    <w:p w14:paraId="35C0129B" w14:textId="77777777" w:rsidR="00AF1A51" w:rsidRPr="004360BF" w:rsidRDefault="00AF1A51" w:rsidP="004519A6">
      <w:pPr>
        <w:pStyle w:val="Dot"/>
        <w:spacing w:after="80"/>
        <w:ind w:left="714" w:hanging="357"/>
        <w:rPr>
          <w:lang w:val="en-AU"/>
        </w:rPr>
      </w:pPr>
      <w:r w:rsidRPr="004360BF">
        <w:rPr>
          <w:lang w:val="en-AU"/>
        </w:rPr>
        <w:t>An insurance event;</w:t>
      </w:r>
    </w:p>
    <w:p w14:paraId="24968845" w14:textId="77777777" w:rsidR="00AF1A51" w:rsidRPr="004360BF" w:rsidRDefault="00AF1A51" w:rsidP="004519A6">
      <w:pPr>
        <w:pStyle w:val="Dot"/>
        <w:spacing w:after="80"/>
        <w:ind w:left="714" w:hanging="357"/>
        <w:rPr>
          <w:lang w:val="en-AU"/>
        </w:rPr>
      </w:pPr>
      <w:r w:rsidRPr="004360BF">
        <w:rPr>
          <w:lang w:val="en-AU"/>
        </w:rPr>
        <w:t>A natural disaster event; and</w:t>
      </w:r>
    </w:p>
    <w:p w14:paraId="3DF68F3D" w14:textId="77777777" w:rsidR="00AF1A51" w:rsidRPr="004360BF" w:rsidRDefault="00AF1A51" w:rsidP="00E71941">
      <w:pPr>
        <w:pStyle w:val="Dotbot"/>
        <w:rPr>
          <w:lang w:val="en-AU"/>
        </w:rPr>
      </w:pPr>
      <w:r w:rsidRPr="004360BF">
        <w:rPr>
          <w:lang w:val="en-AU"/>
        </w:rPr>
        <w:t>A structural separation event.</w:t>
      </w:r>
    </w:p>
    <w:p w14:paraId="36E1FEA3" w14:textId="77777777" w:rsidR="006D0DFC" w:rsidRPr="004360BF" w:rsidRDefault="006D0DFC" w:rsidP="00E71941">
      <w:pPr>
        <w:rPr>
          <w:lang w:val="en-AU"/>
        </w:rPr>
      </w:pPr>
      <w:r w:rsidRPr="004360BF">
        <w:rPr>
          <w:lang w:val="en-AU"/>
        </w:rPr>
        <w:lastRenderedPageBreak/>
        <w:t xml:space="preserve">If a pass through event were to be approved by the Commission, the impact on network tariffs would form part </w:t>
      </w:r>
      <w:r w:rsidR="008A650A" w:rsidRPr="004360BF">
        <w:rPr>
          <w:lang w:val="en-AU"/>
        </w:rPr>
        <w:t xml:space="preserve">of </w:t>
      </w:r>
      <w:r w:rsidRPr="004360BF">
        <w:rPr>
          <w:lang w:val="en-AU"/>
        </w:rPr>
        <w:t>Power Networks and the Commission’s considerations on the way in which an</w:t>
      </w:r>
      <w:r w:rsidR="008105CB" w:rsidRPr="004360BF">
        <w:rPr>
          <w:lang w:val="en-AU"/>
        </w:rPr>
        <w:t>y</w:t>
      </w:r>
      <w:r w:rsidRPr="004360BF">
        <w:rPr>
          <w:lang w:val="en-AU"/>
        </w:rPr>
        <w:t xml:space="preserve"> altered revenue were recovered.</w:t>
      </w:r>
    </w:p>
    <w:p w14:paraId="16F28723" w14:textId="77777777" w:rsidR="008640F6" w:rsidRPr="004360BF" w:rsidRDefault="00B87B8D" w:rsidP="00E71941">
      <w:pPr>
        <w:pStyle w:val="Dottop"/>
        <w:rPr>
          <w:lang w:val="en-AU"/>
        </w:rPr>
      </w:pPr>
      <w:r w:rsidRPr="004360BF">
        <w:rPr>
          <w:lang w:val="en-AU"/>
        </w:rPr>
        <w:t>T</w:t>
      </w:r>
      <w:r w:rsidR="008640F6" w:rsidRPr="004360BF">
        <w:rPr>
          <w:lang w:val="en-AU"/>
        </w:rPr>
        <w:t>he Commission approved the following contingent projects, which if triggered, would vary the revenue path approved by the Commission</w:t>
      </w:r>
      <w:r w:rsidR="008640F6" w:rsidRPr="004360BF">
        <w:rPr>
          <w:rStyle w:val="FootnoteReference"/>
          <w:lang w:val="en-AU"/>
        </w:rPr>
        <w:footnoteReference w:id="25"/>
      </w:r>
      <w:r w:rsidR="008640F6" w:rsidRPr="004360BF">
        <w:rPr>
          <w:lang w:val="en-AU"/>
        </w:rPr>
        <w:t>:</w:t>
      </w:r>
    </w:p>
    <w:p w14:paraId="71370DF9" w14:textId="77777777" w:rsidR="008640F6" w:rsidRPr="004360BF" w:rsidRDefault="008640F6" w:rsidP="00E71941">
      <w:pPr>
        <w:pStyle w:val="Dot"/>
        <w:rPr>
          <w:lang w:val="en-AU"/>
        </w:rPr>
      </w:pPr>
      <w:r w:rsidRPr="004360BF">
        <w:rPr>
          <w:lang w:val="en-AU"/>
        </w:rPr>
        <w:t>PRD30600 – New Mitchell Street Switching Station project; and</w:t>
      </w:r>
    </w:p>
    <w:p w14:paraId="681FF580" w14:textId="77777777" w:rsidR="008640F6" w:rsidRPr="004360BF" w:rsidRDefault="008640F6" w:rsidP="00E71941">
      <w:pPr>
        <w:pStyle w:val="Dotbot"/>
        <w:rPr>
          <w:lang w:val="en-AU"/>
        </w:rPr>
      </w:pPr>
      <w:r w:rsidRPr="004360BF">
        <w:rPr>
          <w:lang w:val="en-AU"/>
        </w:rPr>
        <w:t>PRD30309 – Darwin – Construct Stage 2 of East Arm Zone Substation project.</w:t>
      </w:r>
    </w:p>
    <w:p w14:paraId="2D1A2D02" w14:textId="77777777" w:rsidR="00B87B8D" w:rsidRPr="004360BF" w:rsidRDefault="00B87B8D" w:rsidP="00E71941">
      <w:pPr>
        <w:rPr>
          <w:lang w:val="en-AU"/>
        </w:rPr>
      </w:pPr>
      <w:r w:rsidRPr="004360BF">
        <w:rPr>
          <w:lang w:val="en-AU"/>
        </w:rPr>
        <w:t xml:space="preserve">In addition, the Commission </w:t>
      </w:r>
      <w:r w:rsidR="000E0215" w:rsidRPr="004360BF">
        <w:rPr>
          <w:lang w:val="en-AU"/>
        </w:rPr>
        <w:t>has the discretion to reopen the 2014 Networks Price Determination for unexpected capital expenditure in accordance with the 2014 NPD Final Determination</w:t>
      </w:r>
      <w:r w:rsidR="000E0215" w:rsidRPr="004360BF">
        <w:rPr>
          <w:rStyle w:val="FootnoteReference"/>
          <w:lang w:val="en-AU"/>
        </w:rPr>
        <w:footnoteReference w:id="26"/>
      </w:r>
      <w:r w:rsidR="000E0215" w:rsidRPr="004360BF">
        <w:rPr>
          <w:lang w:val="en-AU"/>
        </w:rPr>
        <w:t>.</w:t>
      </w:r>
    </w:p>
    <w:p w14:paraId="2B07A446" w14:textId="62703BDD" w:rsidR="00F00463" w:rsidRPr="004360BF" w:rsidRDefault="00F00463" w:rsidP="00E71941">
      <w:pPr>
        <w:rPr>
          <w:lang w:val="en-AU"/>
        </w:rPr>
      </w:pPr>
      <w:r w:rsidRPr="004360BF">
        <w:rPr>
          <w:lang w:val="en-AU"/>
        </w:rPr>
        <w:t>There were no pass through or contingent events affecting revenue and network tariffs in 2015/16.</w:t>
      </w:r>
    </w:p>
    <w:p w14:paraId="603D62B7" w14:textId="77777777" w:rsidR="008145B7" w:rsidRPr="004360BF" w:rsidRDefault="008145B7" w:rsidP="00B30BF6">
      <w:pPr>
        <w:pStyle w:val="Heading1"/>
      </w:pPr>
      <w:bookmarkStart w:id="414" w:name="_Ref258680643"/>
      <w:bookmarkStart w:id="415" w:name="_Ref258680731"/>
      <w:bookmarkStart w:id="416" w:name="_Ref258682312"/>
      <w:bookmarkStart w:id="417" w:name="_Ref259086316"/>
      <w:bookmarkStart w:id="418" w:name="_Toc417291266"/>
      <w:bookmarkStart w:id="419" w:name="_Toc417291775"/>
      <w:bookmarkStart w:id="420" w:name="_Toc417292543"/>
      <w:bookmarkStart w:id="421" w:name="_Toc291262263"/>
      <w:bookmarkStart w:id="422" w:name="_Toc417458028"/>
      <w:bookmarkStart w:id="423" w:name="_Toc418608697"/>
      <w:r w:rsidRPr="004360BF">
        <w:t>Compliance</w:t>
      </w:r>
      <w:bookmarkEnd w:id="414"/>
      <w:bookmarkEnd w:id="415"/>
      <w:bookmarkEnd w:id="416"/>
      <w:bookmarkEnd w:id="417"/>
      <w:bookmarkEnd w:id="418"/>
      <w:bookmarkEnd w:id="419"/>
      <w:bookmarkEnd w:id="420"/>
      <w:bookmarkEnd w:id="421"/>
      <w:bookmarkEnd w:id="422"/>
      <w:bookmarkEnd w:id="423"/>
    </w:p>
    <w:p w14:paraId="2E010124" w14:textId="77777777" w:rsidR="008145B7" w:rsidRPr="004360BF" w:rsidRDefault="00D87D4A" w:rsidP="00E71941">
      <w:pPr>
        <w:rPr>
          <w:lang w:val="en-AU"/>
        </w:rPr>
      </w:pPr>
      <w:r w:rsidRPr="004360BF">
        <w:rPr>
          <w:lang w:val="en-AU"/>
        </w:rPr>
        <w:t xml:space="preserve">This </w:t>
      </w:r>
      <w:r w:rsidR="000B5148" w:rsidRPr="004360BF">
        <w:rPr>
          <w:lang w:val="en-AU"/>
        </w:rPr>
        <w:t>c</w:t>
      </w:r>
      <w:r w:rsidRPr="004360BF">
        <w:rPr>
          <w:lang w:val="en-AU"/>
        </w:rPr>
        <w:t xml:space="preserve">hapter demonstrates the compliance of Power Networks’ proposed network </w:t>
      </w:r>
      <w:r w:rsidR="00501D42" w:rsidRPr="004360BF">
        <w:rPr>
          <w:lang w:val="en-AU"/>
        </w:rPr>
        <w:t xml:space="preserve">tariffs </w:t>
      </w:r>
      <w:r w:rsidRPr="004360BF">
        <w:rPr>
          <w:lang w:val="en-AU"/>
        </w:rPr>
        <w:t xml:space="preserve">with the various requirements set out in the </w:t>
      </w:r>
      <w:r w:rsidR="00263D11" w:rsidRPr="004360BF">
        <w:rPr>
          <w:lang w:val="en-AU"/>
        </w:rPr>
        <w:t xml:space="preserve">Commission’s </w:t>
      </w:r>
      <w:r w:rsidR="000B5148" w:rsidRPr="004360BF">
        <w:rPr>
          <w:lang w:val="en-AU"/>
        </w:rPr>
        <w:t xml:space="preserve">2014 NPD Final </w:t>
      </w:r>
      <w:r w:rsidR="00263D11" w:rsidRPr="004360BF">
        <w:rPr>
          <w:lang w:val="en-AU"/>
        </w:rPr>
        <w:t>Determination</w:t>
      </w:r>
      <w:r w:rsidR="000B5148" w:rsidRPr="004360BF">
        <w:rPr>
          <w:lang w:val="en-AU"/>
        </w:rPr>
        <w:t>, in accordance with clause 18.1(h) of the RIN</w:t>
      </w:r>
      <w:r w:rsidRPr="004360BF">
        <w:rPr>
          <w:lang w:val="en-AU"/>
        </w:rPr>
        <w:t>.</w:t>
      </w:r>
      <w:r w:rsidR="00E51272" w:rsidRPr="004360BF">
        <w:rPr>
          <w:lang w:val="en-AU"/>
        </w:rPr>
        <w:t xml:space="preserve"> This chapter also demonstrates compliance with the LRMC pricing principle in RIN clause 16.4 and the stand-alone and avoidable cost pricing principle in Rules clause 6.18.5(a).</w:t>
      </w:r>
    </w:p>
    <w:p w14:paraId="779582D0" w14:textId="77777777" w:rsidR="00A47A06" w:rsidRPr="004360BF" w:rsidRDefault="00A47A06" w:rsidP="00B30BF6">
      <w:pPr>
        <w:pStyle w:val="Heading2"/>
      </w:pPr>
      <w:bookmarkStart w:id="424" w:name="_Ref258684253"/>
      <w:bookmarkStart w:id="425" w:name="_Toc417291267"/>
      <w:bookmarkStart w:id="426" w:name="_Toc417291776"/>
      <w:bookmarkStart w:id="427" w:name="_Toc417292544"/>
      <w:bookmarkStart w:id="428" w:name="_Toc291262264"/>
      <w:bookmarkStart w:id="429" w:name="_Toc417458029"/>
      <w:bookmarkStart w:id="430" w:name="_Toc418608698"/>
      <w:r w:rsidRPr="004360BF">
        <w:t xml:space="preserve">Compliance with </w:t>
      </w:r>
      <w:r w:rsidR="00525A46" w:rsidRPr="004360BF">
        <w:t xml:space="preserve">the </w:t>
      </w:r>
      <w:r w:rsidRPr="004360BF">
        <w:t>revenue cap</w:t>
      </w:r>
      <w:bookmarkEnd w:id="424"/>
      <w:bookmarkEnd w:id="425"/>
      <w:bookmarkEnd w:id="426"/>
      <w:bookmarkEnd w:id="427"/>
      <w:bookmarkEnd w:id="428"/>
      <w:bookmarkEnd w:id="429"/>
      <w:bookmarkEnd w:id="430"/>
    </w:p>
    <w:p w14:paraId="3DC8635E" w14:textId="2A57385B" w:rsidR="00A47A06" w:rsidRPr="004360BF" w:rsidRDefault="00A47A06" w:rsidP="00E71941">
      <w:pPr>
        <w:keepNext/>
        <w:rPr>
          <w:lang w:val="en-AU"/>
        </w:rPr>
      </w:pPr>
      <w:r w:rsidRPr="004360BF">
        <w:rPr>
          <w:lang w:val="en-AU"/>
        </w:rPr>
        <w:t>Compliance with revenue cap in 201</w:t>
      </w:r>
      <w:r w:rsidR="00486AB4" w:rsidRPr="004360BF">
        <w:rPr>
          <w:lang w:val="en-AU"/>
        </w:rPr>
        <w:t>5</w:t>
      </w:r>
      <w:r w:rsidRPr="004360BF">
        <w:rPr>
          <w:lang w:val="en-AU"/>
        </w:rPr>
        <w:t>/1</w:t>
      </w:r>
      <w:r w:rsidR="00486AB4" w:rsidRPr="004360BF">
        <w:rPr>
          <w:lang w:val="en-AU"/>
        </w:rPr>
        <w:t>6</w:t>
      </w:r>
      <w:r w:rsidRPr="004360BF">
        <w:rPr>
          <w:lang w:val="en-AU"/>
        </w:rPr>
        <w:t xml:space="preserve"> is illustrated in </w:t>
      </w:r>
      <w:r w:rsidR="0036456E" w:rsidRPr="004360BF">
        <w:rPr>
          <w:lang w:val="en-AU"/>
        </w:rPr>
        <w:fldChar w:fldCharType="begin"/>
      </w:r>
      <w:r w:rsidR="0036456E" w:rsidRPr="004360BF">
        <w:rPr>
          <w:lang w:val="en-AU"/>
        </w:rPr>
        <w:instrText xml:space="preserve"> REF _Ref258675544 \h </w:instrText>
      </w:r>
      <w:r w:rsidR="0036456E" w:rsidRPr="004360BF">
        <w:rPr>
          <w:lang w:val="en-AU"/>
        </w:rPr>
      </w:r>
      <w:r w:rsidR="0036456E" w:rsidRPr="004360BF">
        <w:rPr>
          <w:lang w:val="en-AU"/>
        </w:rPr>
        <w:fldChar w:fldCharType="separate"/>
      </w:r>
      <w:r w:rsidR="008D3215" w:rsidRPr="004360BF">
        <w:rPr>
          <w:lang w:val="en-AU"/>
        </w:rPr>
        <w:t xml:space="preserve">Table </w:t>
      </w:r>
      <w:r w:rsidR="008D3215">
        <w:rPr>
          <w:noProof/>
          <w:lang w:val="en-AU"/>
        </w:rPr>
        <w:t>17</w:t>
      </w:r>
      <w:r w:rsidR="0036456E" w:rsidRPr="004360BF">
        <w:rPr>
          <w:lang w:val="en-AU"/>
        </w:rPr>
        <w:fldChar w:fldCharType="end"/>
      </w:r>
      <w:r w:rsidRPr="004360BF">
        <w:rPr>
          <w:lang w:val="en-AU"/>
        </w:rPr>
        <w:t xml:space="preserve">. </w:t>
      </w:r>
      <w:r w:rsidR="00D720CA" w:rsidRPr="004360BF">
        <w:rPr>
          <w:lang w:val="en-AU"/>
        </w:rPr>
        <w:t xml:space="preserve">Note that there is no carry over amount associated with overs and unders in the first </w:t>
      </w:r>
      <w:r w:rsidR="00BC6351" w:rsidRPr="004360BF">
        <w:rPr>
          <w:lang w:val="en-AU"/>
        </w:rPr>
        <w:t xml:space="preserve">two </w:t>
      </w:r>
      <w:r w:rsidR="00D720CA" w:rsidRPr="004360BF">
        <w:rPr>
          <w:lang w:val="en-AU"/>
        </w:rPr>
        <w:t>year</w:t>
      </w:r>
      <w:r w:rsidR="00BC6351" w:rsidRPr="004360BF">
        <w:rPr>
          <w:lang w:val="en-AU"/>
        </w:rPr>
        <w:t>s</w:t>
      </w:r>
      <w:r w:rsidR="00D720CA" w:rsidRPr="004360BF">
        <w:rPr>
          <w:lang w:val="en-AU"/>
        </w:rPr>
        <w:t xml:space="preserve"> of the regulatory control period.</w:t>
      </w:r>
      <w:r w:rsidR="00CC6CF8" w:rsidRPr="004360BF">
        <w:rPr>
          <w:lang w:val="en-AU"/>
        </w:rPr>
        <w:t xml:space="preserve"> </w:t>
      </w:r>
      <w:r w:rsidRPr="004360BF">
        <w:rPr>
          <w:lang w:val="en-AU"/>
        </w:rPr>
        <w:t>Tariffs have been set for 201</w:t>
      </w:r>
      <w:r w:rsidR="00486AB4" w:rsidRPr="004360BF">
        <w:rPr>
          <w:lang w:val="en-AU"/>
        </w:rPr>
        <w:t>5</w:t>
      </w:r>
      <w:r w:rsidRPr="004360BF">
        <w:rPr>
          <w:lang w:val="en-AU"/>
        </w:rPr>
        <w:t>/1</w:t>
      </w:r>
      <w:r w:rsidR="00486AB4" w:rsidRPr="004360BF">
        <w:rPr>
          <w:lang w:val="en-AU"/>
        </w:rPr>
        <w:t>6</w:t>
      </w:r>
      <w:r w:rsidRPr="004360BF">
        <w:rPr>
          <w:lang w:val="en-AU"/>
        </w:rPr>
        <w:t xml:space="preserve"> (using forecast volumes) to recover slightly less than the proposed revenue allowance.</w:t>
      </w:r>
    </w:p>
    <w:p w14:paraId="4B98E617" w14:textId="77777777" w:rsidR="00D720CA" w:rsidRPr="004360BF" w:rsidRDefault="00D720CA" w:rsidP="00D720CA">
      <w:pPr>
        <w:pStyle w:val="Caption"/>
        <w:rPr>
          <w:lang w:val="en-AU"/>
        </w:rPr>
      </w:pPr>
      <w:bookmarkStart w:id="431" w:name="_Ref258675544"/>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17</w:t>
      </w:r>
      <w:r w:rsidR="00517DD9" w:rsidRPr="004360BF">
        <w:rPr>
          <w:lang w:val="en-AU"/>
        </w:rPr>
        <w:fldChar w:fldCharType="end"/>
      </w:r>
      <w:bookmarkEnd w:id="431"/>
      <w:r w:rsidRPr="004360BF">
        <w:rPr>
          <w:lang w:val="en-AU"/>
        </w:rPr>
        <w:t xml:space="preserve"> - Compliance with </w:t>
      </w:r>
      <w:r w:rsidR="00525A46" w:rsidRPr="004360BF">
        <w:rPr>
          <w:lang w:val="en-AU"/>
        </w:rPr>
        <w:t xml:space="preserve">the </w:t>
      </w:r>
      <w:r w:rsidRPr="004360BF">
        <w:rPr>
          <w:lang w:val="en-AU"/>
        </w:rPr>
        <w:t>revenue cap in 201</w:t>
      </w:r>
      <w:r w:rsidR="00486AB4" w:rsidRPr="004360BF">
        <w:rPr>
          <w:lang w:val="en-AU"/>
        </w:rPr>
        <w:t>5</w:t>
      </w:r>
      <w:r w:rsidRPr="004360BF">
        <w:rPr>
          <w:lang w:val="en-AU"/>
        </w:rPr>
        <w:t>/1</w:t>
      </w:r>
      <w:r w:rsidR="00486AB4" w:rsidRPr="004360BF">
        <w:rPr>
          <w:lang w:val="en-AU"/>
        </w:rPr>
        <w:t>6</w:t>
      </w:r>
    </w:p>
    <w:tbl>
      <w:tblPr>
        <w:tblW w:w="7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1980"/>
      </w:tblGrid>
      <w:tr w:rsidR="00D720CA" w:rsidRPr="004360BF" w14:paraId="23AE95D3" w14:textId="77777777" w:rsidTr="007E3287">
        <w:trPr>
          <w:trHeight w:val="787"/>
        </w:trPr>
        <w:tc>
          <w:tcPr>
            <w:tcW w:w="0" w:type="auto"/>
            <w:shd w:val="clear" w:color="auto" w:fill="C6D9F1" w:themeFill="text2" w:themeFillTint="33"/>
          </w:tcPr>
          <w:p w14:paraId="43BFCB22" w14:textId="77777777" w:rsidR="00D720CA" w:rsidRPr="004360BF" w:rsidRDefault="00D720CA" w:rsidP="00FE39B9">
            <w:pPr>
              <w:keepNext/>
              <w:spacing w:before="40" w:after="40"/>
              <w:rPr>
                <w:b/>
                <w:sz w:val="22"/>
                <w:szCs w:val="22"/>
                <w:lang w:val="en-AU"/>
              </w:rPr>
            </w:pPr>
            <w:r w:rsidRPr="004360BF">
              <w:rPr>
                <w:b/>
                <w:sz w:val="22"/>
                <w:szCs w:val="22"/>
                <w:lang w:val="en-AU"/>
              </w:rPr>
              <w:t>Quantity</w:t>
            </w:r>
          </w:p>
        </w:tc>
        <w:tc>
          <w:tcPr>
            <w:tcW w:w="0" w:type="auto"/>
            <w:shd w:val="clear" w:color="auto" w:fill="C6D9F1" w:themeFill="text2" w:themeFillTint="33"/>
          </w:tcPr>
          <w:p w14:paraId="2FE0BBD5" w14:textId="77777777" w:rsidR="000E0215" w:rsidRPr="004360BF" w:rsidRDefault="00D720CA" w:rsidP="00861C44">
            <w:pPr>
              <w:keepNext/>
              <w:spacing w:before="40" w:after="40"/>
              <w:jc w:val="center"/>
              <w:rPr>
                <w:b/>
                <w:sz w:val="22"/>
                <w:szCs w:val="22"/>
                <w:lang w:val="en-AU"/>
              </w:rPr>
            </w:pPr>
            <w:r w:rsidRPr="004360BF">
              <w:rPr>
                <w:b/>
                <w:sz w:val="22"/>
                <w:szCs w:val="22"/>
                <w:lang w:val="en-AU"/>
              </w:rPr>
              <w:t>Revenue</w:t>
            </w:r>
          </w:p>
          <w:p w14:paraId="5B92A41B" w14:textId="77777777" w:rsidR="00D720CA" w:rsidRPr="004360BF" w:rsidRDefault="000E0215" w:rsidP="00861C44">
            <w:pPr>
              <w:keepNext/>
              <w:spacing w:before="40" w:after="40"/>
              <w:jc w:val="center"/>
              <w:rPr>
                <w:b/>
                <w:sz w:val="22"/>
                <w:szCs w:val="22"/>
                <w:lang w:val="en-AU"/>
              </w:rPr>
            </w:pPr>
            <w:r w:rsidRPr="004360BF">
              <w:rPr>
                <w:b/>
                <w:sz w:val="22"/>
                <w:szCs w:val="22"/>
                <w:lang w:val="en-AU"/>
              </w:rPr>
              <w:t>(</w:t>
            </w:r>
            <w:r w:rsidR="00D720CA" w:rsidRPr="004360BF">
              <w:rPr>
                <w:b/>
                <w:sz w:val="22"/>
                <w:szCs w:val="22"/>
                <w:lang w:val="en-AU"/>
              </w:rPr>
              <w:t>$’000</w:t>
            </w:r>
            <w:r w:rsidRPr="004360BF">
              <w:rPr>
                <w:b/>
                <w:sz w:val="22"/>
                <w:szCs w:val="22"/>
                <w:lang w:val="en-AU"/>
              </w:rPr>
              <w:t>)</w:t>
            </w:r>
          </w:p>
        </w:tc>
      </w:tr>
      <w:tr w:rsidR="0052227B" w:rsidRPr="004360BF" w14:paraId="3B871828" w14:textId="77777777" w:rsidTr="007E3287">
        <w:trPr>
          <w:trHeight w:val="407"/>
        </w:trPr>
        <w:tc>
          <w:tcPr>
            <w:tcW w:w="0" w:type="auto"/>
          </w:tcPr>
          <w:p w14:paraId="7BB67659" w14:textId="77777777" w:rsidR="0052227B" w:rsidRPr="004360BF" w:rsidRDefault="0052227B" w:rsidP="00420E86">
            <w:pPr>
              <w:keepNext/>
              <w:spacing w:before="40" w:after="40"/>
              <w:rPr>
                <w:sz w:val="22"/>
                <w:szCs w:val="22"/>
                <w:lang w:val="en-AU"/>
              </w:rPr>
            </w:pPr>
            <w:r w:rsidRPr="004360BF">
              <w:rPr>
                <w:sz w:val="22"/>
                <w:szCs w:val="22"/>
                <w:lang w:val="en-AU"/>
              </w:rPr>
              <w:t>Proposed revenue allowance</w:t>
            </w:r>
          </w:p>
        </w:tc>
        <w:tc>
          <w:tcPr>
            <w:tcW w:w="0" w:type="auto"/>
          </w:tcPr>
          <w:p w14:paraId="21E7251A" w14:textId="6ADF89F9" w:rsidR="0052227B" w:rsidRPr="004360BF" w:rsidRDefault="00A048CB" w:rsidP="00420E86">
            <w:pPr>
              <w:keepNext/>
              <w:spacing w:before="40" w:after="40"/>
              <w:jc w:val="right"/>
              <w:rPr>
                <w:sz w:val="22"/>
                <w:szCs w:val="22"/>
                <w:lang w:val="en-AU"/>
              </w:rPr>
            </w:pPr>
            <w:r w:rsidRPr="00A048CB">
              <w:rPr>
                <w:sz w:val="22"/>
                <w:szCs w:val="22"/>
                <w:lang w:val="en-AU"/>
              </w:rPr>
              <w:t>202,948.96</w:t>
            </w:r>
          </w:p>
        </w:tc>
      </w:tr>
      <w:tr w:rsidR="0052227B" w:rsidRPr="004360BF" w14:paraId="2FB853BD" w14:textId="77777777" w:rsidTr="007E3287">
        <w:trPr>
          <w:trHeight w:val="277"/>
        </w:trPr>
        <w:tc>
          <w:tcPr>
            <w:tcW w:w="0" w:type="auto"/>
          </w:tcPr>
          <w:p w14:paraId="48B69BD6" w14:textId="77777777" w:rsidR="0052227B" w:rsidRPr="004360BF" w:rsidRDefault="0052227B" w:rsidP="00420E86">
            <w:pPr>
              <w:keepNext/>
              <w:spacing w:before="40" w:after="40"/>
              <w:rPr>
                <w:sz w:val="22"/>
                <w:szCs w:val="22"/>
                <w:lang w:val="en-AU"/>
              </w:rPr>
            </w:pPr>
            <w:r w:rsidRPr="004360BF">
              <w:rPr>
                <w:sz w:val="22"/>
                <w:szCs w:val="22"/>
                <w:lang w:val="en-AU"/>
              </w:rPr>
              <w:t>Forecast revenue through tariffs</w:t>
            </w:r>
          </w:p>
        </w:tc>
        <w:tc>
          <w:tcPr>
            <w:tcW w:w="0" w:type="auto"/>
          </w:tcPr>
          <w:p w14:paraId="20852A66" w14:textId="39783376" w:rsidR="0052227B" w:rsidRPr="004360BF" w:rsidRDefault="00A048CB">
            <w:pPr>
              <w:spacing w:before="40" w:after="40"/>
              <w:jc w:val="right"/>
              <w:rPr>
                <w:sz w:val="22"/>
                <w:szCs w:val="22"/>
                <w:lang w:val="en-AU"/>
              </w:rPr>
            </w:pPr>
            <w:r w:rsidRPr="004360BF">
              <w:rPr>
                <w:rFonts w:cs="Tahoma"/>
                <w:sz w:val="22"/>
                <w:szCs w:val="22"/>
                <w:lang w:val="en-AU"/>
              </w:rPr>
              <w:t>20</w:t>
            </w:r>
            <w:r>
              <w:rPr>
                <w:rFonts w:cs="Tahoma"/>
                <w:sz w:val="22"/>
                <w:szCs w:val="22"/>
                <w:lang w:val="en-AU"/>
              </w:rPr>
              <w:t>1</w:t>
            </w:r>
            <w:r w:rsidR="00C7422C" w:rsidRPr="004360BF">
              <w:rPr>
                <w:rFonts w:cs="Tahoma"/>
                <w:sz w:val="22"/>
                <w:szCs w:val="22"/>
                <w:lang w:val="en-AU"/>
              </w:rPr>
              <w:t>,</w:t>
            </w:r>
            <w:r>
              <w:rPr>
                <w:rFonts w:cs="Tahoma"/>
                <w:sz w:val="22"/>
                <w:szCs w:val="22"/>
                <w:lang w:val="en-AU"/>
              </w:rPr>
              <w:t>087.82</w:t>
            </w:r>
          </w:p>
        </w:tc>
      </w:tr>
      <w:tr w:rsidR="007E3287" w:rsidRPr="004360BF" w14:paraId="55530BCE" w14:textId="77777777" w:rsidTr="007E3287">
        <w:trPr>
          <w:trHeight w:val="420"/>
        </w:trPr>
        <w:tc>
          <w:tcPr>
            <w:tcW w:w="0" w:type="auto"/>
          </w:tcPr>
          <w:p w14:paraId="104E49C6" w14:textId="1FAA77BA" w:rsidR="007E3287" w:rsidRDefault="007E3287" w:rsidP="00420E86">
            <w:pPr>
              <w:keepNext/>
              <w:spacing w:before="40" w:after="40"/>
              <w:rPr>
                <w:sz w:val="22"/>
                <w:szCs w:val="22"/>
                <w:lang w:val="en-AU"/>
              </w:rPr>
            </w:pPr>
            <w:r>
              <w:rPr>
                <w:sz w:val="22"/>
                <w:szCs w:val="22"/>
                <w:lang w:val="en-AU"/>
              </w:rPr>
              <w:t>Revenue less Tariffs</w:t>
            </w:r>
          </w:p>
        </w:tc>
        <w:tc>
          <w:tcPr>
            <w:tcW w:w="0" w:type="auto"/>
          </w:tcPr>
          <w:p w14:paraId="2670ED79" w14:textId="6723C47A" w:rsidR="007E3287" w:rsidRPr="004360BF" w:rsidRDefault="007E3287" w:rsidP="007E3287">
            <w:pPr>
              <w:keepNext/>
              <w:spacing w:before="40" w:after="40"/>
              <w:jc w:val="right"/>
              <w:rPr>
                <w:sz w:val="22"/>
                <w:szCs w:val="22"/>
                <w:lang w:val="en-AU"/>
              </w:rPr>
            </w:pPr>
            <w:r>
              <w:rPr>
                <w:sz w:val="22"/>
                <w:szCs w:val="22"/>
                <w:lang w:val="en-AU"/>
              </w:rPr>
              <w:t>-1,861.14</w:t>
            </w:r>
          </w:p>
        </w:tc>
      </w:tr>
    </w:tbl>
    <w:p w14:paraId="41C6FB35" w14:textId="77777777" w:rsidR="007E3287" w:rsidRPr="004360BF" w:rsidRDefault="007E3287" w:rsidP="00D87D4A">
      <w:pPr>
        <w:spacing w:after="0"/>
        <w:rPr>
          <w:lang w:val="en-AU"/>
        </w:rPr>
      </w:pPr>
    </w:p>
    <w:p w14:paraId="6A55AF6E" w14:textId="77777777" w:rsidR="00A47A06" w:rsidRPr="004360BF" w:rsidRDefault="00A47A06" w:rsidP="00B30BF6">
      <w:pPr>
        <w:pStyle w:val="Heading2"/>
      </w:pPr>
      <w:bookmarkStart w:id="432" w:name="_Ref258684255"/>
      <w:bookmarkStart w:id="433" w:name="_Toc417291268"/>
      <w:bookmarkStart w:id="434" w:name="_Toc417291777"/>
      <w:bookmarkStart w:id="435" w:name="_Toc417292545"/>
      <w:bookmarkStart w:id="436" w:name="_Toc291262265"/>
      <w:bookmarkStart w:id="437" w:name="_Toc417458030"/>
      <w:bookmarkStart w:id="438" w:name="_Toc418608699"/>
      <w:r w:rsidRPr="004360BF">
        <w:lastRenderedPageBreak/>
        <w:t xml:space="preserve">Compliance with </w:t>
      </w:r>
      <w:r w:rsidR="00525A46" w:rsidRPr="004360BF">
        <w:t xml:space="preserve">the </w:t>
      </w:r>
      <w:r w:rsidR="00263D11" w:rsidRPr="004360BF">
        <w:t>tariff class</w:t>
      </w:r>
      <w:r w:rsidRPr="004360BF">
        <w:t xml:space="preserve"> side constraints</w:t>
      </w:r>
      <w:bookmarkEnd w:id="432"/>
      <w:bookmarkEnd w:id="433"/>
      <w:bookmarkEnd w:id="434"/>
      <w:bookmarkEnd w:id="435"/>
      <w:bookmarkEnd w:id="436"/>
      <w:bookmarkEnd w:id="437"/>
      <w:bookmarkEnd w:id="438"/>
    </w:p>
    <w:p w14:paraId="74380F3C" w14:textId="49D8F1F4" w:rsidR="00A47A06" w:rsidRPr="004360BF" w:rsidRDefault="00A47A06" w:rsidP="00E71941">
      <w:pPr>
        <w:keepNext/>
        <w:rPr>
          <w:lang w:val="en-AU"/>
        </w:rPr>
      </w:pPr>
      <w:r w:rsidRPr="004360BF">
        <w:rPr>
          <w:lang w:val="en-AU"/>
        </w:rPr>
        <w:t xml:space="preserve">The percentage change in the weighted average revenue for each tariff class is shown in </w:t>
      </w:r>
      <w:r w:rsidR="0036456E" w:rsidRPr="004360BF">
        <w:rPr>
          <w:lang w:val="en-AU"/>
        </w:rPr>
        <w:fldChar w:fldCharType="begin"/>
      </w:r>
      <w:r w:rsidR="0036456E" w:rsidRPr="004360BF">
        <w:rPr>
          <w:lang w:val="en-AU"/>
        </w:rPr>
        <w:instrText xml:space="preserve"> REF _Ref258675601 \h </w:instrText>
      </w:r>
      <w:r w:rsidR="0036456E" w:rsidRPr="004360BF">
        <w:rPr>
          <w:lang w:val="en-AU"/>
        </w:rPr>
      </w:r>
      <w:r w:rsidR="0036456E" w:rsidRPr="004360BF">
        <w:rPr>
          <w:lang w:val="en-AU"/>
        </w:rPr>
        <w:fldChar w:fldCharType="separate"/>
      </w:r>
      <w:r w:rsidR="008D3215" w:rsidRPr="004360BF">
        <w:rPr>
          <w:lang w:val="en-AU"/>
        </w:rPr>
        <w:t xml:space="preserve">Table </w:t>
      </w:r>
      <w:r w:rsidR="008D3215">
        <w:rPr>
          <w:noProof/>
          <w:lang w:val="en-AU"/>
        </w:rPr>
        <w:t>18</w:t>
      </w:r>
      <w:r w:rsidR="0036456E" w:rsidRPr="004360BF">
        <w:rPr>
          <w:lang w:val="en-AU"/>
        </w:rPr>
        <w:fldChar w:fldCharType="end"/>
      </w:r>
      <w:r w:rsidRPr="004360BF">
        <w:rPr>
          <w:lang w:val="en-AU"/>
        </w:rPr>
        <w:t>.</w:t>
      </w:r>
      <w:r w:rsidR="00CC6CF8" w:rsidRPr="004360BF">
        <w:rPr>
          <w:lang w:val="en-AU"/>
        </w:rPr>
        <w:t xml:space="preserve"> </w:t>
      </w:r>
      <w:r w:rsidR="0052227B" w:rsidRPr="004360BF">
        <w:rPr>
          <w:lang w:val="en-AU"/>
        </w:rPr>
        <w:t xml:space="preserve">As specified by the </w:t>
      </w:r>
      <w:r w:rsidR="00E51272" w:rsidRPr="004360BF">
        <w:rPr>
          <w:lang w:val="en-AU"/>
        </w:rPr>
        <w:t>2014 NPD Final Determination</w:t>
      </w:r>
      <w:r w:rsidR="0052227B" w:rsidRPr="004360BF">
        <w:rPr>
          <w:lang w:val="en-AU"/>
        </w:rPr>
        <w:t>, this comparison is based on 2012/13 consumption volumes.</w:t>
      </w:r>
    </w:p>
    <w:p w14:paraId="25AD6FCD" w14:textId="77777777" w:rsidR="00A47A06" w:rsidRPr="004360BF" w:rsidRDefault="00A47A06" w:rsidP="00083784">
      <w:pPr>
        <w:pStyle w:val="Caption"/>
        <w:rPr>
          <w:lang w:val="en-AU"/>
        </w:rPr>
      </w:pPr>
      <w:bookmarkStart w:id="439" w:name="_Ref258675601"/>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18</w:t>
      </w:r>
      <w:r w:rsidR="00517DD9" w:rsidRPr="004360BF">
        <w:rPr>
          <w:lang w:val="en-AU"/>
        </w:rPr>
        <w:fldChar w:fldCharType="end"/>
      </w:r>
      <w:bookmarkEnd w:id="439"/>
      <w:r w:rsidRPr="004360BF">
        <w:rPr>
          <w:lang w:val="en-AU"/>
        </w:rPr>
        <w:t xml:space="preserve"> - Compliance with t</w:t>
      </w:r>
      <w:r w:rsidR="00525A46" w:rsidRPr="004360BF">
        <w:rPr>
          <w:lang w:val="en-AU"/>
        </w:rPr>
        <w:t>he t</w:t>
      </w:r>
      <w:r w:rsidRPr="004360BF">
        <w:rPr>
          <w:lang w:val="en-AU"/>
        </w:rPr>
        <w:t>ariff class side constraint in 201</w:t>
      </w:r>
      <w:r w:rsidR="00486AB4" w:rsidRPr="004360BF">
        <w:rPr>
          <w:lang w:val="en-AU"/>
        </w:rPr>
        <w:t>5</w:t>
      </w:r>
      <w:r w:rsidRPr="004360BF">
        <w:rPr>
          <w:lang w:val="en-AU"/>
        </w:rPr>
        <w:t>/1</w:t>
      </w:r>
      <w:r w:rsidR="00486AB4" w:rsidRPr="004360BF">
        <w:rPr>
          <w:lang w:val="en-AU"/>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679"/>
        <w:gridCol w:w="1289"/>
        <w:gridCol w:w="1276"/>
        <w:gridCol w:w="1843"/>
      </w:tblGrid>
      <w:tr w:rsidR="00641FDC" w:rsidRPr="004360BF" w14:paraId="11AD51AF" w14:textId="77777777" w:rsidTr="0092275D">
        <w:trPr>
          <w:jc w:val="center"/>
        </w:trPr>
        <w:tc>
          <w:tcPr>
            <w:tcW w:w="1699" w:type="dxa"/>
            <w:vMerge w:val="restart"/>
            <w:tcBorders>
              <w:top w:val="single" w:sz="4" w:space="0" w:color="auto"/>
              <w:left w:val="single" w:sz="4" w:space="0" w:color="auto"/>
            </w:tcBorders>
            <w:shd w:val="clear" w:color="auto" w:fill="C6D9F1"/>
          </w:tcPr>
          <w:p w14:paraId="09A6E0D2" w14:textId="77777777" w:rsidR="00641FDC" w:rsidRPr="004360BF" w:rsidRDefault="00641FDC" w:rsidP="00904125">
            <w:pPr>
              <w:keepNext/>
              <w:spacing w:before="40" w:after="40"/>
              <w:jc w:val="center"/>
              <w:rPr>
                <w:sz w:val="22"/>
                <w:szCs w:val="22"/>
                <w:lang w:val="en-AU"/>
              </w:rPr>
            </w:pPr>
            <w:r w:rsidRPr="004360BF">
              <w:rPr>
                <w:b/>
                <w:sz w:val="22"/>
                <w:szCs w:val="22"/>
                <w:lang w:val="en-AU"/>
              </w:rPr>
              <w:t>Tariff Class</w:t>
            </w:r>
          </w:p>
        </w:tc>
        <w:tc>
          <w:tcPr>
            <w:tcW w:w="1679" w:type="dxa"/>
            <w:tcBorders>
              <w:bottom w:val="nil"/>
            </w:tcBorders>
            <w:shd w:val="solid" w:color="C6D9F1" w:fill="auto"/>
          </w:tcPr>
          <w:p w14:paraId="620B877E" w14:textId="77777777" w:rsidR="00641FDC" w:rsidRPr="004360BF" w:rsidRDefault="00641FDC" w:rsidP="00D94875">
            <w:pPr>
              <w:spacing w:before="40" w:after="40"/>
              <w:jc w:val="center"/>
              <w:rPr>
                <w:b/>
                <w:sz w:val="22"/>
                <w:szCs w:val="22"/>
                <w:lang w:val="en-AU"/>
              </w:rPr>
            </w:pPr>
            <w:r w:rsidRPr="004360BF">
              <w:rPr>
                <w:b/>
                <w:sz w:val="22"/>
                <w:szCs w:val="22"/>
                <w:lang w:val="en-AU"/>
              </w:rPr>
              <w:t>2014/15</w:t>
            </w:r>
          </w:p>
        </w:tc>
        <w:tc>
          <w:tcPr>
            <w:tcW w:w="1289" w:type="dxa"/>
            <w:tcBorders>
              <w:bottom w:val="nil"/>
            </w:tcBorders>
            <w:shd w:val="solid" w:color="C6D9F1" w:fill="auto"/>
          </w:tcPr>
          <w:p w14:paraId="6F59D73E" w14:textId="77777777" w:rsidR="00641FDC" w:rsidRPr="004360BF" w:rsidRDefault="00641FDC" w:rsidP="00184F20">
            <w:pPr>
              <w:spacing w:before="40" w:after="40"/>
              <w:jc w:val="center"/>
              <w:rPr>
                <w:b/>
                <w:sz w:val="22"/>
                <w:szCs w:val="22"/>
                <w:lang w:val="en-AU"/>
              </w:rPr>
            </w:pPr>
            <w:r w:rsidRPr="004360BF">
              <w:rPr>
                <w:b/>
                <w:sz w:val="22"/>
                <w:szCs w:val="22"/>
                <w:lang w:val="en-AU"/>
              </w:rPr>
              <w:t>2015/16</w:t>
            </w:r>
          </w:p>
        </w:tc>
        <w:tc>
          <w:tcPr>
            <w:tcW w:w="1276" w:type="dxa"/>
            <w:tcBorders>
              <w:bottom w:val="nil"/>
            </w:tcBorders>
            <w:shd w:val="solid" w:color="C6D9F1" w:fill="auto"/>
          </w:tcPr>
          <w:p w14:paraId="64A369FF" w14:textId="77777777" w:rsidR="00641FDC" w:rsidRPr="004360BF" w:rsidRDefault="00641FDC" w:rsidP="00184F20">
            <w:pPr>
              <w:spacing w:before="40" w:after="40"/>
              <w:jc w:val="center"/>
              <w:rPr>
                <w:b/>
                <w:sz w:val="22"/>
                <w:szCs w:val="22"/>
                <w:lang w:val="en-AU"/>
              </w:rPr>
            </w:pPr>
            <w:r w:rsidRPr="004360BF">
              <w:rPr>
                <w:b/>
                <w:sz w:val="22"/>
                <w:szCs w:val="22"/>
                <w:lang w:val="en-AU"/>
              </w:rPr>
              <w:t>Change</w:t>
            </w:r>
          </w:p>
        </w:tc>
        <w:tc>
          <w:tcPr>
            <w:tcW w:w="1843" w:type="dxa"/>
            <w:tcBorders>
              <w:bottom w:val="nil"/>
            </w:tcBorders>
            <w:shd w:val="solid" w:color="C6D9F1" w:fill="auto"/>
          </w:tcPr>
          <w:p w14:paraId="6C263ADE" w14:textId="77777777" w:rsidR="00641FDC" w:rsidRPr="004360BF" w:rsidRDefault="00641FDC" w:rsidP="00184F20">
            <w:pPr>
              <w:spacing w:before="40" w:after="40"/>
              <w:jc w:val="center"/>
              <w:rPr>
                <w:b/>
                <w:sz w:val="22"/>
                <w:szCs w:val="22"/>
                <w:lang w:val="en-AU"/>
              </w:rPr>
            </w:pPr>
            <w:r w:rsidRPr="004360BF">
              <w:rPr>
                <w:b/>
                <w:sz w:val="22"/>
                <w:szCs w:val="22"/>
                <w:lang w:val="en-AU"/>
              </w:rPr>
              <w:t>Side</w:t>
            </w:r>
          </w:p>
        </w:tc>
      </w:tr>
      <w:tr w:rsidR="00641FDC" w:rsidRPr="004360BF" w14:paraId="77C85EB0" w14:textId="77777777" w:rsidTr="0092275D">
        <w:trPr>
          <w:jc w:val="center"/>
        </w:trPr>
        <w:tc>
          <w:tcPr>
            <w:tcW w:w="1699" w:type="dxa"/>
            <w:vMerge/>
            <w:tcBorders>
              <w:left w:val="single" w:sz="4" w:space="0" w:color="auto"/>
            </w:tcBorders>
            <w:shd w:val="clear" w:color="auto" w:fill="C6D9F1"/>
          </w:tcPr>
          <w:p w14:paraId="412363F1" w14:textId="77777777" w:rsidR="00641FDC" w:rsidRPr="004360BF" w:rsidRDefault="00641FDC" w:rsidP="00904125">
            <w:pPr>
              <w:keepNext/>
              <w:spacing w:before="40" w:after="40"/>
              <w:rPr>
                <w:sz w:val="22"/>
                <w:szCs w:val="22"/>
                <w:lang w:val="en-AU"/>
              </w:rPr>
            </w:pPr>
          </w:p>
        </w:tc>
        <w:tc>
          <w:tcPr>
            <w:tcW w:w="1679" w:type="dxa"/>
            <w:tcBorders>
              <w:top w:val="nil"/>
            </w:tcBorders>
            <w:shd w:val="solid" w:color="C6D9F1" w:fill="auto"/>
          </w:tcPr>
          <w:p w14:paraId="05BDE554" w14:textId="77777777" w:rsidR="00641FDC" w:rsidRPr="004360BF" w:rsidRDefault="00641FDC" w:rsidP="00D94875">
            <w:pPr>
              <w:spacing w:before="40" w:after="40"/>
              <w:jc w:val="center"/>
              <w:rPr>
                <w:b/>
                <w:sz w:val="22"/>
                <w:szCs w:val="22"/>
                <w:lang w:val="en-AU"/>
              </w:rPr>
            </w:pPr>
            <w:r w:rsidRPr="004360BF">
              <w:rPr>
                <w:b/>
                <w:sz w:val="22"/>
                <w:szCs w:val="22"/>
                <w:lang w:val="en-AU"/>
              </w:rPr>
              <w:t>($'000)</w:t>
            </w:r>
          </w:p>
        </w:tc>
        <w:tc>
          <w:tcPr>
            <w:tcW w:w="1289" w:type="dxa"/>
            <w:tcBorders>
              <w:top w:val="nil"/>
            </w:tcBorders>
            <w:shd w:val="solid" w:color="C6D9F1" w:fill="auto"/>
          </w:tcPr>
          <w:p w14:paraId="611373A6" w14:textId="77777777" w:rsidR="00641FDC" w:rsidRPr="004360BF" w:rsidRDefault="00641FDC" w:rsidP="00917F81">
            <w:pPr>
              <w:spacing w:before="40" w:after="40"/>
              <w:jc w:val="center"/>
              <w:rPr>
                <w:b/>
                <w:sz w:val="22"/>
                <w:szCs w:val="22"/>
                <w:lang w:val="en-AU"/>
              </w:rPr>
            </w:pPr>
            <w:r w:rsidRPr="004360BF">
              <w:rPr>
                <w:b/>
                <w:sz w:val="22"/>
                <w:szCs w:val="22"/>
                <w:lang w:val="en-AU"/>
              </w:rPr>
              <w:t>($’000)</w:t>
            </w:r>
          </w:p>
        </w:tc>
        <w:tc>
          <w:tcPr>
            <w:tcW w:w="1276" w:type="dxa"/>
            <w:tcBorders>
              <w:top w:val="nil"/>
            </w:tcBorders>
            <w:shd w:val="solid" w:color="C6D9F1" w:fill="auto"/>
          </w:tcPr>
          <w:p w14:paraId="4248809F" w14:textId="77777777" w:rsidR="00641FDC" w:rsidRPr="004360BF" w:rsidRDefault="00641FDC" w:rsidP="00D94875">
            <w:pPr>
              <w:spacing w:before="40" w:after="40"/>
              <w:rPr>
                <w:sz w:val="22"/>
                <w:szCs w:val="22"/>
                <w:lang w:val="en-AU"/>
              </w:rPr>
            </w:pPr>
          </w:p>
        </w:tc>
        <w:tc>
          <w:tcPr>
            <w:tcW w:w="1843" w:type="dxa"/>
            <w:tcBorders>
              <w:top w:val="nil"/>
            </w:tcBorders>
            <w:shd w:val="solid" w:color="C6D9F1" w:fill="auto"/>
          </w:tcPr>
          <w:p w14:paraId="727B1B04" w14:textId="77777777" w:rsidR="00641FDC" w:rsidRPr="004360BF" w:rsidRDefault="00641FDC" w:rsidP="00184F20">
            <w:pPr>
              <w:spacing w:before="40" w:after="40"/>
              <w:jc w:val="center"/>
              <w:rPr>
                <w:b/>
                <w:sz w:val="22"/>
                <w:szCs w:val="22"/>
                <w:lang w:val="en-AU"/>
              </w:rPr>
            </w:pPr>
            <w:r w:rsidRPr="004360BF">
              <w:rPr>
                <w:b/>
                <w:sz w:val="22"/>
                <w:szCs w:val="22"/>
                <w:lang w:val="en-AU"/>
              </w:rPr>
              <w:t>Constraint</w:t>
            </w:r>
          </w:p>
        </w:tc>
      </w:tr>
      <w:tr w:rsidR="00A048CB" w:rsidRPr="004360BF" w14:paraId="185B494B" w14:textId="77777777" w:rsidTr="0092275D">
        <w:trPr>
          <w:trHeight w:val="323"/>
          <w:jc w:val="center"/>
        </w:trPr>
        <w:tc>
          <w:tcPr>
            <w:tcW w:w="1699" w:type="dxa"/>
            <w:shd w:val="clear" w:color="auto" w:fill="auto"/>
          </w:tcPr>
          <w:p w14:paraId="5CE5780D" w14:textId="77777777" w:rsidR="00A048CB" w:rsidRPr="004360BF" w:rsidRDefault="00A048CB" w:rsidP="00420E86">
            <w:pPr>
              <w:keepNext/>
              <w:spacing w:before="40" w:after="40"/>
              <w:rPr>
                <w:sz w:val="22"/>
                <w:szCs w:val="22"/>
                <w:lang w:val="en-AU"/>
              </w:rPr>
            </w:pPr>
            <w:r w:rsidRPr="004360BF">
              <w:rPr>
                <w:sz w:val="22"/>
                <w:szCs w:val="22"/>
                <w:lang w:val="en-AU"/>
              </w:rPr>
              <w:t>Domestic</w:t>
            </w:r>
          </w:p>
        </w:tc>
        <w:tc>
          <w:tcPr>
            <w:tcW w:w="1679" w:type="dxa"/>
            <w:shd w:val="clear" w:color="auto" w:fill="auto"/>
          </w:tcPr>
          <w:p w14:paraId="6A3B7D23" w14:textId="3D422158" w:rsidR="00A048CB" w:rsidRPr="004360BF" w:rsidRDefault="00A048CB" w:rsidP="00420E86">
            <w:pPr>
              <w:spacing w:before="40" w:after="40"/>
              <w:jc w:val="right"/>
              <w:rPr>
                <w:rFonts w:cs="Tahoma"/>
                <w:sz w:val="22"/>
                <w:szCs w:val="22"/>
                <w:lang w:val="en-AU"/>
              </w:rPr>
            </w:pPr>
            <w:r w:rsidRPr="004360BF">
              <w:rPr>
                <w:rFonts w:cs="Tahoma"/>
                <w:sz w:val="22"/>
                <w:szCs w:val="22"/>
                <w:lang w:val="en-AU"/>
              </w:rPr>
              <w:t>82,686</w:t>
            </w:r>
          </w:p>
        </w:tc>
        <w:tc>
          <w:tcPr>
            <w:tcW w:w="1289" w:type="dxa"/>
          </w:tcPr>
          <w:p w14:paraId="073C8F92" w14:textId="71772127" w:rsidR="00A048CB" w:rsidRPr="004360BF" w:rsidRDefault="00A048CB" w:rsidP="0072554D">
            <w:pPr>
              <w:spacing w:before="40" w:after="40"/>
              <w:jc w:val="right"/>
              <w:rPr>
                <w:rFonts w:cs="Tahoma"/>
                <w:sz w:val="22"/>
                <w:szCs w:val="22"/>
                <w:lang w:val="en-AU"/>
              </w:rPr>
            </w:pPr>
            <w:r w:rsidRPr="005C4BA1">
              <w:rPr>
                <w:rFonts w:cs="Tahoma"/>
                <w:sz w:val="22"/>
                <w:szCs w:val="22"/>
                <w:lang w:val="en-AU"/>
              </w:rPr>
              <w:t>92,654</w:t>
            </w:r>
          </w:p>
        </w:tc>
        <w:tc>
          <w:tcPr>
            <w:tcW w:w="1276" w:type="dxa"/>
            <w:shd w:val="clear" w:color="auto" w:fill="auto"/>
          </w:tcPr>
          <w:p w14:paraId="395C7E13" w14:textId="61F87C93" w:rsidR="00A048CB" w:rsidRPr="004360BF" w:rsidRDefault="00A048CB" w:rsidP="006261A1">
            <w:pPr>
              <w:spacing w:before="40" w:after="40"/>
              <w:jc w:val="right"/>
              <w:rPr>
                <w:rFonts w:cs="Tahoma"/>
                <w:sz w:val="22"/>
                <w:szCs w:val="22"/>
                <w:lang w:val="en-AU"/>
              </w:rPr>
            </w:pPr>
            <w:r w:rsidRPr="005C4BA1">
              <w:rPr>
                <w:rFonts w:cs="Tahoma"/>
                <w:sz w:val="22"/>
                <w:szCs w:val="22"/>
                <w:lang w:val="en-AU"/>
              </w:rPr>
              <w:t>12.054%</w:t>
            </w:r>
          </w:p>
        </w:tc>
        <w:tc>
          <w:tcPr>
            <w:tcW w:w="1843" w:type="dxa"/>
          </w:tcPr>
          <w:p w14:paraId="2C5D74EC" w14:textId="14D007D9" w:rsidR="00A048CB" w:rsidRPr="004360BF" w:rsidRDefault="00A048CB" w:rsidP="00420E86">
            <w:pPr>
              <w:spacing w:before="40" w:after="40"/>
              <w:jc w:val="right"/>
              <w:rPr>
                <w:rFonts w:cs="Tahoma"/>
                <w:sz w:val="22"/>
                <w:szCs w:val="22"/>
                <w:lang w:val="en-AU"/>
              </w:rPr>
            </w:pPr>
            <w:r w:rsidRPr="005C4BA1">
              <w:rPr>
                <w:rFonts w:cs="Tahoma"/>
                <w:sz w:val="22"/>
                <w:szCs w:val="22"/>
                <w:lang w:val="en-AU"/>
              </w:rPr>
              <w:t>12.055%</w:t>
            </w:r>
          </w:p>
        </w:tc>
      </w:tr>
      <w:tr w:rsidR="00A048CB" w:rsidRPr="004360BF" w14:paraId="0519F714" w14:textId="77777777" w:rsidTr="0092275D">
        <w:trPr>
          <w:jc w:val="center"/>
        </w:trPr>
        <w:tc>
          <w:tcPr>
            <w:tcW w:w="1699" w:type="dxa"/>
            <w:shd w:val="clear" w:color="auto" w:fill="auto"/>
          </w:tcPr>
          <w:p w14:paraId="011787A2" w14:textId="77777777" w:rsidR="00A048CB" w:rsidRPr="004360BF" w:rsidRDefault="00A048CB" w:rsidP="00420E86">
            <w:pPr>
              <w:keepNext/>
              <w:spacing w:before="40" w:after="40"/>
              <w:rPr>
                <w:sz w:val="22"/>
                <w:szCs w:val="22"/>
                <w:lang w:val="en-AU"/>
              </w:rPr>
            </w:pPr>
            <w:r w:rsidRPr="004360BF">
              <w:rPr>
                <w:sz w:val="22"/>
                <w:szCs w:val="22"/>
                <w:lang w:val="en-AU"/>
              </w:rPr>
              <w:t xml:space="preserve">Commercial </w:t>
            </w:r>
          </w:p>
        </w:tc>
        <w:tc>
          <w:tcPr>
            <w:tcW w:w="1679" w:type="dxa"/>
            <w:shd w:val="clear" w:color="auto" w:fill="auto"/>
          </w:tcPr>
          <w:p w14:paraId="7EBB0CF7" w14:textId="6B6DCB06" w:rsidR="00A048CB" w:rsidRPr="004360BF" w:rsidRDefault="00A048CB" w:rsidP="00420E86">
            <w:pPr>
              <w:spacing w:before="40" w:after="40"/>
              <w:jc w:val="right"/>
              <w:rPr>
                <w:rFonts w:cs="Tahoma"/>
                <w:sz w:val="22"/>
                <w:szCs w:val="22"/>
                <w:lang w:val="en-AU"/>
              </w:rPr>
            </w:pPr>
            <w:r w:rsidRPr="004360BF">
              <w:rPr>
                <w:rFonts w:cs="Tahoma"/>
                <w:sz w:val="22"/>
                <w:szCs w:val="22"/>
                <w:lang w:val="en-AU"/>
              </w:rPr>
              <w:t>77,742</w:t>
            </w:r>
          </w:p>
        </w:tc>
        <w:tc>
          <w:tcPr>
            <w:tcW w:w="1289" w:type="dxa"/>
          </w:tcPr>
          <w:p w14:paraId="68ED6BFF" w14:textId="5595E809" w:rsidR="00A048CB" w:rsidRPr="004360BF" w:rsidRDefault="00A048CB" w:rsidP="0072554D">
            <w:pPr>
              <w:spacing w:before="40" w:after="40"/>
              <w:jc w:val="right"/>
              <w:rPr>
                <w:rFonts w:cs="Tahoma"/>
                <w:sz w:val="22"/>
                <w:szCs w:val="22"/>
                <w:lang w:val="en-AU"/>
              </w:rPr>
            </w:pPr>
            <w:r w:rsidRPr="005C4BA1">
              <w:rPr>
                <w:rFonts w:cs="Tahoma"/>
                <w:sz w:val="22"/>
                <w:szCs w:val="22"/>
                <w:lang w:val="en-AU"/>
              </w:rPr>
              <w:t>87,109</w:t>
            </w:r>
          </w:p>
        </w:tc>
        <w:tc>
          <w:tcPr>
            <w:tcW w:w="1276" w:type="dxa"/>
            <w:shd w:val="clear" w:color="auto" w:fill="auto"/>
          </w:tcPr>
          <w:p w14:paraId="7754FC36" w14:textId="651A8181" w:rsidR="00A048CB" w:rsidRPr="004360BF" w:rsidRDefault="00A048CB" w:rsidP="0072554D">
            <w:pPr>
              <w:spacing w:before="40" w:after="40"/>
              <w:jc w:val="right"/>
              <w:rPr>
                <w:rFonts w:cs="Tahoma"/>
                <w:sz w:val="22"/>
                <w:szCs w:val="22"/>
                <w:lang w:val="en-AU"/>
              </w:rPr>
            </w:pPr>
            <w:r w:rsidRPr="005C4BA1">
              <w:rPr>
                <w:rFonts w:cs="Tahoma"/>
                <w:sz w:val="22"/>
                <w:szCs w:val="22"/>
                <w:lang w:val="en-AU"/>
              </w:rPr>
              <w:t>12.049%</w:t>
            </w:r>
          </w:p>
        </w:tc>
        <w:tc>
          <w:tcPr>
            <w:tcW w:w="1843" w:type="dxa"/>
          </w:tcPr>
          <w:p w14:paraId="125C9703" w14:textId="52371E56" w:rsidR="00A048CB" w:rsidRPr="004360BF" w:rsidRDefault="00A048CB" w:rsidP="00420E86">
            <w:pPr>
              <w:spacing w:before="40" w:after="40"/>
              <w:jc w:val="right"/>
              <w:rPr>
                <w:rFonts w:cs="Tahoma"/>
                <w:sz w:val="22"/>
                <w:szCs w:val="22"/>
                <w:lang w:val="en-AU"/>
              </w:rPr>
            </w:pPr>
            <w:r w:rsidRPr="005C4BA1">
              <w:rPr>
                <w:rFonts w:cs="Tahoma"/>
                <w:sz w:val="22"/>
                <w:szCs w:val="22"/>
                <w:lang w:val="en-AU"/>
              </w:rPr>
              <w:t>12.055%</w:t>
            </w:r>
          </w:p>
        </w:tc>
      </w:tr>
      <w:tr w:rsidR="00A048CB" w:rsidRPr="004360BF" w14:paraId="599EE9C8" w14:textId="77777777" w:rsidTr="0092275D">
        <w:trPr>
          <w:jc w:val="center"/>
        </w:trPr>
        <w:tc>
          <w:tcPr>
            <w:tcW w:w="1699" w:type="dxa"/>
            <w:shd w:val="clear" w:color="auto" w:fill="auto"/>
          </w:tcPr>
          <w:p w14:paraId="50287B74" w14:textId="77777777" w:rsidR="00A048CB" w:rsidRPr="004360BF" w:rsidRDefault="00A048CB" w:rsidP="00420E86">
            <w:pPr>
              <w:keepNext/>
              <w:spacing w:before="40" w:after="40"/>
              <w:rPr>
                <w:sz w:val="22"/>
                <w:szCs w:val="22"/>
                <w:lang w:val="en-AU"/>
              </w:rPr>
            </w:pPr>
            <w:r w:rsidRPr="004360BF">
              <w:rPr>
                <w:sz w:val="22"/>
                <w:szCs w:val="22"/>
                <w:lang w:val="en-AU"/>
              </w:rPr>
              <w:t xml:space="preserve">Commercial HV </w:t>
            </w:r>
          </w:p>
        </w:tc>
        <w:tc>
          <w:tcPr>
            <w:tcW w:w="1679" w:type="dxa"/>
            <w:shd w:val="clear" w:color="auto" w:fill="auto"/>
          </w:tcPr>
          <w:p w14:paraId="3C14EC07" w14:textId="5F0C00F6" w:rsidR="00A048CB" w:rsidRPr="004360BF" w:rsidRDefault="00A048CB" w:rsidP="00420E86">
            <w:pPr>
              <w:spacing w:before="40" w:after="40"/>
              <w:jc w:val="right"/>
              <w:rPr>
                <w:rFonts w:cs="Tahoma"/>
                <w:sz w:val="22"/>
                <w:szCs w:val="22"/>
                <w:lang w:val="en-AU"/>
              </w:rPr>
            </w:pPr>
            <w:r w:rsidRPr="004360BF">
              <w:rPr>
                <w:rFonts w:cs="Tahoma"/>
                <w:sz w:val="22"/>
                <w:szCs w:val="22"/>
                <w:lang w:val="en-AU"/>
              </w:rPr>
              <w:t>15,217</w:t>
            </w:r>
          </w:p>
        </w:tc>
        <w:tc>
          <w:tcPr>
            <w:tcW w:w="1289" w:type="dxa"/>
          </w:tcPr>
          <w:p w14:paraId="09AFAF0C" w14:textId="72F38239" w:rsidR="00A048CB" w:rsidRPr="004360BF" w:rsidRDefault="00A048CB" w:rsidP="00420E86">
            <w:pPr>
              <w:spacing w:before="40" w:after="40"/>
              <w:jc w:val="right"/>
              <w:rPr>
                <w:rFonts w:cs="Tahoma"/>
                <w:sz w:val="22"/>
                <w:szCs w:val="22"/>
                <w:lang w:val="en-AU"/>
              </w:rPr>
            </w:pPr>
            <w:r w:rsidRPr="005C4BA1">
              <w:rPr>
                <w:rFonts w:cs="Tahoma"/>
                <w:sz w:val="22"/>
                <w:szCs w:val="22"/>
                <w:lang w:val="en-AU"/>
              </w:rPr>
              <w:t>17,051</w:t>
            </w:r>
          </w:p>
        </w:tc>
        <w:tc>
          <w:tcPr>
            <w:tcW w:w="1276" w:type="dxa"/>
            <w:shd w:val="clear" w:color="auto" w:fill="auto"/>
          </w:tcPr>
          <w:p w14:paraId="33DB256B" w14:textId="70F1F074" w:rsidR="00A048CB" w:rsidRPr="004360BF" w:rsidRDefault="00A048CB" w:rsidP="006261A1">
            <w:pPr>
              <w:spacing w:before="40" w:after="40"/>
              <w:jc w:val="right"/>
              <w:rPr>
                <w:rFonts w:cs="Tahoma"/>
                <w:sz w:val="22"/>
                <w:szCs w:val="22"/>
                <w:lang w:val="en-AU"/>
              </w:rPr>
            </w:pPr>
            <w:r w:rsidRPr="005C4BA1">
              <w:rPr>
                <w:rFonts w:cs="Tahoma"/>
                <w:sz w:val="22"/>
                <w:szCs w:val="22"/>
                <w:lang w:val="en-AU"/>
              </w:rPr>
              <w:t>12.050%</w:t>
            </w:r>
          </w:p>
        </w:tc>
        <w:tc>
          <w:tcPr>
            <w:tcW w:w="1843" w:type="dxa"/>
          </w:tcPr>
          <w:p w14:paraId="79374D57" w14:textId="0CA2878F" w:rsidR="00A048CB" w:rsidRPr="004360BF" w:rsidRDefault="00A048CB" w:rsidP="00420E86">
            <w:pPr>
              <w:spacing w:before="40" w:after="40"/>
              <w:jc w:val="right"/>
              <w:rPr>
                <w:rFonts w:cs="Tahoma"/>
                <w:sz w:val="22"/>
                <w:szCs w:val="22"/>
                <w:lang w:val="en-AU"/>
              </w:rPr>
            </w:pPr>
            <w:r w:rsidRPr="005C4BA1">
              <w:rPr>
                <w:rFonts w:cs="Tahoma"/>
                <w:sz w:val="22"/>
                <w:szCs w:val="22"/>
                <w:lang w:val="en-AU"/>
              </w:rPr>
              <w:t>12.055%</w:t>
            </w:r>
          </w:p>
        </w:tc>
      </w:tr>
    </w:tbl>
    <w:p w14:paraId="7B68FE36" w14:textId="77777777" w:rsidR="00E71941" w:rsidRPr="004360BF" w:rsidRDefault="00E71941" w:rsidP="00E71941">
      <w:pPr>
        <w:spacing w:after="0"/>
        <w:rPr>
          <w:lang w:val="en-AU"/>
        </w:rPr>
      </w:pPr>
    </w:p>
    <w:p w14:paraId="407B7C24" w14:textId="48EB1A82" w:rsidR="008145B7" w:rsidRPr="004360BF" w:rsidRDefault="006261A1" w:rsidP="00E71941">
      <w:pPr>
        <w:rPr>
          <w:lang w:val="en-AU"/>
        </w:rPr>
      </w:pPr>
      <w:r w:rsidRPr="004360BF">
        <w:rPr>
          <w:lang w:val="en-AU"/>
        </w:rPr>
        <w:fldChar w:fldCharType="begin"/>
      </w:r>
      <w:r w:rsidRPr="004360BF">
        <w:rPr>
          <w:lang w:val="en-AU"/>
        </w:rPr>
        <w:instrText xml:space="preserve"> REF _Ref258675601 \h </w:instrText>
      </w:r>
      <w:r w:rsidRPr="004360BF">
        <w:rPr>
          <w:lang w:val="en-AU"/>
        </w:rPr>
      </w:r>
      <w:r w:rsidRPr="004360BF">
        <w:rPr>
          <w:lang w:val="en-AU"/>
        </w:rPr>
        <w:fldChar w:fldCharType="separate"/>
      </w:r>
      <w:r w:rsidR="008D3215" w:rsidRPr="004360BF">
        <w:rPr>
          <w:lang w:val="en-AU"/>
        </w:rPr>
        <w:t xml:space="preserve">Table </w:t>
      </w:r>
      <w:r w:rsidR="008D3215">
        <w:rPr>
          <w:noProof/>
          <w:lang w:val="en-AU"/>
        </w:rPr>
        <w:t>18</w:t>
      </w:r>
      <w:r w:rsidRPr="004360BF">
        <w:rPr>
          <w:lang w:val="en-AU"/>
        </w:rPr>
        <w:fldChar w:fldCharType="end"/>
      </w:r>
      <w:r w:rsidRPr="004360BF">
        <w:rPr>
          <w:lang w:val="en-AU"/>
        </w:rPr>
        <w:t xml:space="preserve"> </w:t>
      </w:r>
      <w:r w:rsidR="00E51272" w:rsidRPr="004360BF">
        <w:rPr>
          <w:lang w:val="en-AU"/>
        </w:rPr>
        <w:t xml:space="preserve">demonstrates that </w:t>
      </w:r>
      <w:r w:rsidR="00A47A06" w:rsidRPr="004360BF">
        <w:rPr>
          <w:lang w:val="en-AU"/>
        </w:rPr>
        <w:t xml:space="preserve">the proposed tariffs are compliant with the side constraint </w:t>
      </w:r>
      <w:r w:rsidR="0052227B" w:rsidRPr="004360BF">
        <w:rPr>
          <w:lang w:val="en-AU"/>
        </w:rPr>
        <w:t>for tariff classes</w:t>
      </w:r>
      <w:r w:rsidR="00A47A06" w:rsidRPr="004360BF">
        <w:rPr>
          <w:lang w:val="en-AU"/>
        </w:rPr>
        <w:t>.</w:t>
      </w:r>
    </w:p>
    <w:p w14:paraId="5C564CCA" w14:textId="77777777" w:rsidR="00175542" w:rsidRPr="004360BF" w:rsidRDefault="008145B7" w:rsidP="00B30BF6">
      <w:pPr>
        <w:pStyle w:val="Heading2"/>
      </w:pPr>
      <w:bookmarkStart w:id="440" w:name="_Ref258684036"/>
      <w:bookmarkStart w:id="441" w:name="_Ref258684682"/>
      <w:bookmarkStart w:id="442" w:name="_Toc417291269"/>
      <w:bookmarkStart w:id="443" w:name="_Toc417291778"/>
      <w:bookmarkStart w:id="444" w:name="_Toc417292546"/>
      <w:bookmarkStart w:id="445" w:name="_Toc291262266"/>
      <w:bookmarkStart w:id="446" w:name="_Toc417458031"/>
      <w:bookmarkStart w:id="447" w:name="_Toc418608700"/>
      <w:r w:rsidRPr="004360BF">
        <w:t xml:space="preserve">Compliance with </w:t>
      </w:r>
      <w:r w:rsidR="00525A46" w:rsidRPr="004360BF">
        <w:t xml:space="preserve">LRMC, </w:t>
      </w:r>
      <w:r w:rsidR="00897576" w:rsidRPr="004360BF">
        <w:t>a</w:t>
      </w:r>
      <w:r w:rsidR="00CF1178" w:rsidRPr="004360BF">
        <w:t xml:space="preserve">voidable and </w:t>
      </w:r>
      <w:r w:rsidR="00897576" w:rsidRPr="004360BF">
        <w:t>s</w:t>
      </w:r>
      <w:r w:rsidR="00CF1178" w:rsidRPr="004360BF">
        <w:t xml:space="preserve">tand </w:t>
      </w:r>
      <w:r w:rsidR="00897576" w:rsidRPr="004360BF">
        <w:t>a</w:t>
      </w:r>
      <w:r w:rsidR="00CF1178" w:rsidRPr="004360BF">
        <w:t xml:space="preserve">lone </w:t>
      </w:r>
      <w:r w:rsidR="00897576" w:rsidRPr="004360BF">
        <w:t>c</w:t>
      </w:r>
      <w:r w:rsidR="00CF1178" w:rsidRPr="004360BF">
        <w:t>ost r</w:t>
      </w:r>
      <w:r w:rsidRPr="004360BF">
        <w:t>equirements</w:t>
      </w:r>
      <w:bookmarkEnd w:id="440"/>
      <w:bookmarkEnd w:id="441"/>
      <w:bookmarkEnd w:id="442"/>
      <w:bookmarkEnd w:id="443"/>
      <w:bookmarkEnd w:id="444"/>
      <w:bookmarkEnd w:id="445"/>
      <w:bookmarkEnd w:id="446"/>
      <w:bookmarkEnd w:id="447"/>
    </w:p>
    <w:p w14:paraId="75CCC7CF" w14:textId="77777777" w:rsidR="00983E11" w:rsidRPr="004360BF" w:rsidRDefault="00983E11" w:rsidP="00EE7AA1">
      <w:pPr>
        <w:pStyle w:val="Heading3"/>
      </w:pPr>
      <w:bookmarkStart w:id="448" w:name="_Ref385856305"/>
      <w:bookmarkStart w:id="449" w:name="_Toc417291779"/>
      <w:bookmarkStart w:id="450" w:name="_Toc417292547"/>
      <w:bookmarkStart w:id="451" w:name="_Toc291262267"/>
      <w:r w:rsidRPr="004360BF">
        <w:t>Long Run Marginal Cost</w:t>
      </w:r>
      <w:bookmarkEnd w:id="448"/>
      <w:bookmarkEnd w:id="449"/>
      <w:bookmarkEnd w:id="450"/>
      <w:bookmarkEnd w:id="451"/>
    </w:p>
    <w:p w14:paraId="4C1A35A7" w14:textId="77777777" w:rsidR="000E0215" w:rsidRPr="004360BF" w:rsidRDefault="000E0215" w:rsidP="00E71941">
      <w:pPr>
        <w:rPr>
          <w:lang w:val="en-AU"/>
        </w:rPr>
      </w:pPr>
      <w:r w:rsidRPr="004360BF">
        <w:rPr>
          <w:lang w:val="en-AU"/>
        </w:rPr>
        <w:t xml:space="preserve">Taking LRMC into account when setting tariffs ensures that there is not a demand or peak energy charge (designed to modify customer behaviour) that dramatically under or over signals the cost of using the network.  The economic theory </w:t>
      </w:r>
      <w:r w:rsidR="006B6ECC" w:rsidRPr="004360BF">
        <w:rPr>
          <w:lang w:val="en-AU"/>
        </w:rPr>
        <w:t>is</w:t>
      </w:r>
      <w:r w:rsidRPr="004360BF">
        <w:rPr>
          <w:lang w:val="en-AU"/>
        </w:rPr>
        <w:t xml:space="preserve"> that the price signal that modifies consumption should broadly equate to the network cost. </w:t>
      </w:r>
    </w:p>
    <w:p w14:paraId="24891F69" w14:textId="77777777" w:rsidR="00983E11" w:rsidRPr="004360BF" w:rsidRDefault="000E0215" w:rsidP="00E71941">
      <w:pPr>
        <w:pStyle w:val="Dottop"/>
        <w:rPr>
          <w:lang w:val="en-AU"/>
        </w:rPr>
      </w:pPr>
      <w:r w:rsidRPr="004360BF">
        <w:rPr>
          <w:lang w:val="en-AU"/>
        </w:rPr>
        <w:t xml:space="preserve">Power Networks’ </w:t>
      </w:r>
      <w:r w:rsidR="00FF34F3" w:rsidRPr="004360BF">
        <w:rPr>
          <w:lang w:val="en-AU"/>
        </w:rPr>
        <w:t xml:space="preserve">calculation of </w:t>
      </w:r>
      <w:r w:rsidR="00EF65D0" w:rsidRPr="004360BF">
        <w:rPr>
          <w:lang w:val="en-AU"/>
        </w:rPr>
        <w:t xml:space="preserve">the </w:t>
      </w:r>
      <w:r w:rsidR="00983E11" w:rsidRPr="004360BF">
        <w:rPr>
          <w:lang w:val="en-AU"/>
        </w:rPr>
        <w:t>LRMC</w:t>
      </w:r>
      <w:r w:rsidR="00EF65D0" w:rsidRPr="004360BF">
        <w:rPr>
          <w:lang w:val="en-AU"/>
        </w:rPr>
        <w:t xml:space="preserve"> of supply</w:t>
      </w:r>
      <w:r w:rsidR="00983E11" w:rsidRPr="004360BF">
        <w:rPr>
          <w:lang w:val="en-AU"/>
        </w:rPr>
        <w:t xml:space="preserve"> </w:t>
      </w:r>
      <w:r w:rsidR="00FF34F3" w:rsidRPr="004360BF">
        <w:rPr>
          <w:lang w:val="en-AU"/>
        </w:rPr>
        <w:t>is described in Attachment A</w:t>
      </w:r>
      <w:r w:rsidR="00BF3427" w:rsidRPr="004360BF">
        <w:rPr>
          <w:lang w:val="en-AU"/>
        </w:rPr>
        <w:t>2</w:t>
      </w:r>
      <w:r w:rsidR="00EF65D0" w:rsidRPr="004360BF">
        <w:rPr>
          <w:lang w:val="en-AU"/>
        </w:rPr>
        <w:t>.6</w:t>
      </w:r>
      <w:r w:rsidR="00FF34F3" w:rsidRPr="004360BF">
        <w:rPr>
          <w:lang w:val="en-AU"/>
        </w:rPr>
        <w:t>.</w:t>
      </w:r>
      <w:r w:rsidR="00CC6CF8" w:rsidRPr="004360BF">
        <w:rPr>
          <w:lang w:val="en-AU"/>
        </w:rPr>
        <w:t xml:space="preserve"> </w:t>
      </w:r>
      <w:r w:rsidR="00683690" w:rsidRPr="004360BF">
        <w:rPr>
          <w:lang w:val="en-AU"/>
        </w:rPr>
        <w:t>Where practicable, t</w:t>
      </w:r>
      <w:r w:rsidR="00FF34F3" w:rsidRPr="004360BF">
        <w:rPr>
          <w:lang w:val="en-AU"/>
        </w:rPr>
        <w:t xml:space="preserve">his </w:t>
      </w:r>
      <w:r w:rsidR="00C82C5B" w:rsidRPr="004360BF">
        <w:rPr>
          <w:lang w:val="en-AU"/>
        </w:rPr>
        <w:t>has been</w:t>
      </w:r>
      <w:r w:rsidR="00983E11" w:rsidRPr="004360BF">
        <w:rPr>
          <w:lang w:val="en-AU"/>
        </w:rPr>
        <w:t xml:space="preserve"> considered in relation to the </w:t>
      </w:r>
      <w:r w:rsidR="00263D11" w:rsidRPr="004360BF">
        <w:rPr>
          <w:lang w:val="en-AU"/>
        </w:rPr>
        <w:t>tariff classes</w:t>
      </w:r>
      <w:r w:rsidR="00983E11" w:rsidRPr="004360BF">
        <w:rPr>
          <w:lang w:val="en-AU"/>
        </w:rPr>
        <w:t>, tariffs and the charging parameters (individual components) of tariffs, as follows:</w:t>
      </w:r>
    </w:p>
    <w:p w14:paraId="3B86CD85" w14:textId="2793BB96" w:rsidR="00983E11" w:rsidRPr="004360BF" w:rsidRDefault="00983E11" w:rsidP="00E71941">
      <w:pPr>
        <w:pStyle w:val="Dot"/>
        <w:rPr>
          <w:lang w:val="en-AU"/>
        </w:rPr>
      </w:pPr>
      <w:r w:rsidRPr="004360BF">
        <w:rPr>
          <w:lang w:val="en-AU"/>
        </w:rPr>
        <w:t xml:space="preserve">The Commercial HV </w:t>
      </w:r>
      <w:r w:rsidR="00263D11" w:rsidRPr="004360BF">
        <w:rPr>
          <w:lang w:val="en-AU"/>
        </w:rPr>
        <w:t>tariff class</w:t>
      </w:r>
      <w:r w:rsidRPr="004360BF">
        <w:rPr>
          <w:lang w:val="en-AU"/>
        </w:rPr>
        <w:t xml:space="preserve"> comprises one network tariff – Commercial customers connected at </w:t>
      </w:r>
      <w:r w:rsidR="00E51272" w:rsidRPr="004360BF">
        <w:rPr>
          <w:lang w:val="en-AU"/>
        </w:rPr>
        <w:t>h</w:t>
      </w:r>
      <w:r w:rsidRPr="004360BF">
        <w:rPr>
          <w:lang w:val="en-AU"/>
        </w:rPr>
        <w:t xml:space="preserve">igh </w:t>
      </w:r>
      <w:r w:rsidR="00E51272" w:rsidRPr="004360BF">
        <w:rPr>
          <w:lang w:val="en-AU"/>
        </w:rPr>
        <w:t>v</w:t>
      </w:r>
      <w:r w:rsidRPr="004360BF">
        <w:rPr>
          <w:lang w:val="en-AU"/>
        </w:rPr>
        <w:t>oltage</w:t>
      </w:r>
      <w:r w:rsidR="00E51272" w:rsidRPr="004360BF">
        <w:rPr>
          <w:lang w:val="en-AU"/>
        </w:rPr>
        <w:t xml:space="preserve"> with an annual consumption more than 750</w:t>
      </w:r>
      <w:r w:rsidR="004C78C6" w:rsidRPr="004360BF">
        <w:rPr>
          <w:lang w:val="en-AU"/>
        </w:rPr>
        <w:t xml:space="preserve"> </w:t>
      </w:r>
      <w:proofErr w:type="spellStart"/>
      <w:r w:rsidR="00E51272" w:rsidRPr="004360BF">
        <w:rPr>
          <w:lang w:val="en-AU"/>
        </w:rPr>
        <w:t>MWh</w:t>
      </w:r>
      <w:proofErr w:type="spellEnd"/>
      <w:r w:rsidR="00E51272" w:rsidRPr="004360BF">
        <w:rPr>
          <w:lang w:val="en-AU"/>
        </w:rPr>
        <w:t xml:space="preserve"> per annum</w:t>
      </w:r>
      <w:r w:rsidRPr="004360BF">
        <w:rPr>
          <w:lang w:val="en-AU"/>
        </w:rPr>
        <w:t>.</w:t>
      </w:r>
      <w:r w:rsidR="00CC6CF8" w:rsidRPr="004360BF">
        <w:rPr>
          <w:lang w:val="en-AU"/>
        </w:rPr>
        <w:t xml:space="preserve"> </w:t>
      </w:r>
      <w:r w:rsidRPr="004360BF">
        <w:rPr>
          <w:lang w:val="en-AU"/>
        </w:rPr>
        <w:t xml:space="preserve">The LRMC for this </w:t>
      </w:r>
      <w:r w:rsidR="00263D11" w:rsidRPr="004360BF">
        <w:rPr>
          <w:lang w:val="en-AU"/>
        </w:rPr>
        <w:t>tariff class</w:t>
      </w:r>
      <w:r w:rsidRPr="004360BF">
        <w:rPr>
          <w:lang w:val="en-AU"/>
        </w:rPr>
        <w:t xml:space="preserve"> </w:t>
      </w:r>
      <w:r w:rsidR="00C82C5B" w:rsidRPr="004360BF">
        <w:rPr>
          <w:lang w:val="en-AU"/>
        </w:rPr>
        <w:t xml:space="preserve">is approximately </w:t>
      </w:r>
      <w:r w:rsidR="004D37BE" w:rsidRPr="004360BF">
        <w:rPr>
          <w:lang w:val="en-AU"/>
        </w:rPr>
        <w:t>65</w:t>
      </w:r>
      <w:r w:rsidR="0033288F" w:rsidRPr="004360BF">
        <w:rPr>
          <w:lang w:val="en-AU"/>
        </w:rPr>
        <w:t> per cent of</w:t>
      </w:r>
      <w:r w:rsidRPr="004360BF">
        <w:rPr>
          <w:lang w:val="en-AU"/>
        </w:rPr>
        <w:t xml:space="preserve"> the revenue derived from all charging parameters of the tariff (fixed, </w:t>
      </w:r>
      <w:r w:rsidR="00EF65D0" w:rsidRPr="004360BF">
        <w:rPr>
          <w:lang w:val="en-AU"/>
        </w:rPr>
        <w:t xml:space="preserve">peak and off peak </w:t>
      </w:r>
      <w:r w:rsidRPr="004360BF">
        <w:rPr>
          <w:lang w:val="en-AU"/>
        </w:rPr>
        <w:t xml:space="preserve">demand and </w:t>
      </w:r>
      <w:r w:rsidR="00EF65D0" w:rsidRPr="004360BF">
        <w:rPr>
          <w:lang w:val="en-AU"/>
        </w:rPr>
        <w:t xml:space="preserve">peak and off peak </w:t>
      </w:r>
      <w:r w:rsidRPr="004360BF">
        <w:rPr>
          <w:lang w:val="en-AU"/>
        </w:rPr>
        <w:t>energy)</w:t>
      </w:r>
      <w:r w:rsidR="008A11F4">
        <w:rPr>
          <w:lang w:val="en-AU"/>
        </w:rPr>
        <w:t>.  This</w:t>
      </w:r>
      <w:r w:rsidR="00CA2F02" w:rsidRPr="004360BF">
        <w:rPr>
          <w:lang w:val="en-AU"/>
        </w:rPr>
        <w:t xml:space="preserve"> </w:t>
      </w:r>
      <w:r w:rsidR="00592E20" w:rsidRPr="004360BF">
        <w:rPr>
          <w:lang w:val="en-AU"/>
        </w:rPr>
        <w:t xml:space="preserve">tariff’s </w:t>
      </w:r>
      <w:r w:rsidR="00CA2F02" w:rsidRPr="004360BF">
        <w:rPr>
          <w:lang w:val="en-AU"/>
        </w:rPr>
        <w:t>revenue</w:t>
      </w:r>
      <w:r w:rsidR="007D40E6" w:rsidRPr="004360BF">
        <w:rPr>
          <w:lang w:val="en-AU"/>
        </w:rPr>
        <w:t xml:space="preserve"> recovery through the </w:t>
      </w:r>
      <w:r w:rsidR="00EF65D0" w:rsidRPr="004360BF">
        <w:rPr>
          <w:lang w:val="en-AU"/>
        </w:rPr>
        <w:t>price signalling tariff charging parameters (</w:t>
      </w:r>
      <w:r w:rsidR="007D40E6" w:rsidRPr="004360BF">
        <w:rPr>
          <w:lang w:val="en-AU"/>
        </w:rPr>
        <w:t>peak demand and peak energy</w:t>
      </w:r>
      <w:r w:rsidR="00EF65D0" w:rsidRPr="004360BF">
        <w:rPr>
          <w:lang w:val="en-AU"/>
        </w:rPr>
        <w:t>)</w:t>
      </w:r>
      <w:r w:rsidR="007D40E6" w:rsidRPr="004360BF">
        <w:rPr>
          <w:lang w:val="en-AU"/>
        </w:rPr>
        <w:t xml:space="preserve"> is 6</w:t>
      </w:r>
      <w:r w:rsidR="004D37BE" w:rsidRPr="004360BF">
        <w:rPr>
          <w:lang w:val="en-AU"/>
        </w:rPr>
        <w:t>6</w:t>
      </w:r>
      <w:r w:rsidR="001766E3" w:rsidRPr="004360BF">
        <w:rPr>
          <w:lang w:val="en-AU"/>
        </w:rPr>
        <w:t xml:space="preserve"> </w:t>
      </w:r>
      <w:r w:rsidR="007D40E6" w:rsidRPr="004360BF">
        <w:rPr>
          <w:lang w:val="en-AU"/>
        </w:rPr>
        <w:t>per cent</w:t>
      </w:r>
      <w:r w:rsidRPr="004360BF">
        <w:rPr>
          <w:lang w:val="en-AU"/>
        </w:rPr>
        <w:t>.</w:t>
      </w:r>
      <w:r w:rsidR="00CC6CF8" w:rsidRPr="004360BF">
        <w:rPr>
          <w:lang w:val="en-AU"/>
        </w:rPr>
        <w:t xml:space="preserve"> </w:t>
      </w:r>
      <w:r w:rsidR="00DE6C76" w:rsidRPr="004360BF">
        <w:rPr>
          <w:lang w:val="en-AU"/>
        </w:rPr>
        <w:t xml:space="preserve"> T</w:t>
      </w:r>
      <w:r w:rsidRPr="004360BF">
        <w:rPr>
          <w:lang w:val="en-AU"/>
        </w:rPr>
        <w:t xml:space="preserve">here is </w:t>
      </w:r>
      <w:r w:rsidR="007D40E6" w:rsidRPr="004360BF">
        <w:rPr>
          <w:lang w:val="en-AU"/>
        </w:rPr>
        <w:t xml:space="preserve">reasonable alignment between the price signalling </w:t>
      </w:r>
      <w:r w:rsidRPr="004360BF">
        <w:rPr>
          <w:lang w:val="en-AU"/>
        </w:rPr>
        <w:t>tariff charging parameter</w:t>
      </w:r>
      <w:r w:rsidR="007D40E6" w:rsidRPr="004360BF">
        <w:rPr>
          <w:lang w:val="en-AU"/>
        </w:rPr>
        <w:t xml:space="preserve">s and </w:t>
      </w:r>
      <w:r w:rsidR="00EF65D0" w:rsidRPr="004360BF">
        <w:rPr>
          <w:lang w:val="en-AU"/>
        </w:rPr>
        <w:t xml:space="preserve">the </w:t>
      </w:r>
      <w:r w:rsidR="007D40E6" w:rsidRPr="004360BF">
        <w:rPr>
          <w:lang w:val="en-AU"/>
        </w:rPr>
        <w:t>LRMC</w:t>
      </w:r>
      <w:r w:rsidR="00EF65D0" w:rsidRPr="004360BF">
        <w:rPr>
          <w:lang w:val="en-AU"/>
        </w:rPr>
        <w:t xml:space="preserve"> of supply</w:t>
      </w:r>
      <w:r w:rsidR="007D40E6" w:rsidRPr="004360BF">
        <w:rPr>
          <w:lang w:val="en-AU"/>
        </w:rPr>
        <w:t>.</w:t>
      </w:r>
    </w:p>
    <w:p w14:paraId="3D874102" w14:textId="77777777" w:rsidR="00983E11" w:rsidRPr="004360BF" w:rsidRDefault="006B6ECC" w:rsidP="00E71941">
      <w:pPr>
        <w:ind w:left="720"/>
        <w:rPr>
          <w:lang w:val="en-AU"/>
        </w:rPr>
      </w:pPr>
      <w:r w:rsidRPr="004360BF">
        <w:rPr>
          <w:lang w:val="en-AU"/>
        </w:rPr>
        <w:t xml:space="preserve">However, </w:t>
      </w:r>
      <w:r w:rsidR="007D40E6" w:rsidRPr="004360BF">
        <w:rPr>
          <w:lang w:val="en-AU"/>
        </w:rPr>
        <w:t>Power Networks believes the current estimate of LRMC may be understated</w:t>
      </w:r>
      <w:r w:rsidRPr="004360BF">
        <w:rPr>
          <w:lang w:val="en-AU"/>
        </w:rPr>
        <w:t>, for the reasons specified in Attachment A2.6,</w:t>
      </w:r>
      <w:r w:rsidR="007D40E6" w:rsidRPr="004360BF">
        <w:rPr>
          <w:lang w:val="en-AU"/>
        </w:rPr>
        <w:t xml:space="preserve"> and </w:t>
      </w:r>
      <w:r w:rsidR="00983E11" w:rsidRPr="004360BF">
        <w:rPr>
          <w:lang w:val="en-AU"/>
        </w:rPr>
        <w:t xml:space="preserve">that greater price signalling through the demand related </w:t>
      </w:r>
      <w:r w:rsidR="00112A4E" w:rsidRPr="004360BF">
        <w:rPr>
          <w:lang w:val="en-AU"/>
        </w:rPr>
        <w:t xml:space="preserve">charging parameter </w:t>
      </w:r>
      <w:r w:rsidR="00983E11" w:rsidRPr="004360BF">
        <w:rPr>
          <w:lang w:val="en-AU"/>
        </w:rPr>
        <w:t>of the tariff would be appropriate.</w:t>
      </w:r>
      <w:r w:rsidR="00CC6CF8" w:rsidRPr="004360BF">
        <w:rPr>
          <w:lang w:val="en-AU"/>
        </w:rPr>
        <w:t xml:space="preserve"> </w:t>
      </w:r>
      <w:r w:rsidR="00983E11" w:rsidRPr="004360BF">
        <w:rPr>
          <w:lang w:val="en-AU"/>
        </w:rPr>
        <w:t>This is the direction</w:t>
      </w:r>
      <w:r w:rsidR="007D40E6" w:rsidRPr="004360BF">
        <w:rPr>
          <w:lang w:val="en-AU"/>
        </w:rPr>
        <w:t xml:space="preserve"> Power Networks</w:t>
      </w:r>
      <w:r w:rsidR="00983E11" w:rsidRPr="004360BF">
        <w:rPr>
          <w:lang w:val="en-AU"/>
        </w:rPr>
        <w:t xml:space="preserve"> proposes to pursue throughout the 2014-19 regulatory control period.</w:t>
      </w:r>
    </w:p>
    <w:p w14:paraId="08D5AD77" w14:textId="2EE434FD" w:rsidR="00983E11" w:rsidRPr="004360BF" w:rsidRDefault="00983E11" w:rsidP="00E71941">
      <w:pPr>
        <w:pStyle w:val="Dot"/>
        <w:keepNext/>
        <w:ind w:left="714" w:hanging="357"/>
        <w:rPr>
          <w:lang w:val="en-AU"/>
        </w:rPr>
      </w:pPr>
      <w:r w:rsidRPr="004360BF">
        <w:rPr>
          <w:lang w:val="en-AU"/>
        </w:rPr>
        <w:t xml:space="preserve">The LRMC for the Commercial </w:t>
      </w:r>
      <w:r w:rsidR="00263D11" w:rsidRPr="004360BF">
        <w:rPr>
          <w:lang w:val="en-AU"/>
        </w:rPr>
        <w:t xml:space="preserve">tariff </w:t>
      </w:r>
      <w:r w:rsidR="003E511F" w:rsidRPr="004360BF">
        <w:rPr>
          <w:lang w:val="en-AU"/>
        </w:rPr>
        <w:t xml:space="preserve">class </w:t>
      </w:r>
      <w:r w:rsidR="007D40E6" w:rsidRPr="004360BF">
        <w:rPr>
          <w:lang w:val="en-AU"/>
        </w:rPr>
        <w:t xml:space="preserve">is </w:t>
      </w:r>
      <w:r w:rsidR="008A11F4">
        <w:rPr>
          <w:lang w:val="en-AU"/>
        </w:rPr>
        <w:t>60</w:t>
      </w:r>
      <w:r w:rsidR="007D40E6" w:rsidRPr="004360BF">
        <w:rPr>
          <w:lang w:val="en-AU"/>
        </w:rPr>
        <w:t xml:space="preserve"> per cent of </w:t>
      </w:r>
      <w:r w:rsidRPr="004360BF">
        <w:rPr>
          <w:lang w:val="en-AU"/>
        </w:rPr>
        <w:t xml:space="preserve">the </w:t>
      </w:r>
      <w:r w:rsidR="003E4E17" w:rsidRPr="004360BF">
        <w:rPr>
          <w:lang w:val="en-AU"/>
        </w:rPr>
        <w:t xml:space="preserve">tariff class </w:t>
      </w:r>
      <w:r w:rsidRPr="004360BF">
        <w:rPr>
          <w:lang w:val="en-AU"/>
        </w:rPr>
        <w:t>revenue.</w:t>
      </w:r>
      <w:r w:rsidR="00CC6CF8" w:rsidRPr="004360BF">
        <w:rPr>
          <w:lang w:val="en-AU"/>
        </w:rPr>
        <w:t xml:space="preserve"> </w:t>
      </w:r>
      <w:r w:rsidRPr="004360BF">
        <w:rPr>
          <w:lang w:val="en-AU"/>
        </w:rPr>
        <w:t xml:space="preserve">This </w:t>
      </w:r>
      <w:r w:rsidR="00263D11" w:rsidRPr="004360BF">
        <w:rPr>
          <w:lang w:val="en-AU"/>
        </w:rPr>
        <w:t>tariff class</w:t>
      </w:r>
      <w:r w:rsidRPr="004360BF">
        <w:rPr>
          <w:lang w:val="en-AU"/>
        </w:rPr>
        <w:t xml:space="preserve"> comprises three network tariffs:</w:t>
      </w:r>
    </w:p>
    <w:p w14:paraId="086C6981" w14:textId="12BA6A1D" w:rsidR="00983E11" w:rsidRPr="004360BF" w:rsidRDefault="00983E11" w:rsidP="00EE7AA1">
      <w:pPr>
        <w:keepNext/>
        <w:numPr>
          <w:ilvl w:val="0"/>
          <w:numId w:val="4"/>
        </w:numPr>
        <w:spacing w:after="120"/>
        <w:ind w:hanging="357"/>
        <w:rPr>
          <w:lang w:val="en-AU"/>
        </w:rPr>
      </w:pPr>
      <w:r w:rsidRPr="004360BF">
        <w:rPr>
          <w:lang w:val="en-AU"/>
        </w:rPr>
        <w:t xml:space="preserve">The </w:t>
      </w:r>
      <w:r w:rsidR="00A2002B" w:rsidRPr="004360BF">
        <w:rPr>
          <w:lang w:val="en-AU"/>
        </w:rPr>
        <w:t xml:space="preserve">&gt;750 </w:t>
      </w:r>
      <w:proofErr w:type="spellStart"/>
      <w:r w:rsidR="00A2002B" w:rsidRPr="004360BF">
        <w:rPr>
          <w:lang w:val="en-AU"/>
        </w:rPr>
        <w:t>MWh</w:t>
      </w:r>
      <w:proofErr w:type="spellEnd"/>
      <w:r w:rsidR="00A2002B" w:rsidRPr="004360BF">
        <w:rPr>
          <w:lang w:val="en-AU"/>
        </w:rPr>
        <w:t xml:space="preserve"> per annum C</w:t>
      </w:r>
      <w:r w:rsidRPr="004360BF">
        <w:rPr>
          <w:lang w:val="en-AU"/>
        </w:rPr>
        <w:t xml:space="preserve">ommercial </w:t>
      </w:r>
      <w:r w:rsidR="003E4E17" w:rsidRPr="004360BF">
        <w:rPr>
          <w:lang w:val="en-AU"/>
        </w:rPr>
        <w:t xml:space="preserve">LV </w:t>
      </w:r>
      <w:r w:rsidRPr="004360BF">
        <w:rPr>
          <w:lang w:val="en-AU"/>
        </w:rPr>
        <w:t>tariff</w:t>
      </w:r>
      <w:r w:rsidR="00B83CD6" w:rsidRPr="004360BF">
        <w:rPr>
          <w:lang w:val="en-AU"/>
        </w:rPr>
        <w:t>,</w:t>
      </w:r>
      <w:r w:rsidRPr="004360BF">
        <w:rPr>
          <w:lang w:val="en-AU"/>
        </w:rPr>
        <w:t xml:space="preserve"> the same considerations in terms of future tariff rebalancing apply as to its </w:t>
      </w:r>
      <w:r w:rsidR="00A2002B" w:rsidRPr="004360BF">
        <w:rPr>
          <w:lang w:val="en-AU"/>
        </w:rPr>
        <w:t xml:space="preserve">high </w:t>
      </w:r>
      <w:r w:rsidR="00A2002B" w:rsidRPr="004360BF">
        <w:rPr>
          <w:lang w:val="en-AU"/>
        </w:rPr>
        <w:lastRenderedPageBreak/>
        <w:t xml:space="preserve">voltage </w:t>
      </w:r>
      <w:r w:rsidRPr="004360BF">
        <w:rPr>
          <w:lang w:val="en-AU"/>
        </w:rPr>
        <w:t>counterpart.</w:t>
      </w:r>
      <w:r w:rsidR="007D40E6" w:rsidRPr="004360BF">
        <w:rPr>
          <w:lang w:val="en-AU"/>
        </w:rPr>
        <w:t xml:space="preserve"> At present</w:t>
      </w:r>
      <w:r w:rsidR="00CA2F02" w:rsidRPr="004360BF">
        <w:rPr>
          <w:lang w:val="en-AU"/>
        </w:rPr>
        <w:t>,</w:t>
      </w:r>
      <w:r w:rsidR="007D40E6" w:rsidRPr="004360BF">
        <w:rPr>
          <w:lang w:val="en-AU"/>
        </w:rPr>
        <w:t xml:space="preserve"> the </w:t>
      </w:r>
      <w:r w:rsidR="003E4E17" w:rsidRPr="004360BF">
        <w:rPr>
          <w:lang w:val="en-AU"/>
        </w:rPr>
        <w:t>price signalling tariff charging parameters (</w:t>
      </w:r>
      <w:r w:rsidR="007D40E6" w:rsidRPr="004360BF">
        <w:rPr>
          <w:lang w:val="en-AU"/>
        </w:rPr>
        <w:t xml:space="preserve">peak </w:t>
      </w:r>
      <w:r w:rsidR="008640F6" w:rsidRPr="004360BF">
        <w:rPr>
          <w:lang w:val="en-AU"/>
        </w:rPr>
        <w:t>demand</w:t>
      </w:r>
      <w:r w:rsidR="007D40E6" w:rsidRPr="004360BF">
        <w:rPr>
          <w:lang w:val="en-AU"/>
        </w:rPr>
        <w:t xml:space="preserve"> and </w:t>
      </w:r>
      <w:r w:rsidR="003E4E17" w:rsidRPr="004360BF">
        <w:rPr>
          <w:lang w:val="en-AU"/>
        </w:rPr>
        <w:t xml:space="preserve">peak </w:t>
      </w:r>
      <w:r w:rsidR="007D40E6" w:rsidRPr="004360BF">
        <w:rPr>
          <w:lang w:val="en-AU"/>
        </w:rPr>
        <w:t>energy</w:t>
      </w:r>
      <w:r w:rsidR="003E4E17" w:rsidRPr="004360BF">
        <w:rPr>
          <w:lang w:val="en-AU"/>
        </w:rPr>
        <w:t>)</w:t>
      </w:r>
      <w:r w:rsidR="007D40E6" w:rsidRPr="004360BF">
        <w:rPr>
          <w:lang w:val="en-AU"/>
        </w:rPr>
        <w:t xml:space="preserve"> recover 6</w:t>
      </w:r>
      <w:r w:rsidR="004D37BE" w:rsidRPr="004360BF">
        <w:rPr>
          <w:lang w:val="en-AU"/>
        </w:rPr>
        <w:t>3</w:t>
      </w:r>
      <w:r w:rsidR="008640F6" w:rsidRPr="004360BF">
        <w:rPr>
          <w:lang w:val="en-AU"/>
        </w:rPr>
        <w:t> per cent</w:t>
      </w:r>
      <w:r w:rsidR="007D40E6" w:rsidRPr="004360BF">
        <w:rPr>
          <w:lang w:val="en-AU"/>
        </w:rPr>
        <w:t xml:space="preserve"> of </w:t>
      </w:r>
      <w:r w:rsidR="00592E20" w:rsidRPr="004360BF">
        <w:rPr>
          <w:lang w:val="en-AU"/>
        </w:rPr>
        <w:t xml:space="preserve">the tariff’s </w:t>
      </w:r>
      <w:r w:rsidR="007D40E6" w:rsidRPr="004360BF">
        <w:rPr>
          <w:lang w:val="en-AU"/>
        </w:rPr>
        <w:t>revenue</w:t>
      </w:r>
      <w:r w:rsidR="008640F6" w:rsidRPr="004360BF">
        <w:rPr>
          <w:lang w:val="en-AU"/>
        </w:rPr>
        <w:t xml:space="preserve">, which </w:t>
      </w:r>
      <w:r w:rsidR="00172870" w:rsidRPr="004360BF">
        <w:rPr>
          <w:lang w:val="en-AU"/>
        </w:rPr>
        <w:t xml:space="preserve">as with the high voltage customers </w:t>
      </w:r>
      <w:r w:rsidR="008640F6" w:rsidRPr="004360BF">
        <w:rPr>
          <w:lang w:val="en-AU"/>
        </w:rPr>
        <w:t>is a little greater than the current estimate of LRMC for the tariff class</w:t>
      </w:r>
      <w:r w:rsidR="007D40E6" w:rsidRPr="004360BF">
        <w:rPr>
          <w:lang w:val="en-AU"/>
        </w:rPr>
        <w:t>.</w:t>
      </w:r>
    </w:p>
    <w:p w14:paraId="421820FA" w14:textId="77777777" w:rsidR="00983E11" w:rsidRPr="004360BF" w:rsidRDefault="00983E11" w:rsidP="00EE7AA1">
      <w:pPr>
        <w:keepNext/>
        <w:numPr>
          <w:ilvl w:val="0"/>
          <w:numId w:val="4"/>
        </w:numPr>
        <w:spacing w:after="120"/>
        <w:rPr>
          <w:lang w:val="en-AU"/>
        </w:rPr>
      </w:pPr>
      <w:r w:rsidRPr="004360BF">
        <w:rPr>
          <w:lang w:val="en-AU"/>
        </w:rPr>
        <w:t xml:space="preserve">The </w:t>
      </w:r>
      <w:r w:rsidR="00A2002B" w:rsidRPr="004360BF">
        <w:rPr>
          <w:lang w:val="en-AU"/>
        </w:rPr>
        <w:t xml:space="preserve">current </w:t>
      </w:r>
      <w:r w:rsidRPr="004360BF">
        <w:rPr>
          <w:lang w:val="en-AU"/>
        </w:rPr>
        <w:t>Street Light</w:t>
      </w:r>
      <w:r w:rsidR="00B83CD6" w:rsidRPr="004360BF">
        <w:rPr>
          <w:lang w:val="en-AU"/>
        </w:rPr>
        <w:t xml:space="preserve"> and Traffic light tariffs </w:t>
      </w:r>
      <w:r w:rsidRPr="004360BF">
        <w:rPr>
          <w:lang w:val="en-AU"/>
        </w:rPr>
        <w:t xml:space="preserve">and other Unmetered Supplies tariff </w:t>
      </w:r>
      <w:r w:rsidR="00C558B4" w:rsidRPr="004360BF">
        <w:rPr>
          <w:lang w:val="en-AU"/>
        </w:rPr>
        <w:t>have</w:t>
      </w:r>
      <w:r w:rsidRPr="004360BF">
        <w:rPr>
          <w:lang w:val="en-AU"/>
        </w:rPr>
        <w:t xml:space="preserve"> one charging </w:t>
      </w:r>
      <w:r w:rsidR="00511086" w:rsidRPr="004360BF">
        <w:rPr>
          <w:lang w:val="en-AU"/>
        </w:rPr>
        <w:t>parameter</w:t>
      </w:r>
      <w:r w:rsidRPr="004360BF">
        <w:rPr>
          <w:lang w:val="en-AU"/>
        </w:rPr>
        <w:t xml:space="preserve"> only, a single energy rate.</w:t>
      </w:r>
      <w:r w:rsidR="00CC6CF8" w:rsidRPr="004360BF">
        <w:rPr>
          <w:lang w:val="en-AU"/>
        </w:rPr>
        <w:t xml:space="preserve"> </w:t>
      </w:r>
    </w:p>
    <w:p w14:paraId="32B5E99E" w14:textId="2FFE21BA" w:rsidR="00983E11" w:rsidRPr="004360BF" w:rsidRDefault="00983E11" w:rsidP="00EE7AA1">
      <w:pPr>
        <w:keepNext/>
        <w:numPr>
          <w:ilvl w:val="0"/>
          <w:numId w:val="4"/>
        </w:numPr>
        <w:spacing w:after="120"/>
        <w:rPr>
          <w:lang w:val="en-AU"/>
        </w:rPr>
      </w:pPr>
      <w:r w:rsidRPr="004360BF">
        <w:rPr>
          <w:lang w:val="en-AU"/>
        </w:rPr>
        <w:t xml:space="preserve">The </w:t>
      </w:r>
      <w:r w:rsidR="00B94D58" w:rsidRPr="004360BF">
        <w:rPr>
          <w:lang w:val="en-AU"/>
        </w:rPr>
        <w:t xml:space="preserve">&lt;750 </w:t>
      </w:r>
      <w:proofErr w:type="spellStart"/>
      <w:r w:rsidR="00B94D58" w:rsidRPr="004360BF">
        <w:rPr>
          <w:lang w:val="en-AU"/>
        </w:rPr>
        <w:t>MWh</w:t>
      </w:r>
      <w:proofErr w:type="spellEnd"/>
      <w:r w:rsidR="00B94D58" w:rsidRPr="004360BF">
        <w:rPr>
          <w:lang w:val="en-AU"/>
        </w:rPr>
        <w:t xml:space="preserve"> per annum </w:t>
      </w:r>
      <w:r w:rsidRPr="004360BF">
        <w:rPr>
          <w:lang w:val="en-AU"/>
        </w:rPr>
        <w:t xml:space="preserve">Commercial tariff has two charging </w:t>
      </w:r>
      <w:r w:rsidR="00511086" w:rsidRPr="004360BF">
        <w:rPr>
          <w:lang w:val="en-AU"/>
        </w:rPr>
        <w:t>parameters</w:t>
      </w:r>
      <w:r w:rsidRPr="004360BF">
        <w:rPr>
          <w:lang w:val="en-AU"/>
        </w:rPr>
        <w:t>, a fixed charge and anytime energy with a declining block structure.</w:t>
      </w:r>
      <w:r w:rsidR="00CC6CF8" w:rsidRPr="004360BF">
        <w:rPr>
          <w:lang w:val="en-AU"/>
        </w:rPr>
        <w:t xml:space="preserve"> </w:t>
      </w:r>
      <w:r w:rsidRPr="004360BF">
        <w:rPr>
          <w:lang w:val="en-AU"/>
        </w:rPr>
        <w:t>An energy charge provides a poor signal for the customer to manage demand.</w:t>
      </w:r>
      <w:r w:rsidR="00CC6CF8" w:rsidRPr="004360BF">
        <w:rPr>
          <w:lang w:val="en-AU"/>
        </w:rPr>
        <w:t xml:space="preserve"> </w:t>
      </w:r>
      <w:r w:rsidR="007453C0" w:rsidRPr="004360BF">
        <w:rPr>
          <w:lang w:val="en-AU"/>
        </w:rPr>
        <w:t>It is</w:t>
      </w:r>
      <w:r w:rsidRPr="004360BF">
        <w:rPr>
          <w:lang w:val="en-AU"/>
        </w:rPr>
        <w:t xml:space="preserve"> propose</w:t>
      </w:r>
      <w:r w:rsidR="007453C0" w:rsidRPr="004360BF">
        <w:rPr>
          <w:lang w:val="en-AU"/>
        </w:rPr>
        <w:t>d</w:t>
      </w:r>
      <w:r w:rsidRPr="004360BF">
        <w:rPr>
          <w:lang w:val="en-AU"/>
        </w:rPr>
        <w:t xml:space="preserve"> to enhance demand signalling by the progressive rebalancing of this tariff and introduction of an inclining block structure.</w:t>
      </w:r>
      <w:r w:rsidR="00CC6CF8" w:rsidRPr="004360BF">
        <w:rPr>
          <w:lang w:val="en-AU"/>
        </w:rPr>
        <w:t xml:space="preserve"> </w:t>
      </w:r>
      <w:r w:rsidR="00683690" w:rsidRPr="004360BF">
        <w:rPr>
          <w:lang w:val="en-AU"/>
        </w:rPr>
        <w:t>If the upper block of the tariff is considered to provide a consumption-related pricing signal</w:t>
      </w:r>
      <w:r w:rsidR="00592E20" w:rsidRPr="004360BF">
        <w:rPr>
          <w:lang w:val="en-AU"/>
        </w:rPr>
        <w:t>,</w:t>
      </w:r>
      <w:r w:rsidR="00683690" w:rsidRPr="004360BF">
        <w:rPr>
          <w:lang w:val="en-AU"/>
        </w:rPr>
        <w:t xml:space="preserve"> this comprises </w:t>
      </w:r>
      <w:r w:rsidR="0072554D" w:rsidRPr="004360BF">
        <w:rPr>
          <w:lang w:val="en-AU"/>
        </w:rPr>
        <w:t>6</w:t>
      </w:r>
      <w:r w:rsidR="0072554D">
        <w:rPr>
          <w:lang w:val="en-AU"/>
        </w:rPr>
        <w:t>2</w:t>
      </w:r>
      <w:r w:rsidR="0072554D" w:rsidRPr="004360BF">
        <w:rPr>
          <w:lang w:val="en-AU"/>
        </w:rPr>
        <w:t> </w:t>
      </w:r>
      <w:r w:rsidR="008640F6" w:rsidRPr="004360BF">
        <w:rPr>
          <w:lang w:val="en-AU"/>
        </w:rPr>
        <w:t>per cent</w:t>
      </w:r>
      <w:r w:rsidR="00683690" w:rsidRPr="004360BF">
        <w:rPr>
          <w:lang w:val="en-AU"/>
        </w:rPr>
        <w:t xml:space="preserve"> of </w:t>
      </w:r>
      <w:r w:rsidR="00592E20" w:rsidRPr="004360BF">
        <w:rPr>
          <w:lang w:val="en-AU"/>
        </w:rPr>
        <w:t>the tariff’s revenue</w:t>
      </w:r>
      <w:r w:rsidR="00683690" w:rsidRPr="004360BF">
        <w:rPr>
          <w:lang w:val="en-AU"/>
        </w:rPr>
        <w:t xml:space="preserve">, which is </w:t>
      </w:r>
      <w:r w:rsidR="004D37BE" w:rsidRPr="004360BF">
        <w:rPr>
          <w:lang w:val="en-AU"/>
        </w:rPr>
        <w:t>lower</w:t>
      </w:r>
      <w:r w:rsidR="00683690" w:rsidRPr="004360BF">
        <w:rPr>
          <w:lang w:val="en-AU"/>
        </w:rPr>
        <w:t xml:space="preserve"> than the current estimate of LRMC.</w:t>
      </w:r>
      <w:r w:rsidR="00CC6CF8" w:rsidRPr="004360BF">
        <w:rPr>
          <w:lang w:val="en-AU"/>
        </w:rPr>
        <w:t xml:space="preserve"> </w:t>
      </w:r>
    </w:p>
    <w:p w14:paraId="07D0213A" w14:textId="62CDF18D" w:rsidR="00983E11" w:rsidRPr="004360BF" w:rsidRDefault="00983E11" w:rsidP="006B6ECC">
      <w:pPr>
        <w:keepNext/>
        <w:spacing w:after="120"/>
        <w:ind w:left="1440"/>
        <w:rPr>
          <w:lang w:val="en-AU"/>
        </w:rPr>
      </w:pPr>
      <w:r w:rsidRPr="004360BF">
        <w:rPr>
          <w:lang w:val="en-AU"/>
        </w:rPr>
        <w:t xml:space="preserve">In addition, as noted in section </w:t>
      </w:r>
      <w:r w:rsidR="00D61985" w:rsidRPr="004360BF">
        <w:rPr>
          <w:lang w:val="en-AU"/>
        </w:rPr>
        <w:t>9.3.2</w:t>
      </w:r>
      <w:r w:rsidRPr="004360BF">
        <w:rPr>
          <w:lang w:val="en-AU"/>
        </w:rPr>
        <w:t xml:space="preserve">, there is a large proportion of these customers with very low consumption that make an inadequate contribution to network revenue and it is also proposed to increase the fixed </w:t>
      </w:r>
      <w:r w:rsidR="00511086" w:rsidRPr="004360BF">
        <w:rPr>
          <w:lang w:val="en-AU"/>
        </w:rPr>
        <w:t>charging parameter</w:t>
      </w:r>
      <w:r w:rsidRPr="004360BF">
        <w:rPr>
          <w:lang w:val="en-AU"/>
        </w:rPr>
        <w:t xml:space="preserve"> of this tariff</w:t>
      </w:r>
      <w:r w:rsidR="00683690" w:rsidRPr="004360BF">
        <w:rPr>
          <w:lang w:val="en-AU"/>
        </w:rPr>
        <w:t>, which would improve alignment with the LRMC</w:t>
      </w:r>
      <w:r w:rsidRPr="004360BF">
        <w:rPr>
          <w:lang w:val="en-AU"/>
        </w:rPr>
        <w:t>.</w:t>
      </w:r>
    </w:p>
    <w:p w14:paraId="569764D8" w14:textId="03D19DF0" w:rsidR="00983E11" w:rsidRPr="004360BF" w:rsidRDefault="00983E11" w:rsidP="00E71941">
      <w:pPr>
        <w:pStyle w:val="Dotbot"/>
        <w:rPr>
          <w:lang w:val="en-AU"/>
        </w:rPr>
      </w:pPr>
      <w:r w:rsidRPr="004360BF">
        <w:rPr>
          <w:lang w:val="en-AU"/>
        </w:rPr>
        <w:t xml:space="preserve">The </w:t>
      </w:r>
      <w:r w:rsidRPr="004360BF">
        <w:rPr>
          <w:i/>
          <w:lang w:val="en-AU"/>
        </w:rPr>
        <w:t xml:space="preserve">Domestic </w:t>
      </w:r>
      <w:r w:rsidR="00263D11" w:rsidRPr="004360BF">
        <w:rPr>
          <w:lang w:val="en-AU"/>
        </w:rPr>
        <w:t>tariff class</w:t>
      </w:r>
      <w:r w:rsidRPr="004360BF">
        <w:rPr>
          <w:lang w:val="en-AU"/>
        </w:rPr>
        <w:t xml:space="preserve"> contains one tariff – Domestic.</w:t>
      </w:r>
      <w:r w:rsidR="00CC6CF8" w:rsidRPr="004360BF">
        <w:rPr>
          <w:lang w:val="en-AU"/>
        </w:rPr>
        <w:t xml:space="preserve"> </w:t>
      </w:r>
      <w:r w:rsidRPr="004360BF">
        <w:rPr>
          <w:lang w:val="en-AU"/>
        </w:rPr>
        <w:t>As with the commercial tariff for customers</w:t>
      </w:r>
      <w:r w:rsidR="00B94D58" w:rsidRPr="004360BF">
        <w:rPr>
          <w:lang w:val="en-AU"/>
        </w:rPr>
        <w:t xml:space="preserve"> with an annual consumption of less </w:t>
      </w:r>
      <w:r w:rsidR="00CA2F02" w:rsidRPr="004360BF">
        <w:rPr>
          <w:lang w:val="en-AU"/>
        </w:rPr>
        <w:t>than</w:t>
      </w:r>
      <w:r w:rsidR="00B94D58" w:rsidRPr="004360BF">
        <w:rPr>
          <w:lang w:val="en-AU"/>
        </w:rPr>
        <w:t xml:space="preserve"> 750</w:t>
      </w:r>
      <w:r w:rsidR="004C78C6" w:rsidRPr="004360BF">
        <w:rPr>
          <w:lang w:val="en-AU"/>
        </w:rPr>
        <w:t> </w:t>
      </w:r>
      <w:proofErr w:type="spellStart"/>
      <w:r w:rsidR="00B94D58" w:rsidRPr="004360BF">
        <w:rPr>
          <w:lang w:val="en-AU"/>
        </w:rPr>
        <w:t>MWh</w:t>
      </w:r>
      <w:proofErr w:type="spellEnd"/>
      <w:r w:rsidR="00B94D58" w:rsidRPr="004360BF">
        <w:rPr>
          <w:lang w:val="en-AU"/>
        </w:rPr>
        <w:t xml:space="preserve"> per annum</w:t>
      </w:r>
      <w:r w:rsidRPr="004360BF">
        <w:rPr>
          <w:lang w:val="en-AU"/>
        </w:rPr>
        <w:t xml:space="preserve">, this has two charging </w:t>
      </w:r>
      <w:r w:rsidR="00511086" w:rsidRPr="004360BF">
        <w:rPr>
          <w:lang w:val="en-AU"/>
        </w:rPr>
        <w:t>parameters</w:t>
      </w:r>
      <w:r w:rsidRPr="004360BF">
        <w:rPr>
          <w:lang w:val="en-AU"/>
        </w:rPr>
        <w:t>, a fixed charge and declining block energy charge.</w:t>
      </w:r>
      <w:r w:rsidR="00CC6CF8" w:rsidRPr="004360BF">
        <w:rPr>
          <w:lang w:val="en-AU"/>
        </w:rPr>
        <w:t xml:space="preserve"> </w:t>
      </w:r>
      <w:r w:rsidRPr="004360BF">
        <w:rPr>
          <w:lang w:val="en-AU"/>
        </w:rPr>
        <w:t>Again, the energy charge provides poor demand signalling and it is proposed that this tariff will also progressively be rebalanced and an inclining block structure introduced.</w:t>
      </w:r>
      <w:r w:rsidR="00CC6CF8" w:rsidRPr="004360BF">
        <w:rPr>
          <w:lang w:val="en-AU"/>
        </w:rPr>
        <w:t xml:space="preserve"> </w:t>
      </w:r>
      <w:r w:rsidR="00683690" w:rsidRPr="004360BF">
        <w:rPr>
          <w:lang w:val="en-AU"/>
        </w:rPr>
        <w:t xml:space="preserve">If the upper block of the tariff is considered to provide </w:t>
      </w:r>
      <w:proofErr w:type="gramStart"/>
      <w:r w:rsidR="00683690" w:rsidRPr="004360BF">
        <w:rPr>
          <w:lang w:val="en-AU"/>
        </w:rPr>
        <w:t>a consumption</w:t>
      </w:r>
      <w:proofErr w:type="gramEnd"/>
      <w:r w:rsidR="00683690" w:rsidRPr="004360BF">
        <w:rPr>
          <w:lang w:val="en-AU"/>
        </w:rPr>
        <w:t xml:space="preserve"> related pricing signal</w:t>
      </w:r>
      <w:r w:rsidR="00592E20" w:rsidRPr="004360BF">
        <w:rPr>
          <w:lang w:val="en-AU"/>
        </w:rPr>
        <w:t>,</w:t>
      </w:r>
      <w:r w:rsidR="00683690" w:rsidRPr="004360BF">
        <w:rPr>
          <w:lang w:val="en-AU"/>
        </w:rPr>
        <w:t xml:space="preserve"> this comprises 14</w:t>
      </w:r>
      <w:r w:rsidR="008640F6" w:rsidRPr="004360BF">
        <w:rPr>
          <w:lang w:val="en-AU"/>
        </w:rPr>
        <w:t> per cent</w:t>
      </w:r>
      <w:r w:rsidR="00683690" w:rsidRPr="004360BF">
        <w:rPr>
          <w:lang w:val="en-AU"/>
        </w:rPr>
        <w:t xml:space="preserve"> </w:t>
      </w:r>
      <w:r w:rsidR="00592E20" w:rsidRPr="004360BF">
        <w:rPr>
          <w:lang w:val="en-AU"/>
        </w:rPr>
        <w:t>of the tariff’s revenue</w:t>
      </w:r>
      <w:r w:rsidR="00683690" w:rsidRPr="004360BF">
        <w:rPr>
          <w:lang w:val="en-AU"/>
        </w:rPr>
        <w:t>, lower than the LRMC</w:t>
      </w:r>
      <w:r w:rsidR="004D37BE" w:rsidRPr="004360BF">
        <w:rPr>
          <w:lang w:val="en-AU"/>
        </w:rPr>
        <w:t xml:space="preserve"> of </w:t>
      </w:r>
      <w:r w:rsidR="008A11F4">
        <w:rPr>
          <w:lang w:val="en-AU"/>
        </w:rPr>
        <w:t>40</w:t>
      </w:r>
      <w:r w:rsidR="004D37BE" w:rsidRPr="004360BF">
        <w:rPr>
          <w:lang w:val="en-AU"/>
        </w:rPr>
        <w:t>%</w:t>
      </w:r>
      <w:r w:rsidR="00683690" w:rsidRPr="004360BF">
        <w:rPr>
          <w:lang w:val="en-AU"/>
        </w:rPr>
        <w:t>.</w:t>
      </w:r>
    </w:p>
    <w:p w14:paraId="090483D8" w14:textId="77777777" w:rsidR="00983E11" w:rsidRPr="004360BF" w:rsidRDefault="00983E11" w:rsidP="00E71941">
      <w:pPr>
        <w:rPr>
          <w:lang w:val="en-AU"/>
        </w:rPr>
      </w:pPr>
      <w:r w:rsidRPr="004360BF">
        <w:rPr>
          <w:lang w:val="en-AU"/>
        </w:rPr>
        <w:t xml:space="preserve">Power Networks has therefore considers </w:t>
      </w:r>
      <w:r w:rsidR="00C82C5B" w:rsidRPr="004360BF">
        <w:rPr>
          <w:lang w:val="en-AU"/>
        </w:rPr>
        <w:t xml:space="preserve">that </w:t>
      </w:r>
      <w:r w:rsidRPr="004360BF">
        <w:rPr>
          <w:lang w:val="en-AU"/>
        </w:rPr>
        <w:t xml:space="preserve">the requirement </w:t>
      </w:r>
      <w:r w:rsidR="007D40E6" w:rsidRPr="004360BF">
        <w:rPr>
          <w:lang w:val="en-AU"/>
        </w:rPr>
        <w:t xml:space="preserve">to take into account LRMC </w:t>
      </w:r>
      <w:r w:rsidRPr="004360BF">
        <w:rPr>
          <w:lang w:val="en-AU"/>
        </w:rPr>
        <w:t xml:space="preserve">for </w:t>
      </w:r>
      <w:r w:rsidR="007D40E6" w:rsidRPr="004360BF">
        <w:rPr>
          <w:lang w:val="en-AU"/>
        </w:rPr>
        <w:t>has</w:t>
      </w:r>
      <w:r w:rsidRPr="004360BF">
        <w:rPr>
          <w:lang w:val="en-AU"/>
        </w:rPr>
        <w:t xml:space="preserve"> been met</w:t>
      </w:r>
      <w:r w:rsidR="007D40E6" w:rsidRPr="004360BF">
        <w:rPr>
          <w:lang w:val="en-AU"/>
        </w:rPr>
        <w:t xml:space="preserve"> to the extent that is practicable</w:t>
      </w:r>
      <w:r w:rsidRPr="004360BF">
        <w:rPr>
          <w:lang w:val="en-AU"/>
        </w:rPr>
        <w:t xml:space="preserve">. </w:t>
      </w:r>
    </w:p>
    <w:p w14:paraId="0D42B2FD" w14:textId="77777777" w:rsidR="00D720CA" w:rsidRPr="004360BF" w:rsidRDefault="000C1C90" w:rsidP="00EE7AA1">
      <w:pPr>
        <w:pStyle w:val="Heading3"/>
      </w:pPr>
      <w:bookmarkStart w:id="452" w:name="_Toc417291780"/>
      <w:bookmarkStart w:id="453" w:name="_Toc417292548"/>
      <w:bookmarkStart w:id="454" w:name="_Toc291262268"/>
      <w:r w:rsidRPr="004360BF">
        <w:t>Stand alone and avoidable costs</w:t>
      </w:r>
      <w:bookmarkEnd w:id="452"/>
      <w:bookmarkEnd w:id="453"/>
      <w:bookmarkEnd w:id="454"/>
    </w:p>
    <w:p w14:paraId="52D94C41" w14:textId="7980BC81" w:rsidR="00D720CA" w:rsidRPr="004360BF" w:rsidRDefault="00D720CA" w:rsidP="00E71941">
      <w:pPr>
        <w:keepNext/>
        <w:rPr>
          <w:lang w:val="en-AU"/>
        </w:rPr>
      </w:pPr>
      <w:r w:rsidRPr="004360BF">
        <w:rPr>
          <w:lang w:val="en-AU"/>
        </w:rPr>
        <w:t>Th</w:t>
      </w:r>
      <w:r w:rsidR="000C1C90" w:rsidRPr="004360BF">
        <w:rPr>
          <w:lang w:val="en-AU"/>
        </w:rPr>
        <w:t xml:space="preserve">e stand-alone and avoidable costs </w:t>
      </w:r>
      <w:r w:rsidR="00C82C5B" w:rsidRPr="004360BF">
        <w:rPr>
          <w:lang w:val="en-AU"/>
        </w:rPr>
        <w:t xml:space="preserve">for Power Networks’ tariff classes </w:t>
      </w:r>
      <w:r w:rsidR="000C1C90" w:rsidRPr="004360BF">
        <w:rPr>
          <w:lang w:val="en-AU"/>
        </w:rPr>
        <w:t xml:space="preserve">are </w:t>
      </w:r>
      <w:r w:rsidRPr="004360BF">
        <w:rPr>
          <w:lang w:val="en-AU"/>
        </w:rPr>
        <w:t>compared with the tariff revenue for 201</w:t>
      </w:r>
      <w:r w:rsidR="00195256" w:rsidRPr="004360BF">
        <w:rPr>
          <w:lang w:val="en-AU"/>
        </w:rPr>
        <w:t>5</w:t>
      </w:r>
      <w:r w:rsidRPr="004360BF">
        <w:rPr>
          <w:lang w:val="en-AU"/>
        </w:rPr>
        <w:t>/1</w:t>
      </w:r>
      <w:r w:rsidR="00195256" w:rsidRPr="004360BF">
        <w:rPr>
          <w:lang w:val="en-AU"/>
        </w:rPr>
        <w:t>6</w:t>
      </w:r>
      <w:r w:rsidR="00C82C5B" w:rsidRPr="004360BF">
        <w:rPr>
          <w:lang w:val="en-AU"/>
        </w:rPr>
        <w:t>,</w:t>
      </w:r>
      <w:r w:rsidRPr="004360BF">
        <w:rPr>
          <w:lang w:val="en-AU"/>
        </w:rPr>
        <w:t xml:space="preserve"> in </w:t>
      </w:r>
      <w:r w:rsidR="0036456E" w:rsidRPr="004360BF">
        <w:rPr>
          <w:lang w:val="en-AU"/>
        </w:rPr>
        <w:fldChar w:fldCharType="begin"/>
      </w:r>
      <w:r w:rsidR="0036456E" w:rsidRPr="004360BF">
        <w:rPr>
          <w:lang w:val="en-AU"/>
        </w:rPr>
        <w:instrText xml:space="preserve"> REF _Ref258679847 \h </w:instrText>
      </w:r>
      <w:r w:rsidR="0036456E" w:rsidRPr="004360BF">
        <w:rPr>
          <w:lang w:val="en-AU"/>
        </w:rPr>
      </w:r>
      <w:r w:rsidR="0036456E" w:rsidRPr="004360BF">
        <w:rPr>
          <w:lang w:val="en-AU"/>
        </w:rPr>
        <w:fldChar w:fldCharType="separate"/>
      </w:r>
      <w:r w:rsidR="008D3215" w:rsidRPr="004360BF">
        <w:rPr>
          <w:lang w:val="en-AU"/>
        </w:rPr>
        <w:t xml:space="preserve">Table </w:t>
      </w:r>
      <w:r w:rsidR="008D3215">
        <w:rPr>
          <w:noProof/>
          <w:lang w:val="en-AU"/>
        </w:rPr>
        <w:t>19</w:t>
      </w:r>
      <w:r w:rsidR="0036456E" w:rsidRPr="004360BF">
        <w:rPr>
          <w:lang w:val="en-AU"/>
        </w:rPr>
        <w:fldChar w:fldCharType="end"/>
      </w:r>
      <w:r w:rsidRPr="004360BF">
        <w:rPr>
          <w:lang w:val="en-AU"/>
        </w:rPr>
        <w:t>.</w:t>
      </w:r>
    </w:p>
    <w:p w14:paraId="754F4A3A" w14:textId="77777777" w:rsidR="00D720CA" w:rsidRPr="004360BF" w:rsidRDefault="00D720CA" w:rsidP="00D720CA">
      <w:pPr>
        <w:pStyle w:val="Caption"/>
        <w:rPr>
          <w:lang w:val="en-AU"/>
        </w:rPr>
      </w:pPr>
      <w:bookmarkStart w:id="455" w:name="_Ref258679847"/>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19</w:t>
      </w:r>
      <w:r w:rsidR="00517DD9" w:rsidRPr="004360BF">
        <w:rPr>
          <w:lang w:val="en-AU"/>
        </w:rPr>
        <w:fldChar w:fldCharType="end"/>
      </w:r>
      <w:bookmarkEnd w:id="455"/>
      <w:r w:rsidRPr="004360BF">
        <w:rPr>
          <w:lang w:val="en-AU"/>
        </w:rPr>
        <w:t xml:space="preserve"> – Stand-alone and avoidable costs of supply, $’000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126"/>
        <w:gridCol w:w="1843"/>
        <w:gridCol w:w="1418"/>
        <w:gridCol w:w="1337"/>
      </w:tblGrid>
      <w:tr w:rsidR="00D720CA" w:rsidRPr="004360BF" w14:paraId="07C0703B" w14:textId="77777777" w:rsidTr="00EF43A2">
        <w:tc>
          <w:tcPr>
            <w:tcW w:w="2518" w:type="dxa"/>
            <w:tcBorders>
              <w:top w:val="nil"/>
              <w:left w:val="nil"/>
              <w:bottom w:val="nil"/>
            </w:tcBorders>
            <w:shd w:val="clear" w:color="auto" w:fill="auto"/>
          </w:tcPr>
          <w:p w14:paraId="7DDF937E" w14:textId="77777777" w:rsidR="00D720CA" w:rsidRPr="004360BF" w:rsidRDefault="00D720CA" w:rsidP="00420E86">
            <w:pPr>
              <w:keepNext/>
              <w:spacing w:before="40" w:after="40"/>
              <w:rPr>
                <w:sz w:val="22"/>
                <w:szCs w:val="22"/>
                <w:highlight w:val="yellow"/>
                <w:lang w:val="en-AU"/>
              </w:rPr>
            </w:pPr>
          </w:p>
        </w:tc>
        <w:tc>
          <w:tcPr>
            <w:tcW w:w="5387" w:type="dxa"/>
            <w:gridSpan w:val="3"/>
            <w:shd w:val="solid" w:color="C6D9F1" w:fill="auto"/>
          </w:tcPr>
          <w:p w14:paraId="052A55DE" w14:textId="77777777" w:rsidR="00D720CA" w:rsidRPr="004360BF" w:rsidRDefault="00D720CA" w:rsidP="00420E86">
            <w:pPr>
              <w:spacing w:before="40" w:after="40"/>
              <w:jc w:val="center"/>
              <w:rPr>
                <w:b/>
                <w:sz w:val="22"/>
                <w:szCs w:val="22"/>
                <w:lang w:val="en-AU"/>
              </w:rPr>
            </w:pPr>
            <w:r w:rsidRPr="004360BF">
              <w:rPr>
                <w:b/>
                <w:sz w:val="22"/>
                <w:szCs w:val="22"/>
                <w:lang w:val="en-AU"/>
              </w:rPr>
              <w:t>Tariff class</w:t>
            </w:r>
          </w:p>
        </w:tc>
        <w:tc>
          <w:tcPr>
            <w:tcW w:w="1337" w:type="dxa"/>
            <w:tcBorders>
              <w:bottom w:val="nil"/>
            </w:tcBorders>
            <w:shd w:val="solid" w:color="C6D9F1" w:fill="auto"/>
          </w:tcPr>
          <w:p w14:paraId="442CDA53" w14:textId="77777777" w:rsidR="00D720CA" w:rsidRPr="004360BF" w:rsidRDefault="00D720CA" w:rsidP="00420E86">
            <w:pPr>
              <w:spacing w:before="40" w:after="40"/>
              <w:jc w:val="center"/>
              <w:rPr>
                <w:b/>
                <w:sz w:val="22"/>
                <w:szCs w:val="22"/>
                <w:lang w:val="en-AU"/>
              </w:rPr>
            </w:pPr>
            <w:r w:rsidRPr="004360BF">
              <w:rPr>
                <w:b/>
                <w:sz w:val="22"/>
                <w:szCs w:val="22"/>
                <w:lang w:val="en-AU"/>
              </w:rPr>
              <w:t>Total</w:t>
            </w:r>
          </w:p>
        </w:tc>
      </w:tr>
      <w:tr w:rsidR="00D720CA" w:rsidRPr="004360BF" w14:paraId="299F6B8B" w14:textId="77777777" w:rsidTr="00EF43A2">
        <w:tc>
          <w:tcPr>
            <w:tcW w:w="2518" w:type="dxa"/>
            <w:tcBorders>
              <w:top w:val="nil"/>
              <w:left w:val="nil"/>
            </w:tcBorders>
            <w:shd w:val="clear" w:color="auto" w:fill="auto"/>
          </w:tcPr>
          <w:p w14:paraId="7C9E453F" w14:textId="77777777" w:rsidR="00D720CA" w:rsidRPr="004360BF" w:rsidRDefault="00D720CA" w:rsidP="00420E86">
            <w:pPr>
              <w:keepNext/>
              <w:spacing w:before="40" w:after="40"/>
              <w:rPr>
                <w:sz w:val="22"/>
                <w:szCs w:val="22"/>
                <w:highlight w:val="yellow"/>
                <w:lang w:val="en-AU"/>
              </w:rPr>
            </w:pPr>
          </w:p>
        </w:tc>
        <w:tc>
          <w:tcPr>
            <w:tcW w:w="2126" w:type="dxa"/>
            <w:shd w:val="solid" w:color="C6D9F1" w:fill="auto"/>
          </w:tcPr>
          <w:p w14:paraId="5ED37C78" w14:textId="77777777" w:rsidR="00D720CA" w:rsidRPr="004360BF" w:rsidRDefault="00D720CA" w:rsidP="00420E86">
            <w:pPr>
              <w:spacing w:before="40" w:after="40"/>
              <w:jc w:val="center"/>
              <w:rPr>
                <w:b/>
                <w:sz w:val="22"/>
                <w:szCs w:val="22"/>
                <w:lang w:val="en-AU"/>
              </w:rPr>
            </w:pPr>
            <w:r w:rsidRPr="004360BF">
              <w:rPr>
                <w:b/>
                <w:sz w:val="22"/>
                <w:szCs w:val="22"/>
                <w:lang w:val="en-AU"/>
              </w:rPr>
              <w:t>Commercial</w:t>
            </w:r>
            <w:r w:rsidR="00B54532" w:rsidRPr="004360BF">
              <w:rPr>
                <w:b/>
                <w:sz w:val="22"/>
                <w:szCs w:val="22"/>
                <w:lang w:val="en-AU"/>
              </w:rPr>
              <w:t xml:space="preserve"> HV</w:t>
            </w:r>
          </w:p>
        </w:tc>
        <w:tc>
          <w:tcPr>
            <w:tcW w:w="1843" w:type="dxa"/>
            <w:shd w:val="solid" w:color="C6D9F1" w:fill="auto"/>
          </w:tcPr>
          <w:p w14:paraId="725AE7B9" w14:textId="77777777" w:rsidR="00D720CA" w:rsidRPr="004360BF" w:rsidRDefault="00D720CA" w:rsidP="00420E86">
            <w:pPr>
              <w:spacing w:before="40" w:after="40"/>
              <w:jc w:val="center"/>
              <w:rPr>
                <w:b/>
                <w:sz w:val="22"/>
                <w:szCs w:val="22"/>
                <w:lang w:val="en-AU"/>
              </w:rPr>
            </w:pPr>
            <w:r w:rsidRPr="004360BF">
              <w:rPr>
                <w:b/>
                <w:sz w:val="22"/>
                <w:szCs w:val="22"/>
                <w:lang w:val="en-AU"/>
              </w:rPr>
              <w:t>Commercial</w:t>
            </w:r>
          </w:p>
        </w:tc>
        <w:tc>
          <w:tcPr>
            <w:tcW w:w="1418" w:type="dxa"/>
            <w:shd w:val="solid" w:color="C6D9F1" w:fill="auto"/>
          </w:tcPr>
          <w:p w14:paraId="2478A622" w14:textId="77777777" w:rsidR="00D720CA" w:rsidRPr="004360BF" w:rsidRDefault="00D720CA" w:rsidP="00420E86">
            <w:pPr>
              <w:spacing w:before="40" w:after="40"/>
              <w:jc w:val="center"/>
              <w:rPr>
                <w:b/>
                <w:sz w:val="22"/>
                <w:szCs w:val="22"/>
                <w:lang w:val="en-AU"/>
              </w:rPr>
            </w:pPr>
            <w:r w:rsidRPr="004360BF">
              <w:rPr>
                <w:b/>
                <w:sz w:val="22"/>
                <w:szCs w:val="22"/>
                <w:lang w:val="en-AU"/>
              </w:rPr>
              <w:t>Domestic</w:t>
            </w:r>
          </w:p>
        </w:tc>
        <w:tc>
          <w:tcPr>
            <w:tcW w:w="1337" w:type="dxa"/>
            <w:tcBorders>
              <w:top w:val="nil"/>
            </w:tcBorders>
            <w:shd w:val="solid" w:color="C6D9F1" w:fill="auto"/>
          </w:tcPr>
          <w:p w14:paraId="438A3EFE" w14:textId="77777777" w:rsidR="00D720CA" w:rsidRPr="004360BF" w:rsidRDefault="00D720CA" w:rsidP="00420E86">
            <w:pPr>
              <w:spacing w:before="40" w:after="40"/>
              <w:jc w:val="center"/>
              <w:rPr>
                <w:b/>
                <w:sz w:val="22"/>
                <w:szCs w:val="22"/>
                <w:lang w:val="en-AU"/>
              </w:rPr>
            </w:pPr>
          </w:p>
        </w:tc>
      </w:tr>
      <w:tr w:rsidR="008A11F4" w:rsidRPr="004360BF" w14:paraId="4E9BC1BB" w14:textId="77777777" w:rsidTr="00EF43A2">
        <w:tc>
          <w:tcPr>
            <w:tcW w:w="2518" w:type="dxa"/>
            <w:shd w:val="clear" w:color="auto" w:fill="auto"/>
          </w:tcPr>
          <w:p w14:paraId="63ED8218" w14:textId="77777777" w:rsidR="008A11F4" w:rsidRPr="004360BF" w:rsidRDefault="008A11F4" w:rsidP="00420E86">
            <w:pPr>
              <w:keepNext/>
              <w:spacing w:before="40" w:after="40"/>
              <w:rPr>
                <w:sz w:val="22"/>
                <w:szCs w:val="22"/>
                <w:lang w:val="en-AU"/>
              </w:rPr>
            </w:pPr>
            <w:r w:rsidRPr="004360BF">
              <w:rPr>
                <w:sz w:val="22"/>
                <w:szCs w:val="22"/>
                <w:lang w:val="en-AU"/>
              </w:rPr>
              <w:t>Stand-alone cost</w:t>
            </w:r>
          </w:p>
        </w:tc>
        <w:tc>
          <w:tcPr>
            <w:tcW w:w="2126" w:type="dxa"/>
            <w:shd w:val="clear" w:color="auto" w:fill="auto"/>
          </w:tcPr>
          <w:p w14:paraId="29A4C151" w14:textId="69902402" w:rsidR="008A11F4" w:rsidRPr="008A11F4" w:rsidRDefault="008A11F4" w:rsidP="00420E86">
            <w:pPr>
              <w:spacing w:before="40" w:after="40"/>
              <w:jc w:val="center"/>
              <w:rPr>
                <w:rFonts w:cs="Tahoma"/>
                <w:sz w:val="22"/>
                <w:szCs w:val="22"/>
                <w:lang w:val="en-AU"/>
              </w:rPr>
            </w:pPr>
            <w:r w:rsidRPr="00EF43A2">
              <w:rPr>
                <w:sz w:val="22"/>
                <w:szCs w:val="22"/>
              </w:rPr>
              <w:t>$66,082</w:t>
            </w:r>
          </w:p>
        </w:tc>
        <w:tc>
          <w:tcPr>
            <w:tcW w:w="1843" w:type="dxa"/>
            <w:shd w:val="clear" w:color="auto" w:fill="auto"/>
          </w:tcPr>
          <w:p w14:paraId="3098F7CD" w14:textId="7F714704" w:rsidR="008A11F4" w:rsidRPr="008A11F4" w:rsidRDefault="008A11F4" w:rsidP="00420E86">
            <w:pPr>
              <w:spacing w:before="40" w:after="40"/>
              <w:jc w:val="center"/>
              <w:rPr>
                <w:rFonts w:cs="Tahoma"/>
                <w:sz w:val="22"/>
                <w:szCs w:val="22"/>
                <w:lang w:val="en-AU"/>
              </w:rPr>
            </w:pPr>
            <w:r w:rsidRPr="00EF43A2">
              <w:rPr>
                <w:sz w:val="22"/>
                <w:szCs w:val="22"/>
              </w:rPr>
              <w:t>$168,544</w:t>
            </w:r>
          </w:p>
        </w:tc>
        <w:tc>
          <w:tcPr>
            <w:tcW w:w="1418" w:type="dxa"/>
            <w:shd w:val="clear" w:color="auto" w:fill="auto"/>
          </w:tcPr>
          <w:p w14:paraId="77672FDD" w14:textId="54594322" w:rsidR="008A11F4" w:rsidRPr="008A11F4" w:rsidRDefault="008A11F4" w:rsidP="00420E86">
            <w:pPr>
              <w:spacing w:before="40" w:after="40"/>
              <w:jc w:val="center"/>
              <w:rPr>
                <w:rFonts w:cs="Tahoma"/>
                <w:sz w:val="22"/>
                <w:szCs w:val="22"/>
                <w:lang w:val="en-AU"/>
              </w:rPr>
            </w:pPr>
            <w:r w:rsidRPr="00EF43A2">
              <w:rPr>
                <w:sz w:val="22"/>
                <w:szCs w:val="22"/>
              </w:rPr>
              <w:t>$190,600</w:t>
            </w:r>
          </w:p>
        </w:tc>
        <w:tc>
          <w:tcPr>
            <w:tcW w:w="1337" w:type="dxa"/>
            <w:shd w:val="clear" w:color="auto" w:fill="auto"/>
          </w:tcPr>
          <w:p w14:paraId="4CA41A8F" w14:textId="76729D63" w:rsidR="008A11F4" w:rsidRPr="008A11F4" w:rsidRDefault="008A11F4" w:rsidP="00420E86">
            <w:pPr>
              <w:spacing w:before="40" w:after="40"/>
              <w:jc w:val="center"/>
              <w:rPr>
                <w:rFonts w:cs="Tahoma"/>
                <w:sz w:val="22"/>
                <w:szCs w:val="22"/>
                <w:lang w:val="en-AU"/>
              </w:rPr>
            </w:pPr>
            <w:r w:rsidRPr="00EF43A2">
              <w:rPr>
                <w:sz w:val="22"/>
                <w:szCs w:val="22"/>
              </w:rPr>
              <w:t>$425,225</w:t>
            </w:r>
          </w:p>
        </w:tc>
      </w:tr>
      <w:tr w:rsidR="008A11F4" w:rsidRPr="004360BF" w14:paraId="5488BD37" w14:textId="77777777" w:rsidTr="00EF43A2">
        <w:tc>
          <w:tcPr>
            <w:tcW w:w="2518" w:type="dxa"/>
            <w:shd w:val="clear" w:color="auto" w:fill="auto"/>
          </w:tcPr>
          <w:p w14:paraId="4863FE59" w14:textId="77777777" w:rsidR="008A11F4" w:rsidRPr="004360BF" w:rsidRDefault="008A11F4" w:rsidP="00420E86">
            <w:pPr>
              <w:keepNext/>
              <w:spacing w:before="40" w:after="40"/>
              <w:rPr>
                <w:sz w:val="22"/>
                <w:szCs w:val="22"/>
                <w:lang w:val="en-AU"/>
              </w:rPr>
            </w:pPr>
            <w:r w:rsidRPr="004360BF">
              <w:rPr>
                <w:sz w:val="22"/>
                <w:szCs w:val="22"/>
                <w:lang w:val="en-AU"/>
              </w:rPr>
              <w:t>Revenue through tariffs</w:t>
            </w:r>
          </w:p>
        </w:tc>
        <w:tc>
          <w:tcPr>
            <w:tcW w:w="2126" w:type="dxa"/>
            <w:shd w:val="clear" w:color="auto" w:fill="auto"/>
          </w:tcPr>
          <w:p w14:paraId="3F2166E3" w14:textId="59C25B9C" w:rsidR="008A11F4" w:rsidRPr="008A11F4" w:rsidRDefault="008A11F4" w:rsidP="00420E86">
            <w:pPr>
              <w:spacing w:before="40" w:after="40"/>
              <w:jc w:val="center"/>
              <w:rPr>
                <w:rFonts w:cs="Tahoma"/>
                <w:sz w:val="22"/>
                <w:szCs w:val="22"/>
                <w:lang w:val="en-AU"/>
              </w:rPr>
            </w:pPr>
            <w:r w:rsidRPr="00EF43A2">
              <w:rPr>
                <w:sz w:val="22"/>
                <w:szCs w:val="22"/>
              </w:rPr>
              <w:t>$17,541</w:t>
            </w:r>
          </w:p>
        </w:tc>
        <w:tc>
          <w:tcPr>
            <w:tcW w:w="1843" w:type="dxa"/>
            <w:shd w:val="clear" w:color="auto" w:fill="auto"/>
          </w:tcPr>
          <w:p w14:paraId="7F74E209" w14:textId="10414551" w:rsidR="008A11F4" w:rsidRPr="008A11F4" w:rsidRDefault="008A11F4" w:rsidP="0072554D">
            <w:pPr>
              <w:spacing w:before="40" w:after="40"/>
              <w:jc w:val="center"/>
              <w:rPr>
                <w:rFonts w:cs="Tahoma"/>
                <w:sz w:val="22"/>
                <w:szCs w:val="22"/>
                <w:lang w:val="en-AU"/>
              </w:rPr>
            </w:pPr>
            <w:r w:rsidRPr="00EF43A2">
              <w:rPr>
                <w:sz w:val="22"/>
                <w:szCs w:val="22"/>
              </w:rPr>
              <w:t>$89,031</w:t>
            </w:r>
          </w:p>
        </w:tc>
        <w:tc>
          <w:tcPr>
            <w:tcW w:w="1418" w:type="dxa"/>
            <w:shd w:val="clear" w:color="auto" w:fill="auto"/>
          </w:tcPr>
          <w:p w14:paraId="42106FBA" w14:textId="14B2D1DB" w:rsidR="008A11F4" w:rsidRPr="008A11F4" w:rsidRDefault="008A11F4" w:rsidP="004D37BE">
            <w:pPr>
              <w:spacing w:before="40" w:after="40"/>
              <w:jc w:val="center"/>
              <w:rPr>
                <w:rFonts w:cs="Tahoma"/>
                <w:sz w:val="22"/>
                <w:szCs w:val="22"/>
                <w:lang w:val="en-AU"/>
              </w:rPr>
            </w:pPr>
            <w:r w:rsidRPr="00EF43A2">
              <w:rPr>
                <w:sz w:val="22"/>
                <w:szCs w:val="22"/>
              </w:rPr>
              <w:t>$94,516</w:t>
            </w:r>
          </w:p>
        </w:tc>
        <w:tc>
          <w:tcPr>
            <w:tcW w:w="1337" w:type="dxa"/>
            <w:shd w:val="clear" w:color="auto" w:fill="auto"/>
          </w:tcPr>
          <w:p w14:paraId="0B9B012C" w14:textId="3F749486" w:rsidR="008A11F4" w:rsidRPr="008A11F4" w:rsidRDefault="008A11F4" w:rsidP="0072554D">
            <w:pPr>
              <w:spacing w:before="40" w:after="40"/>
              <w:jc w:val="center"/>
              <w:rPr>
                <w:rFonts w:cs="Tahoma"/>
                <w:sz w:val="22"/>
                <w:szCs w:val="22"/>
                <w:lang w:val="en-AU"/>
              </w:rPr>
            </w:pPr>
            <w:r w:rsidRPr="00EF43A2">
              <w:rPr>
                <w:sz w:val="22"/>
                <w:szCs w:val="22"/>
              </w:rPr>
              <w:t>$201,088</w:t>
            </w:r>
          </w:p>
        </w:tc>
      </w:tr>
      <w:tr w:rsidR="008A11F4" w:rsidRPr="004360BF" w14:paraId="30CD468E" w14:textId="77777777" w:rsidTr="00EF43A2">
        <w:tc>
          <w:tcPr>
            <w:tcW w:w="2518" w:type="dxa"/>
            <w:shd w:val="clear" w:color="auto" w:fill="auto"/>
          </w:tcPr>
          <w:p w14:paraId="1CCFC4B8" w14:textId="77777777" w:rsidR="008A11F4" w:rsidRPr="004360BF" w:rsidRDefault="008A11F4" w:rsidP="00420E86">
            <w:pPr>
              <w:keepNext/>
              <w:spacing w:before="40" w:after="40"/>
              <w:rPr>
                <w:sz w:val="22"/>
                <w:szCs w:val="22"/>
                <w:lang w:val="en-AU"/>
              </w:rPr>
            </w:pPr>
            <w:r w:rsidRPr="004360BF">
              <w:rPr>
                <w:sz w:val="22"/>
                <w:szCs w:val="22"/>
                <w:lang w:val="en-AU"/>
              </w:rPr>
              <w:t>Avoidable cost</w:t>
            </w:r>
          </w:p>
        </w:tc>
        <w:tc>
          <w:tcPr>
            <w:tcW w:w="2126" w:type="dxa"/>
            <w:shd w:val="clear" w:color="auto" w:fill="auto"/>
          </w:tcPr>
          <w:p w14:paraId="69BA833C" w14:textId="37BE5239" w:rsidR="008A11F4" w:rsidRPr="008A11F4" w:rsidRDefault="008A11F4" w:rsidP="00420E86">
            <w:pPr>
              <w:spacing w:before="40" w:after="40"/>
              <w:jc w:val="center"/>
              <w:rPr>
                <w:rFonts w:cs="Tahoma"/>
                <w:sz w:val="22"/>
                <w:szCs w:val="22"/>
                <w:lang w:val="en-AU"/>
              </w:rPr>
            </w:pPr>
            <w:r w:rsidRPr="00EF43A2">
              <w:rPr>
                <w:sz w:val="22"/>
                <w:szCs w:val="22"/>
              </w:rPr>
              <w:t>$7,046</w:t>
            </w:r>
          </w:p>
        </w:tc>
        <w:tc>
          <w:tcPr>
            <w:tcW w:w="1843" w:type="dxa"/>
            <w:shd w:val="clear" w:color="auto" w:fill="auto"/>
          </w:tcPr>
          <w:p w14:paraId="33497E12" w14:textId="330CFF81" w:rsidR="008A11F4" w:rsidRPr="008A11F4" w:rsidRDefault="008A11F4" w:rsidP="00420E86">
            <w:pPr>
              <w:spacing w:before="40" w:after="40"/>
              <w:jc w:val="center"/>
              <w:rPr>
                <w:rFonts w:cs="Tahoma"/>
                <w:sz w:val="22"/>
                <w:szCs w:val="22"/>
                <w:lang w:val="en-AU"/>
              </w:rPr>
            </w:pPr>
            <w:r w:rsidRPr="00EF43A2">
              <w:rPr>
                <w:sz w:val="22"/>
                <w:szCs w:val="22"/>
              </w:rPr>
              <w:t>$14,219</w:t>
            </w:r>
          </w:p>
        </w:tc>
        <w:tc>
          <w:tcPr>
            <w:tcW w:w="1418" w:type="dxa"/>
            <w:shd w:val="clear" w:color="auto" w:fill="auto"/>
          </w:tcPr>
          <w:p w14:paraId="25765A3F" w14:textId="2B2977CE" w:rsidR="008A11F4" w:rsidRPr="008A11F4" w:rsidRDefault="008A11F4" w:rsidP="00420E86">
            <w:pPr>
              <w:spacing w:before="40" w:after="40"/>
              <w:jc w:val="center"/>
              <w:rPr>
                <w:rFonts w:cs="Tahoma"/>
                <w:sz w:val="22"/>
                <w:szCs w:val="22"/>
                <w:lang w:val="en-AU"/>
              </w:rPr>
            </w:pPr>
            <w:r w:rsidRPr="00EF43A2">
              <w:rPr>
                <w:sz w:val="22"/>
                <w:szCs w:val="22"/>
              </w:rPr>
              <w:t>$25,608</w:t>
            </w:r>
          </w:p>
        </w:tc>
        <w:tc>
          <w:tcPr>
            <w:tcW w:w="1337" w:type="dxa"/>
            <w:shd w:val="clear" w:color="auto" w:fill="auto"/>
          </w:tcPr>
          <w:p w14:paraId="4870F755" w14:textId="260CCE76" w:rsidR="008A11F4" w:rsidRPr="008A11F4" w:rsidRDefault="008A11F4" w:rsidP="00420E86">
            <w:pPr>
              <w:spacing w:before="40" w:after="40"/>
              <w:jc w:val="center"/>
              <w:rPr>
                <w:rFonts w:cs="Tahoma"/>
                <w:sz w:val="22"/>
                <w:szCs w:val="22"/>
                <w:lang w:val="en-AU"/>
              </w:rPr>
            </w:pPr>
            <w:r w:rsidRPr="00EF43A2">
              <w:rPr>
                <w:sz w:val="22"/>
                <w:szCs w:val="22"/>
              </w:rPr>
              <w:t>$46,873</w:t>
            </w:r>
          </w:p>
        </w:tc>
      </w:tr>
    </w:tbl>
    <w:p w14:paraId="4E1884C9" w14:textId="77777777" w:rsidR="00D720CA" w:rsidRPr="004360BF" w:rsidRDefault="00D720CA" w:rsidP="00D720CA">
      <w:pPr>
        <w:spacing w:after="0"/>
        <w:rPr>
          <w:lang w:val="en-AU"/>
        </w:rPr>
      </w:pPr>
    </w:p>
    <w:p w14:paraId="1DAAECA3" w14:textId="735DC82F" w:rsidR="000C1C90" w:rsidRPr="004360BF" w:rsidRDefault="004D37BE" w:rsidP="00E71941">
      <w:pPr>
        <w:rPr>
          <w:lang w:val="en-AU"/>
        </w:rPr>
      </w:pPr>
      <w:r w:rsidRPr="004360BF">
        <w:rPr>
          <w:lang w:val="en-AU"/>
        </w:rPr>
        <w:fldChar w:fldCharType="begin"/>
      </w:r>
      <w:r w:rsidRPr="004360BF">
        <w:rPr>
          <w:lang w:val="en-AU"/>
        </w:rPr>
        <w:instrText xml:space="preserve"> REF _Ref258679847 \h </w:instrText>
      </w:r>
      <w:r w:rsidRPr="004360BF">
        <w:rPr>
          <w:lang w:val="en-AU"/>
        </w:rPr>
      </w:r>
      <w:r w:rsidRPr="004360BF">
        <w:rPr>
          <w:lang w:val="en-AU"/>
        </w:rPr>
        <w:fldChar w:fldCharType="separate"/>
      </w:r>
      <w:r w:rsidR="008D3215" w:rsidRPr="004360BF">
        <w:rPr>
          <w:lang w:val="en-AU"/>
        </w:rPr>
        <w:t xml:space="preserve">Table </w:t>
      </w:r>
      <w:r w:rsidR="008D3215">
        <w:rPr>
          <w:noProof/>
          <w:lang w:val="en-AU"/>
        </w:rPr>
        <w:t>19</w:t>
      </w:r>
      <w:r w:rsidRPr="004360BF">
        <w:rPr>
          <w:lang w:val="en-AU"/>
        </w:rPr>
        <w:fldChar w:fldCharType="end"/>
      </w:r>
      <w:r w:rsidRPr="004360BF">
        <w:rPr>
          <w:lang w:val="en-AU"/>
        </w:rPr>
        <w:t xml:space="preserve"> </w:t>
      </w:r>
      <w:r w:rsidR="00D720CA" w:rsidRPr="004360BF">
        <w:rPr>
          <w:lang w:val="en-AU"/>
        </w:rPr>
        <w:t xml:space="preserve">demonstrates that the weighted average revenue for each of the three tariff classes lies between </w:t>
      </w:r>
      <w:r w:rsidR="000C1C90" w:rsidRPr="004360BF">
        <w:rPr>
          <w:lang w:val="en-AU"/>
        </w:rPr>
        <w:t>the stand-alone cost and the avoidable cost.</w:t>
      </w:r>
      <w:r w:rsidR="00CC6CF8" w:rsidRPr="004360BF">
        <w:rPr>
          <w:lang w:val="en-AU"/>
        </w:rPr>
        <w:t xml:space="preserve"> </w:t>
      </w:r>
      <w:r w:rsidR="000C1C90" w:rsidRPr="004360BF">
        <w:rPr>
          <w:lang w:val="en-AU"/>
        </w:rPr>
        <w:t>As a consequence, the tariff classes do not contain economic cross subsidies.</w:t>
      </w:r>
      <w:r w:rsidR="00CC6CF8" w:rsidRPr="004360BF">
        <w:rPr>
          <w:lang w:val="en-AU"/>
        </w:rPr>
        <w:t xml:space="preserve"> </w:t>
      </w:r>
    </w:p>
    <w:p w14:paraId="4144E5FB" w14:textId="72F56BDA" w:rsidR="00D720CA" w:rsidRPr="004360BF" w:rsidRDefault="00D720CA" w:rsidP="00D720CA">
      <w:pPr>
        <w:keepNext/>
        <w:rPr>
          <w:lang w:val="en-AU"/>
        </w:rPr>
      </w:pPr>
      <w:r w:rsidRPr="004360BF">
        <w:rPr>
          <w:lang w:val="en-AU"/>
        </w:rPr>
        <w:lastRenderedPageBreak/>
        <w:t>The Stand-alone, Avoidable and Long Run Marginal Costs are compared w</w:t>
      </w:r>
      <w:r w:rsidR="006B6ECC" w:rsidRPr="004360BF">
        <w:rPr>
          <w:lang w:val="en-AU"/>
        </w:rPr>
        <w:t>ith the tariff revenue for 20</w:t>
      </w:r>
      <w:r w:rsidRPr="004360BF">
        <w:rPr>
          <w:lang w:val="en-AU"/>
        </w:rPr>
        <w:t>1</w:t>
      </w:r>
      <w:r w:rsidR="00195256" w:rsidRPr="004360BF">
        <w:rPr>
          <w:lang w:val="en-AU"/>
        </w:rPr>
        <w:t>5</w:t>
      </w:r>
      <w:r w:rsidR="006B6ECC" w:rsidRPr="004360BF">
        <w:rPr>
          <w:lang w:val="en-AU"/>
        </w:rPr>
        <w:t>/1</w:t>
      </w:r>
      <w:r w:rsidR="00195256" w:rsidRPr="004360BF">
        <w:rPr>
          <w:lang w:val="en-AU"/>
        </w:rPr>
        <w:t>6</w:t>
      </w:r>
      <w:r w:rsidRPr="004360BF">
        <w:rPr>
          <w:lang w:val="en-AU"/>
        </w:rPr>
        <w:t xml:space="preserve"> in </w:t>
      </w:r>
      <w:r w:rsidR="0036456E" w:rsidRPr="004360BF">
        <w:rPr>
          <w:lang w:val="en-AU"/>
        </w:rPr>
        <w:fldChar w:fldCharType="begin"/>
      </w:r>
      <w:r w:rsidR="0036456E" w:rsidRPr="004360BF">
        <w:rPr>
          <w:lang w:val="en-AU"/>
        </w:rPr>
        <w:instrText xml:space="preserve"> REF _Ref235188523 \h </w:instrText>
      </w:r>
      <w:r w:rsidR="0036456E" w:rsidRPr="004360BF">
        <w:rPr>
          <w:lang w:val="en-AU"/>
        </w:rPr>
      </w:r>
      <w:r w:rsidR="0036456E" w:rsidRPr="004360BF">
        <w:rPr>
          <w:lang w:val="en-AU"/>
        </w:rPr>
        <w:fldChar w:fldCharType="separate"/>
      </w:r>
      <w:r w:rsidR="008D3215" w:rsidRPr="004360BF">
        <w:rPr>
          <w:lang w:val="en-AU"/>
        </w:rPr>
        <w:t xml:space="preserve">Figure </w:t>
      </w:r>
      <w:r w:rsidR="008D3215">
        <w:rPr>
          <w:noProof/>
          <w:lang w:val="en-AU"/>
        </w:rPr>
        <w:t>6</w:t>
      </w:r>
      <w:r w:rsidR="0036456E" w:rsidRPr="004360BF">
        <w:rPr>
          <w:lang w:val="en-AU"/>
        </w:rPr>
        <w:fldChar w:fldCharType="end"/>
      </w:r>
      <w:r w:rsidRPr="004360BF">
        <w:rPr>
          <w:lang w:val="en-AU"/>
        </w:rPr>
        <w:t>, where all have been expressed on the same $/kVA per annum basis.</w:t>
      </w:r>
      <w:r w:rsidR="0041016E" w:rsidRPr="004360BF">
        <w:rPr>
          <w:lang w:val="en-AU"/>
        </w:rPr>
        <w:t xml:space="preserve"> </w:t>
      </w:r>
    </w:p>
    <w:p w14:paraId="0B37B3F1" w14:textId="7B32E34B" w:rsidR="00D720CA" w:rsidRPr="004360BF" w:rsidRDefault="00D720CA" w:rsidP="00D720CA">
      <w:pPr>
        <w:pStyle w:val="Caption"/>
        <w:rPr>
          <w:lang w:val="en-AU"/>
        </w:rPr>
      </w:pPr>
      <w:bookmarkStart w:id="456" w:name="_Ref235188523"/>
      <w:r w:rsidRPr="004360BF">
        <w:rPr>
          <w:lang w:val="en-AU"/>
        </w:rPr>
        <w:t xml:space="preserve">Figure </w:t>
      </w:r>
      <w:r w:rsidR="00EA0F43" w:rsidRPr="004360BF">
        <w:rPr>
          <w:lang w:val="en-AU"/>
        </w:rPr>
        <w:fldChar w:fldCharType="begin"/>
      </w:r>
      <w:r w:rsidR="00EA0F43" w:rsidRPr="004360BF">
        <w:rPr>
          <w:lang w:val="en-AU"/>
        </w:rPr>
        <w:instrText xml:space="preserve"> SEQ Figure \* ARABIC </w:instrText>
      </w:r>
      <w:r w:rsidR="00EA0F43" w:rsidRPr="004360BF">
        <w:rPr>
          <w:lang w:val="en-AU"/>
        </w:rPr>
        <w:fldChar w:fldCharType="separate"/>
      </w:r>
      <w:r w:rsidR="008D3215">
        <w:rPr>
          <w:noProof/>
          <w:lang w:val="en-AU"/>
        </w:rPr>
        <w:t>6</w:t>
      </w:r>
      <w:r w:rsidR="00EA0F43" w:rsidRPr="004360BF">
        <w:rPr>
          <w:lang w:val="en-AU"/>
        </w:rPr>
        <w:fldChar w:fldCharType="end"/>
      </w:r>
      <w:bookmarkEnd w:id="456"/>
      <w:r w:rsidRPr="004360BF">
        <w:rPr>
          <w:lang w:val="en-AU"/>
        </w:rPr>
        <w:t xml:space="preserve"> – Cost comparison</w:t>
      </w:r>
    </w:p>
    <w:p w14:paraId="72FECB49" w14:textId="1212EEFD" w:rsidR="00D720CA" w:rsidRPr="004360BF" w:rsidRDefault="008A11F4" w:rsidP="00D720CA">
      <w:pPr>
        <w:rPr>
          <w:lang w:val="en-AU"/>
        </w:rPr>
      </w:pPr>
      <w:r w:rsidRPr="008A11F4">
        <w:rPr>
          <w:noProof/>
          <w:lang w:val="en-AU" w:eastAsia="en-AU"/>
        </w:rPr>
        <w:drawing>
          <wp:inline distT="0" distB="0" distL="0" distR="0" wp14:anchorId="591BA1A4" wp14:editId="3581AC94">
            <wp:extent cx="5731510" cy="3328994"/>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328994"/>
                    </a:xfrm>
                    <a:prstGeom prst="rect">
                      <a:avLst/>
                    </a:prstGeom>
                    <a:noFill/>
                    <a:ln>
                      <a:noFill/>
                    </a:ln>
                  </pic:spPr>
                </pic:pic>
              </a:graphicData>
            </a:graphic>
          </wp:inline>
        </w:drawing>
      </w:r>
    </w:p>
    <w:p w14:paraId="33C9AC34" w14:textId="77777777" w:rsidR="008145B7" w:rsidRPr="004360BF" w:rsidRDefault="00CF1178" w:rsidP="00B30BF6">
      <w:pPr>
        <w:pStyle w:val="Heading2"/>
      </w:pPr>
      <w:bookmarkStart w:id="457" w:name="_Ref260825638"/>
      <w:bookmarkStart w:id="458" w:name="_Toc417291270"/>
      <w:bookmarkStart w:id="459" w:name="_Toc417291781"/>
      <w:bookmarkStart w:id="460" w:name="_Toc417292549"/>
      <w:bookmarkStart w:id="461" w:name="_Toc291262269"/>
      <w:bookmarkStart w:id="462" w:name="_Toc417458032"/>
      <w:bookmarkStart w:id="463" w:name="_Toc418608701"/>
      <w:r w:rsidRPr="004360BF">
        <w:t>Transaction c</w:t>
      </w:r>
      <w:r w:rsidR="008145B7" w:rsidRPr="004360BF">
        <w:t>osts</w:t>
      </w:r>
      <w:bookmarkEnd w:id="457"/>
      <w:bookmarkEnd w:id="458"/>
      <w:bookmarkEnd w:id="459"/>
      <w:bookmarkEnd w:id="460"/>
      <w:bookmarkEnd w:id="461"/>
      <w:bookmarkEnd w:id="462"/>
      <w:bookmarkEnd w:id="463"/>
      <w:r w:rsidR="008145B7" w:rsidRPr="004360BF">
        <w:t xml:space="preserve"> </w:t>
      </w:r>
    </w:p>
    <w:p w14:paraId="5AE003F5" w14:textId="631856C4" w:rsidR="000431C5" w:rsidRPr="004360BF" w:rsidRDefault="000431C5" w:rsidP="000431C5">
      <w:pPr>
        <w:rPr>
          <w:lang w:val="en-AU"/>
        </w:rPr>
      </w:pPr>
      <w:r w:rsidRPr="004360BF">
        <w:rPr>
          <w:lang w:val="en-AU"/>
        </w:rPr>
        <w:t xml:space="preserve">In accordance with clause </w:t>
      </w:r>
      <w:r w:rsidR="007D40E6" w:rsidRPr="004360BF">
        <w:rPr>
          <w:lang w:val="en-AU"/>
        </w:rPr>
        <w:t>16.4(b</w:t>
      </w:r>
      <w:proofErr w:type="gramStart"/>
      <w:r w:rsidR="007D40E6" w:rsidRPr="004360BF">
        <w:rPr>
          <w:lang w:val="en-AU"/>
        </w:rPr>
        <w:t>)(</w:t>
      </w:r>
      <w:proofErr w:type="spellStart"/>
      <w:proofErr w:type="gramEnd"/>
      <w:r w:rsidR="007D40E6" w:rsidRPr="004360BF">
        <w:rPr>
          <w:lang w:val="en-AU"/>
        </w:rPr>
        <w:t>i</w:t>
      </w:r>
      <w:proofErr w:type="spellEnd"/>
      <w:r w:rsidR="007D40E6" w:rsidRPr="004360BF">
        <w:rPr>
          <w:lang w:val="en-AU"/>
        </w:rPr>
        <w:t>)</w:t>
      </w:r>
      <w:r w:rsidRPr="004360BF">
        <w:rPr>
          <w:lang w:val="en-AU"/>
        </w:rPr>
        <w:t xml:space="preserve"> of the R</w:t>
      </w:r>
      <w:r w:rsidR="007D40E6" w:rsidRPr="004360BF">
        <w:rPr>
          <w:lang w:val="en-AU"/>
        </w:rPr>
        <w:t>IN</w:t>
      </w:r>
      <w:r w:rsidRPr="004360BF">
        <w:rPr>
          <w:lang w:val="en-AU"/>
        </w:rPr>
        <w:t xml:space="preserve">, </w:t>
      </w:r>
      <w:r w:rsidR="00426529" w:rsidRPr="004360BF">
        <w:rPr>
          <w:lang w:val="en-AU"/>
        </w:rPr>
        <w:t>Power Networks has attempted</w:t>
      </w:r>
      <w:r w:rsidRPr="004360BF">
        <w:rPr>
          <w:lang w:val="en-AU"/>
        </w:rPr>
        <w:t xml:space="preserve"> to minimise any transaction costs arising from its network tariffs by limiting the complexity of the tariff structure</w:t>
      </w:r>
      <w:r w:rsidR="00C82C5B" w:rsidRPr="004360BF">
        <w:rPr>
          <w:lang w:val="en-AU"/>
        </w:rPr>
        <w:t>s</w:t>
      </w:r>
      <w:r w:rsidRPr="004360BF">
        <w:rPr>
          <w:lang w:val="en-AU"/>
        </w:rPr>
        <w:t xml:space="preserve"> and </w:t>
      </w:r>
      <w:r w:rsidR="00DD0734" w:rsidRPr="004360BF">
        <w:rPr>
          <w:lang w:val="en-AU"/>
        </w:rPr>
        <w:t xml:space="preserve">the </w:t>
      </w:r>
      <w:r w:rsidRPr="004360BF">
        <w:rPr>
          <w:lang w:val="en-AU"/>
        </w:rPr>
        <w:t>charging parameters within each tariff.</w:t>
      </w:r>
      <w:r w:rsidR="00CC6CF8" w:rsidRPr="004360BF">
        <w:rPr>
          <w:lang w:val="en-AU"/>
        </w:rPr>
        <w:t xml:space="preserve"> </w:t>
      </w:r>
      <w:r w:rsidRPr="004360BF">
        <w:rPr>
          <w:lang w:val="en-AU"/>
        </w:rPr>
        <w:t>The charging parameters applicable to each</w:t>
      </w:r>
      <w:r w:rsidR="00DC0539" w:rsidRPr="004360BF">
        <w:rPr>
          <w:lang w:val="en-AU"/>
        </w:rPr>
        <w:t xml:space="preserve"> tariff are provided in Chapter</w:t>
      </w:r>
      <w:r w:rsidR="00DD01BC" w:rsidRPr="004360BF">
        <w:rPr>
          <w:lang w:val="en-AU"/>
        </w:rPr>
        <w:t xml:space="preserve"> 11</w:t>
      </w:r>
      <w:r w:rsidRPr="004360BF">
        <w:rPr>
          <w:lang w:val="en-AU"/>
        </w:rPr>
        <w:t xml:space="preserve"> of this 201</w:t>
      </w:r>
      <w:r w:rsidR="003F134A" w:rsidRPr="004360BF">
        <w:rPr>
          <w:lang w:val="en-AU"/>
        </w:rPr>
        <w:t>5</w:t>
      </w:r>
      <w:r w:rsidRPr="004360BF">
        <w:rPr>
          <w:lang w:val="en-AU"/>
        </w:rPr>
        <w:t>/1</w:t>
      </w:r>
      <w:r w:rsidR="003F134A" w:rsidRPr="004360BF">
        <w:rPr>
          <w:lang w:val="en-AU"/>
        </w:rPr>
        <w:t>6</w:t>
      </w:r>
      <w:r w:rsidR="006B6ECC" w:rsidRPr="004360BF">
        <w:rPr>
          <w:lang w:val="en-AU"/>
        </w:rPr>
        <w:t xml:space="preserve"> Network</w:t>
      </w:r>
      <w:r w:rsidRPr="004360BF">
        <w:rPr>
          <w:lang w:val="en-AU"/>
        </w:rPr>
        <w:t xml:space="preserve"> Pricing Proposal</w:t>
      </w:r>
      <w:r w:rsidR="00426529" w:rsidRPr="004360BF">
        <w:rPr>
          <w:lang w:val="en-AU"/>
        </w:rPr>
        <w:t>.</w:t>
      </w:r>
      <w:r w:rsidRPr="004360BF">
        <w:rPr>
          <w:lang w:val="en-AU"/>
        </w:rPr>
        <w:t xml:space="preserve"> </w:t>
      </w:r>
    </w:p>
    <w:p w14:paraId="5F04A944" w14:textId="77777777" w:rsidR="008145B7" w:rsidRPr="004360BF" w:rsidRDefault="008145B7" w:rsidP="00B30BF6">
      <w:pPr>
        <w:pStyle w:val="Heading2"/>
      </w:pPr>
      <w:bookmarkStart w:id="464" w:name="_Ref258684213"/>
      <w:bookmarkStart w:id="465" w:name="_Ref258684393"/>
      <w:bookmarkStart w:id="466" w:name="_Toc417291271"/>
      <w:bookmarkStart w:id="467" w:name="_Toc417291782"/>
      <w:bookmarkStart w:id="468" w:name="_Toc417292550"/>
      <w:bookmarkStart w:id="469" w:name="_Toc291262270"/>
      <w:bookmarkStart w:id="470" w:name="_Ref292367291"/>
      <w:bookmarkStart w:id="471" w:name="_Toc417458033"/>
      <w:bookmarkStart w:id="472" w:name="_Toc418608702"/>
      <w:r w:rsidRPr="004360BF">
        <w:t xml:space="preserve">Response </w:t>
      </w:r>
      <w:bookmarkEnd w:id="464"/>
      <w:bookmarkEnd w:id="465"/>
      <w:r w:rsidR="00CF1178" w:rsidRPr="004360BF">
        <w:t>to price signals</w:t>
      </w:r>
      <w:bookmarkEnd w:id="466"/>
      <w:bookmarkEnd w:id="467"/>
      <w:bookmarkEnd w:id="468"/>
      <w:bookmarkEnd w:id="469"/>
      <w:bookmarkEnd w:id="470"/>
      <w:bookmarkEnd w:id="471"/>
      <w:bookmarkEnd w:id="472"/>
      <w:r w:rsidR="00CF1178" w:rsidRPr="004360BF">
        <w:t xml:space="preserve"> </w:t>
      </w:r>
    </w:p>
    <w:p w14:paraId="50DE78AF" w14:textId="77777777" w:rsidR="0058266E" w:rsidRPr="004360BF" w:rsidRDefault="0008350E" w:rsidP="00E71941">
      <w:pPr>
        <w:rPr>
          <w:lang w:val="en-AU" w:eastAsia="en-AU"/>
        </w:rPr>
      </w:pPr>
      <w:r w:rsidRPr="004360BF">
        <w:rPr>
          <w:lang w:val="en-AU" w:eastAsia="en-AU"/>
        </w:rPr>
        <w:t xml:space="preserve">Clause </w:t>
      </w:r>
      <w:r w:rsidR="00142F06" w:rsidRPr="004360BF">
        <w:rPr>
          <w:lang w:val="en-AU" w:eastAsia="en-AU"/>
        </w:rPr>
        <w:t>1</w:t>
      </w:r>
      <w:r w:rsidRPr="004360BF">
        <w:rPr>
          <w:lang w:val="en-AU" w:eastAsia="en-AU"/>
        </w:rPr>
        <w:t>6.</w:t>
      </w:r>
      <w:r w:rsidR="00142F06" w:rsidRPr="004360BF">
        <w:rPr>
          <w:lang w:val="en-AU" w:eastAsia="en-AU"/>
        </w:rPr>
        <w:t>4(b</w:t>
      </w:r>
      <w:proofErr w:type="gramStart"/>
      <w:r w:rsidR="00142F06" w:rsidRPr="004360BF">
        <w:rPr>
          <w:lang w:val="en-AU" w:eastAsia="en-AU"/>
        </w:rPr>
        <w:t>)(</w:t>
      </w:r>
      <w:proofErr w:type="gramEnd"/>
      <w:r w:rsidR="00142F06" w:rsidRPr="004360BF">
        <w:rPr>
          <w:lang w:val="en-AU" w:eastAsia="en-AU"/>
        </w:rPr>
        <w:t>ii)</w:t>
      </w:r>
      <w:r w:rsidRPr="004360BF">
        <w:rPr>
          <w:lang w:val="en-AU" w:eastAsia="en-AU"/>
        </w:rPr>
        <w:t xml:space="preserve"> of the R</w:t>
      </w:r>
      <w:r w:rsidR="00142F06" w:rsidRPr="004360BF">
        <w:rPr>
          <w:lang w:val="en-AU" w:eastAsia="en-AU"/>
        </w:rPr>
        <w:t>IN</w:t>
      </w:r>
      <w:r w:rsidRPr="004360BF">
        <w:rPr>
          <w:lang w:val="en-AU" w:eastAsia="en-AU"/>
        </w:rPr>
        <w:t xml:space="preserve"> r</w:t>
      </w:r>
      <w:r w:rsidR="00DD0734" w:rsidRPr="004360BF">
        <w:rPr>
          <w:lang w:val="en-AU" w:eastAsia="en-AU"/>
        </w:rPr>
        <w:t>eq</w:t>
      </w:r>
      <w:r w:rsidRPr="004360BF">
        <w:rPr>
          <w:lang w:val="en-AU" w:eastAsia="en-AU"/>
        </w:rPr>
        <w:t xml:space="preserve">uires that Power Networks </w:t>
      </w:r>
      <w:r w:rsidR="00DD0734" w:rsidRPr="004360BF">
        <w:rPr>
          <w:lang w:val="en-AU" w:eastAsia="en-AU"/>
        </w:rPr>
        <w:t xml:space="preserve">determine network tariffs with regard to whether customers of the relevant tariff class are able </w:t>
      </w:r>
      <w:r w:rsidR="00142F06" w:rsidRPr="004360BF">
        <w:rPr>
          <w:lang w:val="en-AU" w:eastAsia="en-AU"/>
        </w:rPr>
        <w:t xml:space="preserve">or likely </w:t>
      </w:r>
      <w:r w:rsidR="00DD0734" w:rsidRPr="004360BF">
        <w:rPr>
          <w:lang w:val="en-AU" w:eastAsia="en-AU"/>
        </w:rPr>
        <w:t>to respond to the price signals.</w:t>
      </w:r>
      <w:r w:rsidR="00CC6CF8" w:rsidRPr="004360BF">
        <w:rPr>
          <w:lang w:val="en-AU" w:eastAsia="en-AU"/>
        </w:rPr>
        <w:t xml:space="preserve"> </w:t>
      </w:r>
    </w:p>
    <w:p w14:paraId="01C8A965" w14:textId="77777777" w:rsidR="00DD0734" w:rsidRPr="004360BF" w:rsidRDefault="00DD0734" w:rsidP="00E71941">
      <w:pPr>
        <w:rPr>
          <w:lang w:val="en-AU" w:eastAsia="en-AU"/>
        </w:rPr>
      </w:pPr>
      <w:r w:rsidRPr="004360BF">
        <w:rPr>
          <w:lang w:val="en-AU" w:eastAsia="en-AU"/>
        </w:rPr>
        <w:t xml:space="preserve">It is generally accepted that </w:t>
      </w:r>
      <w:r w:rsidR="0008350E" w:rsidRPr="004360BF">
        <w:rPr>
          <w:lang w:val="en-AU" w:eastAsia="en-AU"/>
        </w:rPr>
        <w:t xml:space="preserve">efficiency gains </w:t>
      </w:r>
      <w:r w:rsidR="0058266E" w:rsidRPr="004360BF">
        <w:rPr>
          <w:lang w:val="en-AU" w:eastAsia="en-AU"/>
        </w:rPr>
        <w:t>may be</w:t>
      </w:r>
      <w:r w:rsidRPr="004360BF">
        <w:rPr>
          <w:lang w:val="en-AU" w:eastAsia="en-AU"/>
        </w:rPr>
        <w:t xml:space="preserve"> made through </w:t>
      </w:r>
      <w:r w:rsidR="0008350E" w:rsidRPr="004360BF">
        <w:rPr>
          <w:lang w:val="en-AU" w:eastAsia="en-AU"/>
        </w:rPr>
        <w:t xml:space="preserve">pricing </w:t>
      </w:r>
      <w:r w:rsidRPr="004360BF">
        <w:rPr>
          <w:lang w:val="en-AU" w:eastAsia="en-AU"/>
        </w:rPr>
        <w:t xml:space="preserve">services at their </w:t>
      </w:r>
      <w:r w:rsidR="00142F06" w:rsidRPr="004360BF">
        <w:rPr>
          <w:lang w:val="en-AU" w:eastAsia="en-AU"/>
        </w:rPr>
        <w:t>LRMC</w:t>
      </w:r>
      <w:r w:rsidRPr="004360BF">
        <w:rPr>
          <w:lang w:val="en-AU" w:eastAsia="en-AU"/>
        </w:rPr>
        <w:t xml:space="preserve">, </w:t>
      </w:r>
      <w:r w:rsidR="0058266E" w:rsidRPr="004360BF">
        <w:rPr>
          <w:lang w:val="en-AU" w:eastAsia="en-AU"/>
        </w:rPr>
        <w:t>thereby inducing a</w:t>
      </w:r>
      <w:r w:rsidR="0008350E" w:rsidRPr="004360BF">
        <w:rPr>
          <w:lang w:val="en-AU" w:eastAsia="en-AU"/>
        </w:rPr>
        <w:t xml:space="preserve"> behavioural change in the customer.</w:t>
      </w:r>
      <w:r w:rsidR="00CC6CF8" w:rsidRPr="004360BF">
        <w:rPr>
          <w:lang w:val="en-AU" w:eastAsia="en-AU"/>
        </w:rPr>
        <w:t xml:space="preserve"> </w:t>
      </w:r>
    </w:p>
    <w:p w14:paraId="0A1736AD" w14:textId="77777777" w:rsidR="0008350E" w:rsidRPr="004360BF" w:rsidRDefault="00DD0734" w:rsidP="00E71941">
      <w:pPr>
        <w:rPr>
          <w:lang w:val="en-AU" w:eastAsia="en-AU"/>
        </w:rPr>
      </w:pPr>
      <w:r w:rsidRPr="004360BF">
        <w:rPr>
          <w:lang w:val="en-AU" w:eastAsia="en-AU"/>
        </w:rPr>
        <w:t>To the extent possible, Power Networks has signalled</w:t>
      </w:r>
      <w:r w:rsidR="0008350E" w:rsidRPr="004360BF">
        <w:rPr>
          <w:lang w:val="en-AU" w:eastAsia="en-AU"/>
        </w:rPr>
        <w:t xml:space="preserve"> the </w:t>
      </w:r>
      <w:r w:rsidR="00142F06" w:rsidRPr="004360BF">
        <w:rPr>
          <w:lang w:val="en-AU" w:eastAsia="en-AU"/>
        </w:rPr>
        <w:t>LRMC</w:t>
      </w:r>
      <w:r w:rsidR="0008350E" w:rsidRPr="004360BF">
        <w:rPr>
          <w:lang w:val="en-AU" w:eastAsia="en-AU"/>
        </w:rPr>
        <w:t xml:space="preserve"> of supply through those tariff charging parameters </w:t>
      </w:r>
      <w:r w:rsidRPr="004360BF">
        <w:rPr>
          <w:lang w:val="en-AU" w:eastAsia="en-AU"/>
        </w:rPr>
        <w:t>having</w:t>
      </w:r>
      <w:r w:rsidR="0008350E" w:rsidRPr="004360BF">
        <w:rPr>
          <w:lang w:val="en-AU" w:eastAsia="en-AU"/>
        </w:rPr>
        <w:t xml:space="preserve"> the greatest price elasticity of demand</w:t>
      </w:r>
      <w:r w:rsidR="0058266E" w:rsidRPr="004360BF">
        <w:rPr>
          <w:lang w:val="en-AU" w:eastAsia="en-AU"/>
        </w:rPr>
        <w:t xml:space="preserve"> </w:t>
      </w:r>
      <w:r w:rsidR="00142F06" w:rsidRPr="004360BF">
        <w:rPr>
          <w:lang w:val="en-AU" w:eastAsia="en-AU"/>
        </w:rPr>
        <w:t>–</w:t>
      </w:r>
      <w:r w:rsidR="0008350E" w:rsidRPr="004360BF">
        <w:rPr>
          <w:lang w:val="en-AU" w:eastAsia="en-AU"/>
        </w:rPr>
        <w:t xml:space="preserve"> the variable charges that are based on the customer’s</w:t>
      </w:r>
      <w:r w:rsidR="00EE2BCA" w:rsidRPr="004360BF">
        <w:rPr>
          <w:lang w:val="en-AU" w:eastAsia="en-AU"/>
        </w:rPr>
        <w:t xml:space="preserve"> upper block energy usage,</w:t>
      </w:r>
      <w:r w:rsidR="0058266E" w:rsidRPr="004360BF">
        <w:rPr>
          <w:lang w:val="en-AU" w:eastAsia="en-AU"/>
        </w:rPr>
        <w:t xml:space="preserve"> peak period energy use</w:t>
      </w:r>
      <w:r w:rsidR="0008350E" w:rsidRPr="004360BF">
        <w:rPr>
          <w:lang w:val="en-AU" w:eastAsia="en-AU"/>
        </w:rPr>
        <w:t xml:space="preserve"> </w:t>
      </w:r>
      <w:r w:rsidR="0058266E" w:rsidRPr="004360BF">
        <w:rPr>
          <w:lang w:val="en-AU" w:eastAsia="en-AU"/>
        </w:rPr>
        <w:t>or</w:t>
      </w:r>
      <w:r w:rsidR="0008350E" w:rsidRPr="004360BF">
        <w:rPr>
          <w:lang w:val="en-AU" w:eastAsia="en-AU"/>
        </w:rPr>
        <w:t xml:space="preserve"> </w:t>
      </w:r>
      <w:r w:rsidR="007A442B" w:rsidRPr="004360BF">
        <w:rPr>
          <w:lang w:val="en-AU" w:eastAsia="en-AU"/>
        </w:rPr>
        <w:t>peak period demand.</w:t>
      </w:r>
    </w:p>
    <w:p w14:paraId="37993A0E" w14:textId="77777777" w:rsidR="008145B7" w:rsidRPr="004360BF" w:rsidRDefault="00DD0734" w:rsidP="00E71941">
      <w:pPr>
        <w:rPr>
          <w:lang w:val="en-AU" w:eastAsia="en-AU"/>
        </w:rPr>
      </w:pPr>
      <w:r w:rsidRPr="004360BF">
        <w:rPr>
          <w:lang w:val="en-AU" w:eastAsia="en-AU"/>
        </w:rPr>
        <w:t xml:space="preserve">The </w:t>
      </w:r>
      <w:r w:rsidR="00142F06" w:rsidRPr="004360BF">
        <w:rPr>
          <w:lang w:val="en-AU" w:eastAsia="en-AU"/>
        </w:rPr>
        <w:t xml:space="preserve">residual </w:t>
      </w:r>
      <w:r w:rsidRPr="004360BF">
        <w:rPr>
          <w:lang w:val="en-AU" w:eastAsia="en-AU"/>
        </w:rPr>
        <w:t>of network costs (</w:t>
      </w:r>
      <w:r w:rsidR="0008350E" w:rsidRPr="004360BF">
        <w:rPr>
          <w:lang w:val="en-AU" w:eastAsia="en-AU"/>
        </w:rPr>
        <w:t xml:space="preserve">the shortfall between </w:t>
      </w:r>
      <w:r w:rsidR="004747F8" w:rsidRPr="004360BF">
        <w:rPr>
          <w:lang w:val="en-AU" w:eastAsia="en-AU"/>
        </w:rPr>
        <w:t>revenue and</w:t>
      </w:r>
      <w:r w:rsidR="00BA2ADF" w:rsidRPr="004360BF">
        <w:rPr>
          <w:lang w:val="en-AU" w:eastAsia="en-AU"/>
        </w:rPr>
        <w:t xml:space="preserve"> long run</w:t>
      </w:r>
      <w:r w:rsidR="004747F8" w:rsidRPr="004360BF">
        <w:rPr>
          <w:lang w:val="en-AU" w:eastAsia="en-AU"/>
        </w:rPr>
        <w:t xml:space="preserve"> </w:t>
      </w:r>
      <w:r w:rsidR="0008350E" w:rsidRPr="004360BF">
        <w:rPr>
          <w:lang w:val="en-AU" w:eastAsia="en-AU"/>
        </w:rPr>
        <w:t>marginal cost</w:t>
      </w:r>
      <w:r w:rsidRPr="004360BF">
        <w:rPr>
          <w:lang w:val="en-AU" w:eastAsia="en-AU"/>
        </w:rPr>
        <w:t>)</w:t>
      </w:r>
      <w:r w:rsidR="0008350E" w:rsidRPr="004360BF">
        <w:rPr>
          <w:lang w:val="en-AU" w:eastAsia="en-AU"/>
        </w:rPr>
        <w:t xml:space="preserve"> </w:t>
      </w:r>
      <w:r w:rsidRPr="004360BF">
        <w:rPr>
          <w:lang w:val="en-AU" w:eastAsia="en-AU"/>
        </w:rPr>
        <w:t>are recovered from</w:t>
      </w:r>
      <w:r w:rsidR="0008350E" w:rsidRPr="004360BF">
        <w:rPr>
          <w:lang w:val="en-AU" w:eastAsia="en-AU"/>
        </w:rPr>
        <w:t xml:space="preserve"> those charging parameters with the lowest price elasticity of demand, namely the fixed charging parameter, subject to consideration of customer impact. This minimises the distortion of the </w:t>
      </w:r>
      <w:r w:rsidR="0058266E" w:rsidRPr="004360BF">
        <w:rPr>
          <w:lang w:val="en-AU" w:eastAsia="en-AU"/>
        </w:rPr>
        <w:t>pricing</w:t>
      </w:r>
      <w:r w:rsidR="0008350E" w:rsidRPr="004360BF">
        <w:rPr>
          <w:lang w:val="en-AU" w:eastAsia="en-AU"/>
        </w:rPr>
        <w:t xml:space="preserve"> signal and maximises </w:t>
      </w:r>
      <w:r w:rsidR="0008350E" w:rsidRPr="004360BF">
        <w:rPr>
          <w:lang w:val="en-AU" w:eastAsia="en-AU"/>
        </w:rPr>
        <w:lastRenderedPageBreak/>
        <w:t xml:space="preserve">the probability of efficiency gains </w:t>
      </w:r>
      <w:r w:rsidR="0058266E" w:rsidRPr="004360BF">
        <w:rPr>
          <w:lang w:val="en-AU" w:eastAsia="en-AU"/>
        </w:rPr>
        <w:t xml:space="preserve">being </w:t>
      </w:r>
      <w:r w:rsidR="0008350E" w:rsidRPr="004360BF">
        <w:rPr>
          <w:lang w:val="en-AU" w:eastAsia="en-AU"/>
        </w:rPr>
        <w:t>realised through customer behavioural response to efficient price signals.</w:t>
      </w:r>
    </w:p>
    <w:p w14:paraId="0C550631" w14:textId="77777777" w:rsidR="008D4D7D" w:rsidRPr="004360BF" w:rsidRDefault="008D4D7D" w:rsidP="00B30BF6">
      <w:pPr>
        <w:pStyle w:val="Heading1"/>
      </w:pPr>
      <w:bookmarkStart w:id="473" w:name="_Toc417291272"/>
      <w:bookmarkStart w:id="474" w:name="_Toc417291783"/>
      <w:bookmarkStart w:id="475" w:name="_Toc417292551"/>
      <w:bookmarkStart w:id="476" w:name="_Toc291262271"/>
      <w:bookmarkStart w:id="477" w:name="_Toc417458034"/>
      <w:bookmarkStart w:id="478" w:name="_Toc418608703"/>
      <w:r w:rsidRPr="004360BF">
        <w:t xml:space="preserve">Price </w:t>
      </w:r>
      <w:r w:rsidR="00D66923" w:rsidRPr="004360BF">
        <w:t>M</w:t>
      </w:r>
      <w:r w:rsidRPr="004360BF">
        <w:t>odelling</w:t>
      </w:r>
      <w:bookmarkEnd w:id="473"/>
      <w:bookmarkEnd w:id="474"/>
      <w:bookmarkEnd w:id="475"/>
      <w:bookmarkEnd w:id="476"/>
      <w:bookmarkEnd w:id="477"/>
      <w:bookmarkEnd w:id="478"/>
    </w:p>
    <w:p w14:paraId="34DB4B8F" w14:textId="3FFB1BC5" w:rsidR="00643C14" w:rsidRPr="004360BF" w:rsidRDefault="00643C14" w:rsidP="00E71941">
      <w:pPr>
        <w:rPr>
          <w:lang w:val="en-AU"/>
        </w:rPr>
      </w:pPr>
      <w:r w:rsidRPr="004360BF">
        <w:rPr>
          <w:lang w:val="en-AU"/>
        </w:rPr>
        <w:t>As per clause 16.5 of the RIN,</w:t>
      </w:r>
      <w:r w:rsidR="00DC0539" w:rsidRPr="004360BF">
        <w:rPr>
          <w:lang w:val="en-AU"/>
        </w:rPr>
        <w:t xml:space="preserve"> Power Networks’</w:t>
      </w:r>
      <w:r w:rsidRPr="004360BF">
        <w:rPr>
          <w:lang w:val="en-AU"/>
        </w:rPr>
        <w:t xml:space="preserve"> has provided it</w:t>
      </w:r>
      <w:r w:rsidR="00DC0539" w:rsidRPr="004360BF">
        <w:rPr>
          <w:lang w:val="en-AU"/>
        </w:rPr>
        <w:t>’</w:t>
      </w:r>
      <w:r w:rsidRPr="004360BF">
        <w:rPr>
          <w:lang w:val="en-AU"/>
        </w:rPr>
        <w:t>s Cost of Supply Model (201</w:t>
      </w:r>
      <w:r w:rsidR="00195256" w:rsidRPr="004360BF">
        <w:rPr>
          <w:lang w:val="en-AU"/>
        </w:rPr>
        <w:t>5</w:t>
      </w:r>
      <w:r w:rsidR="006B3299" w:rsidRPr="004360BF">
        <w:rPr>
          <w:lang w:val="en-AU"/>
        </w:rPr>
        <w:t>/</w:t>
      </w:r>
      <w:r w:rsidRPr="004360BF">
        <w:rPr>
          <w:lang w:val="en-AU"/>
        </w:rPr>
        <w:t>1</w:t>
      </w:r>
      <w:r w:rsidR="00195256" w:rsidRPr="004360BF">
        <w:rPr>
          <w:lang w:val="en-AU"/>
        </w:rPr>
        <w:t>6</w:t>
      </w:r>
      <w:r w:rsidRPr="004360BF">
        <w:rPr>
          <w:lang w:val="en-AU"/>
        </w:rPr>
        <w:t xml:space="preserve"> Pricing Proposal Model) to the Commission as </w:t>
      </w:r>
      <w:r w:rsidR="00BA4609" w:rsidRPr="004360BF">
        <w:rPr>
          <w:lang w:val="en-AU"/>
        </w:rPr>
        <w:t xml:space="preserve">Confidential </w:t>
      </w:r>
      <w:r w:rsidRPr="004360BF">
        <w:rPr>
          <w:lang w:val="en-AU"/>
        </w:rPr>
        <w:t xml:space="preserve">Attachment </w:t>
      </w:r>
      <w:r w:rsidR="00BF3427" w:rsidRPr="004360BF">
        <w:rPr>
          <w:lang w:val="en-AU"/>
        </w:rPr>
        <w:t>6</w:t>
      </w:r>
      <w:r w:rsidRPr="004360BF">
        <w:rPr>
          <w:lang w:val="en-AU"/>
        </w:rPr>
        <w:t xml:space="preserve"> to this Proposal. This is a commercial-in-confidence attachment as the model contains information on individual customers</w:t>
      </w:r>
      <w:r w:rsidR="008F656A" w:rsidRPr="004360BF">
        <w:rPr>
          <w:lang w:val="en-AU"/>
        </w:rPr>
        <w:t>.</w:t>
      </w:r>
    </w:p>
    <w:p w14:paraId="5BEE8AE8" w14:textId="77777777" w:rsidR="00643C14" w:rsidRPr="004360BF" w:rsidRDefault="00643C14" w:rsidP="00E71941">
      <w:pPr>
        <w:rPr>
          <w:lang w:val="en-AU"/>
        </w:rPr>
      </w:pPr>
      <w:r w:rsidRPr="004360BF">
        <w:rPr>
          <w:lang w:val="en-AU"/>
        </w:rPr>
        <w:t>The purpose of the Cost of Supply Model is to enable the comparison of proposed tariffs with the cost reflective outcome. It enables the changes in individual tariffs and their charging parameters to be managed so as to improve their overall cost reflectivity, whilst also ensuring compli</w:t>
      </w:r>
      <w:r w:rsidR="007453C0" w:rsidRPr="004360BF">
        <w:rPr>
          <w:lang w:val="en-AU"/>
        </w:rPr>
        <w:t>ance</w:t>
      </w:r>
      <w:r w:rsidRPr="004360BF">
        <w:rPr>
          <w:lang w:val="en-AU"/>
        </w:rPr>
        <w:t xml:space="preserve"> with the requirements of the Commission’s 2014 NPD Final Determination.  </w:t>
      </w:r>
    </w:p>
    <w:p w14:paraId="51764376" w14:textId="6FB58603" w:rsidR="00F44015" w:rsidRPr="004360BF" w:rsidRDefault="00643C14" w:rsidP="008D4D7D">
      <w:pPr>
        <w:rPr>
          <w:lang w:val="en-AU"/>
        </w:rPr>
      </w:pPr>
      <w:r w:rsidRPr="004360BF">
        <w:rPr>
          <w:lang w:val="en-AU"/>
        </w:rPr>
        <w:t>The model does this by calculating the cost of supplying customers in 201</w:t>
      </w:r>
      <w:r w:rsidR="00195256" w:rsidRPr="004360BF">
        <w:rPr>
          <w:lang w:val="en-AU"/>
        </w:rPr>
        <w:t>5</w:t>
      </w:r>
      <w:r w:rsidRPr="004360BF">
        <w:rPr>
          <w:lang w:val="en-AU"/>
        </w:rPr>
        <w:t>/1</w:t>
      </w:r>
      <w:r w:rsidR="00195256" w:rsidRPr="004360BF">
        <w:rPr>
          <w:lang w:val="en-AU"/>
        </w:rPr>
        <w:t>6</w:t>
      </w:r>
      <w:r w:rsidRPr="004360BF">
        <w:rPr>
          <w:lang w:val="en-AU"/>
        </w:rPr>
        <w:t>.  It compares this with the revenue proposed to be obtained through tariffs at the individual large customer, tariff and tariff class level. The cost of supply is an allocation of the network cost to each tariff on the basis of its cost impact on the network.  The network costs are apportioned into cost pools and then allocated to the tariffs that use those pools.</w:t>
      </w:r>
    </w:p>
    <w:p w14:paraId="4106E8B3" w14:textId="77777777" w:rsidR="00DB4B69" w:rsidRPr="004360BF" w:rsidRDefault="00DB4B69" w:rsidP="00117057">
      <w:pPr>
        <w:pStyle w:val="Heading1"/>
        <w:pageBreakBefore/>
        <w:numPr>
          <w:ilvl w:val="0"/>
          <w:numId w:val="0"/>
        </w:numPr>
      </w:pPr>
      <w:bookmarkStart w:id="479" w:name="_Ref260820514"/>
      <w:bookmarkStart w:id="480" w:name="_Toc417291273"/>
      <w:bookmarkStart w:id="481" w:name="_Toc417291784"/>
      <w:bookmarkStart w:id="482" w:name="_Toc417292552"/>
      <w:bookmarkStart w:id="483" w:name="_Toc291262272"/>
      <w:bookmarkStart w:id="484" w:name="_Toc417458035"/>
      <w:bookmarkStart w:id="485" w:name="_Toc418608704"/>
      <w:bookmarkEnd w:id="11"/>
      <w:r w:rsidRPr="004360BF">
        <w:lastRenderedPageBreak/>
        <w:t>Part C:</w:t>
      </w:r>
      <w:r w:rsidR="00CC6CF8" w:rsidRPr="004360BF">
        <w:t xml:space="preserve"> </w:t>
      </w:r>
      <w:r w:rsidRPr="004360BF">
        <w:t>Attachments</w:t>
      </w:r>
      <w:bookmarkEnd w:id="479"/>
      <w:bookmarkEnd w:id="480"/>
      <w:bookmarkEnd w:id="481"/>
      <w:bookmarkEnd w:id="482"/>
      <w:bookmarkEnd w:id="483"/>
      <w:bookmarkEnd w:id="484"/>
      <w:bookmarkEnd w:id="485"/>
    </w:p>
    <w:p w14:paraId="4119E4E8" w14:textId="77777777" w:rsidR="00BE20F7" w:rsidRPr="004360BF" w:rsidRDefault="00BE20F7" w:rsidP="00B30BF6">
      <w:pPr>
        <w:pStyle w:val="Heading1"/>
        <w:numPr>
          <w:ilvl w:val="0"/>
          <w:numId w:val="0"/>
        </w:numPr>
      </w:pPr>
      <w:bookmarkStart w:id="486" w:name="_Toc417291274"/>
      <w:bookmarkStart w:id="487" w:name="_Toc417291785"/>
      <w:bookmarkStart w:id="488" w:name="_Toc417292553"/>
      <w:bookmarkStart w:id="489" w:name="_Toc291262273"/>
      <w:bookmarkStart w:id="490" w:name="_Toc417458036"/>
      <w:bookmarkStart w:id="491" w:name="_Toc418608705"/>
      <w:r w:rsidRPr="004360BF">
        <w:t>Attachment 1 – Network Service Classification</w:t>
      </w:r>
      <w:bookmarkEnd w:id="486"/>
      <w:bookmarkEnd w:id="487"/>
      <w:bookmarkEnd w:id="488"/>
      <w:bookmarkEnd w:id="489"/>
      <w:bookmarkEnd w:id="490"/>
      <w:bookmarkEnd w:id="491"/>
      <w:r w:rsidRPr="004360BF">
        <w:t xml:space="preserve"> </w:t>
      </w:r>
    </w:p>
    <w:p w14:paraId="196F75DF" w14:textId="77777777" w:rsidR="00BE20F7" w:rsidRPr="004360BF" w:rsidRDefault="00BE20F7" w:rsidP="00BE20F7">
      <w:pPr>
        <w:pStyle w:val="Caption"/>
        <w:rPr>
          <w:sz w:val="22"/>
          <w:u w:val="single"/>
          <w:lang w:val="en-AU"/>
        </w:rPr>
      </w:pPr>
      <w:r w:rsidRPr="004360BF">
        <w:rPr>
          <w:sz w:val="22"/>
          <w:u w:val="single"/>
          <w:lang w:val="en-AU"/>
        </w:rPr>
        <w:t>Regulated network access services</w:t>
      </w:r>
    </w:p>
    <w:tbl>
      <w:tblPr>
        <w:tblW w:w="9214"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835"/>
        <w:gridCol w:w="6379"/>
      </w:tblGrid>
      <w:tr w:rsidR="00BE20F7" w:rsidRPr="004360BF" w14:paraId="0EF75859" w14:textId="77777777" w:rsidTr="00750C6D">
        <w:trPr>
          <w:trHeight w:val="357"/>
          <w:tblHeader/>
        </w:trPr>
        <w:tc>
          <w:tcPr>
            <w:tcW w:w="2835" w:type="dxa"/>
            <w:shd w:val="solid" w:color="C6D9F1" w:themeColor="text2" w:themeTint="33" w:fill="auto"/>
            <w:tcMar>
              <w:top w:w="0" w:type="dxa"/>
              <w:left w:w="57" w:type="dxa"/>
              <w:bottom w:w="28" w:type="dxa"/>
              <w:right w:w="57" w:type="dxa"/>
            </w:tcMar>
          </w:tcPr>
          <w:p w14:paraId="64099A77" w14:textId="77777777" w:rsidR="00BE20F7" w:rsidRPr="004360BF" w:rsidRDefault="00BE20F7" w:rsidP="00E71941">
            <w:pPr>
              <w:spacing w:before="40" w:after="40" w:line="280" w:lineRule="exact"/>
              <w:rPr>
                <w:rFonts w:cs="Tahoma"/>
                <w:b/>
                <w:sz w:val="22"/>
                <w:szCs w:val="22"/>
                <w:lang w:val="en-AU"/>
              </w:rPr>
            </w:pPr>
            <w:r w:rsidRPr="004360BF">
              <w:rPr>
                <w:rFonts w:cs="Tahoma"/>
                <w:b/>
                <w:sz w:val="22"/>
                <w:szCs w:val="22"/>
                <w:lang w:val="en-AU"/>
              </w:rPr>
              <w:t>Service group</w:t>
            </w:r>
          </w:p>
        </w:tc>
        <w:tc>
          <w:tcPr>
            <w:tcW w:w="6379" w:type="dxa"/>
            <w:shd w:val="solid" w:color="C6D9F1" w:themeColor="text2" w:themeTint="33" w:fill="auto"/>
            <w:tcMar>
              <w:top w:w="0" w:type="dxa"/>
              <w:left w:w="57" w:type="dxa"/>
              <w:bottom w:w="28" w:type="dxa"/>
              <w:right w:w="57" w:type="dxa"/>
            </w:tcMar>
          </w:tcPr>
          <w:p w14:paraId="5F77B8BF" w14:textId="77777777" w:rsidR="00BE20F7" w:rsidRPr="004360BF" w:rsidRDefault="00BE20F7" w:rsidP="00E71941">
            <w:pPr>
              <w:spacing w:before="40" w:after="40" w:line="280" w:lineRule="exact"/>
              <w:rPr>
                <w:rFonts w:cs="Tahoma"/>
                <w:b/>
                <w:sz w:val="22"/>
                <w:szCs w:val="22"/>
                <w:lang w:val="en-AU"/>
              </w:rPr>
            </w:pPr>
            <w:r w:rsidRPr="004360BF">
              <w:rPr>
                <w:rFonts w:cs="Tahoma"/>
                <w:b/>
                <w:sz w:val="22"/>
                <w:szCs w:val="22"/>
                <w:lang w:val="en-AU"/>
              </w:rPr>
              <w:t>Activities description</w:t>
            </w:r>
          </w:p>
        </w:tc>
      </w:tr>
      <w:tr w:rsidR="00BE20F7" w:rsidRPr="004360BF" w14:paraId="51C110B2" w14:textId="77777777" w:rsidTr="00750C6D">
        <w:trPr>
          <w:trHeight w:val="357"/>
        </w:trPr>
        <w:tc>
          <w:tcPr>
            <w:tcW w:w="2835" w:type="dxa"/>
            <w:tcMar>
              <w:top w:w="0" w:type="dxa"/>
              <w:left w:w="57" w:type="dxa"/>
              <w:bottom w:w="28" w:type="dxa"/>
              <w:right w:w="57" w:type="dxa"/>
            </w:tcMar>
          </w:tcPr>
          <w:p w14:paraId="42050375"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Network service (mandated standard)</w:t>
            </w:r>
          </w:p>
        </w:tc>
        <w:tc>
          <w:tcPr>
            <w:tcW w:w="6379" w:type="dxa"/>
            <w:tcMar>
              <w:top w:w="0" w:type="dxa"/>
              <w:left w:w="57" w:type="dxa"/>
              <w:bottom w:w="28" w:type="dxa"/>
              <w:right w:w="57" w:type="dxa"/>
            </w:tcMar>
          </w:tcPr>
          <w:p w14:paraId="55627106"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Network services include:</w:t>
            </w:r>
          </w:p>
          <w:p w14:paraId="3C96E4FF" w14:textId="77777777" w:rsidR="00BE20F7" w:rsidRPr="004360BF" w:rsidRDefault="00BE20F7" w:rsidP="00E71941">
            <w:pPr>
              <w:numPr>
                <w:ilvl w:val="0"/>
                <w:numId w:val="14"/>
              </w:numPr>
              <w:spacing w:before="40" w:after="40" w:line="280" w:lineRule="exact"/>
              <w:rPr>
                <w:rFonts w:cs="Tahoma"/>
                <w:sz w:val="22"/>
                <w:szCs w:val="22"/>
                <w:lang w:val="en-AU"/>
              </w:rPr>
            </w:pPr>
            <w:r w:rsidRPr="004360BF">
              <w:rPr>
                <w:rFonts w:cs="Tahoma"/>
                <w:sz w:val="22"/>
                <w:szCs w:val="22"/>
                <w:lang w:val="en-AU"/>
              </w:rPr>
              <w:t>planning, designing and constructing the electricity network;</w:t>
            </w:r>
          </w:p>
          <w:p w14:paraId="03DBE11C" w14:textId="77777777" w:rsidR="00BE20F7" w:rsidRPr="004360BF" w:rsidRDefault="00BE20F7" w:rsidP="00E71941">
            <w:pPr>
              <w:numPr>
                <w:ilvl w:val="0"/>
                <w:numId w:val="14"/>
              </w:numPr>
              <w:spacing w:before="40" w:after="40" w:line="280" w:lineRule="exact"/>
              <w:rPr>
                <w:rFonts w:cs="Tahoma"/>
                <w:sz w:val="22"/>
                <w:szCs w:val="22"/>
                <w:lang w:val="en-AU"/>
              </w:rPr>
            </w:pPr>
            <w:r w:rsidRPr="004360BF">
              <w:rPr>
                <w:rFonts w:cs="Tahoma"/>
                <w:sz w:val="22"/>
                <w:szCs w:val="22"/>
                <w:lang w:val="en-AU"/>
              </w:rPr>
              <w:t>maintaining and operating the electricity network; and</w:t>
            </w:r>
          </w:p>
          <w:p w14:paraId="255793D0" w14:textId="77777777" w:rsidR="00BE20F7" w:rsidRPr="004360BF" w:rsidRDefault="00BE20F7" w:rsidP="00E71941">
            <w:pPr>
              <w:numPr>
                <w:ilvl w:val="0"/>
                <w:numId w:val="14"/>
              </w:numPr>
              <w:spacing w:before="40" w:after="40" w:line="280" w:lineRule="exact"/>
              <w:rPr>
                <w:rFonts w:cs="Tahoma"/>
                <w:sz w:val="22"/>
                <w:szCs w:val="22"/>
                <w:lang w:val="en-AU"/>
              </w:rPr>
            </w:pPr>
            <w:r w:rsidRPr="004360BF">
              <w:rPr>
                <w:rFonts w:cs="Tahoma"/>
                <w:sz w:val="22"/>
                <w:szCs w:val="22"/>
                <w:lang w:val="en-AU"/>
              </w:rPr>
              <w:t>emergency response and administrative support;</w:t>
            </w:r>
          </w:p>
          <w:p w14:paraId="2BCE6596" w14:textId="77777777" w:rsidR="00BE20F7" w:rsidRPr="004360BF" w:rsidRDefault="00BE20F7" w:rsidP="00E71941">
            <w:pPr>
              <w:spacing w:before="40" w:after="40" w:line="280" w:lineRule="exact"/>
              <w:rPr>
                <w:rFonts w:cs="Tahoma"/>
                <w:sz w:val="22"/>
                <w:szCs w:val="22"/>
                <w:lang w:val="en-AU"/>
              </w:rPr>
            </w:pPr>
            <w:proofErr w:type="gramStart"/>
            <w:r w:rsidRPr="004360BF">
              <w:rPr>
                <w:rFonts w:cs="Tahoma"/>
                <w:sz w:val="22"/>
                <w:szCs w:val="22"/>
                <w:lang w:val="en-AU"/>
              </w:rPr>
              <w:t>to</w:t>
            </w:r>
            <w:proofErr w:type="gramEnd"/>
            <w:r w:rsidRPr="004360BF">
              <w:rPr>
                <w:rFonts w:cs="Tahoma"/>
                <w:sz w:val="22"/>
                <w:szCs w:val="22"/>
                <w:lang w:val="en-AU"/>
              </w:rPr>
              <w:t xml:space="preserve"> the standards provided for in the Network Technical Code, and in accordance with good electricity industry practice.</w:t>
            </w:r>
          </w:p>
          <w:p w14:paraId="281BE8DC"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 xml:space="preserve">Network Services are services provided using the shared electricity network, to all users connected to the electricity network. They do not include Connection Services which make use of assets dedicated to the supply of a single network user. </w:t>
            </w:r>
          </w:p>
        </w:tc>
      </w:tr>
      <w:tr w:rsidR="00BE20F7" w:rsidRPr="004360BF" w14:paraId="1BBA2BE0" w14:textId="77777777" w:rsidTr="00750C6D">
        <w:trPr>
          <w:trHeight w:val="357"/>
        </w:trPr>
        <w:tc>
          <w:tcPr>
            <w:tcW w:w="2835" w:type="dxa"/>
            <w:tcMar>
              <w:top w:w="0" w:type="dxa"/>
              <w:left w:w="57" w:type="dxa"/>
              <w:bottom w:w="28" w:type="dxa"/>
              <w:right w:w="57" w:type="dxa"/>
            </w:tcMar>
          </w:tcPr>
          <w:p w14:paraId="76AA4F28"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 xml:space="preserve">Unmetered supply (energy delivery) service </w:t>
            </w:r>
          </w:p>
        </w:tc>
        <w:tc>
          <w:tcPr>
            <w:tcW w:w="6379" w:type="dxa"/>
            <w:tcMar>
              <w:top w:w="0" w:type="dxa"/>
              <w:left w:w="57" w:type="dxa"/>
              <w:bottom w:w="28" w:type="dxa"/>
              <w:right w:w="57" w:type="dxa"/>
            </w:tcMar>
          </w:tcPr>
          <w:p w14:paraId="7EABB135"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Network services (energy delivery) provided to unmetered supplies such as street lights, traffic lights, advertising signs, CCTV cameras and similar applications where energy consumption may reasonably be estimated and it is not economic or practical to install, maintain and read a meter.</w:t>
            </w:r>
          </w:p>
        </w:tc>
      </w:tr>
      <w:tr w:rsidR="00BE20F7" w:rsidRPr="004360BF" w14:paraId="3C5CFB92" w14:textId="77777777" w:rsidTr="00750C6D">
        <w:trPr>
          <w:trHeight w:val="357"/>
        </w:trPr>
        <w:tc>
          <w:tcPr>
            <w:tcW w:w="2835" w:type="dxa"/>
            <w:tcMar>
              <w:top w:w="0" w:type="dxa"/>
              <w:left w:w="57" w:type="dxa"/>
              <w:bottom w:w="28" w:type="dxa"/>
              <w:right w:w="57" w:type="dxa"/>
            </w:tcMar>
          </w:tcPr>
          <w:p w14:paraId="50320053"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Connection services (mandated standard)</w:t>
            </w:r>
          </w:p>
        </w:tc>
        <w:tc>
          <w:tcPr>
            <w:tcW w:w="6379" w:type="dxa"/>
            <w:tcMar>
              <w:top w:w="0" w:type="dxa"/>
              <w:left w:w="57" w:type="dxa"/>
              <w:bottom w:w="28" w:type="dxa"/>
              <w:right w:w="57" w:type="dxa"/>
            </w:tcMar>
          </w:tcPr>
          <w:p w14:paraId="294342BA"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Connection services include:</w:t>
            </w:r>
          </w:p>
          <w:p w14:paraId="1463937E" w14:textId="77777777" w:rsidR="00BE20F7" w:rsidRPr="004360BF" w:rsidRDefault="00BE20F7" w:rsidP="00E71941">
            <w:pPr>
              <w:numPr>
                <w:ilvl w:val="0"/>
                <w:numId w:val="15"/>
              </w:numPr>
              <w:spacing w:before="40" w:after="40" w:line="280" w:lineRule="exact"/>
              <w:rPr>
                <w:rFonts w:cs="Tahoma"/>
                <w:sz w:val="22"/>
                <w:szCs w:val="22"/>
                <w:lang w:val="en-AU"/>
              </w:rPr>
            </w:pPr>
            <w:r w:rsidRPr="004360BF">
              <w:rPr>
                <w:rFonts w:cs="Tahoma"/>
                <w:sz w:val="22"/>
                <w:szCs w:val="22"/>
                <w:lang w:val="en-AU"/>
              </w:rPr>
              <w:t>commissioning of connection assets;</w:t>
            </w:r>
          </w:p>
          <w:p w14:paraId="4B1E0BE9" w14:textId="77777777" w:rsidR="00BE20F7" w:rsidRPr="004360BF" w:rsidRDefault="00BE20F7" w:rsidP="00E71941">
            <w:pPr>
              <w:numPr>
                <w:ilvl w:val="0"/>
                <w:numId w:val="15"/>
              </w:numPr>
              <w:spacing w:before="40" w:after="40" w:line="280" w:lineRule="exact"/>
              <w:rPr>
                <w:rFonts w:cs="Tahoma"/>
                <w:sz w:val="22"/>
                <w:szCs w:val="22"/>
                <w:lang w:val="en-AU"/>
              </w:rPr>
            </w:pPr>
            <w:r w:rsidRPr="004360BF">
              <w:rPr>
                <w:rFonts w:cs="Tahoma"/>
                <w:sz w:val="22"/>
                <w:szCs w:val="22"/>
                <w:lang w:val="en-AU"/>
              </w:rPr>
              <w:t>service connection;</w:t>
            </w:r>
          </w:p>
          <w:p w14:paraId="5ABBB9E4" w14:textId="77777777" w:rsidR="00BE20F7" w:rsidRPr="004360BF" w:rsidRDefault="00BE20F7" w:rsidP="00E71941">
            <w:pPr>
              <w:numPr>
                <w:ilvl w:val="0"/>
                <w:numId w:val="15"/>
              </w:numPr>
              <w:spacing w:before="40" w:after="40" w:line="280" w:lineRule="exact"/>
              <w:rPr>
                <w:rFonts w:cs="Tahoma"/>
                <w:sz w:val="22"/>
                <w:szCs w:val="22"/>
                <w:lang w:val="en-AU"/>
              </w:rPr>
            </w:pPr>
            <w:r w:rsidRPr="004360BF">
              <w:rPr>
                <w:rFonts w:cs="Tahoma"/>
                <w:sz w:val="22"/>
                <w:szCs w:val="22"/>
                <w:lang w:val="en-AU"/>
              </w:rPr>
              <w:t>installation inspection; and</w:t>
            </w:r>
          </w:p>
          <w:p w14:paraId="6ED74E45" w14:textId="77777777" w:rsidR="00BE20F7" w:rsidRPr="004360BF" w:rsidRDefault="00BE20F7" w:rsidP="00E71941">
            <w:pPr>
              <w:numPr>
                <w:ilvl w:val="0"/>
                <w:numId w:val="15"/>
              </w:numPr>
              <w:spacing w:before="40" w:after="40" w:line="280" w:lineRule="exact"/>
              <w:rPr>
                <w:rFonts w:cs="Tahoma"/>
                <w:sz w:val="22"/>
                <w:szCs w:val="22"/>
                <w:lang w:val="en-AU"/>
              </w:rPr>
            </w:pPr>
            <w:r w:rsidRPr="004360BF">
              <w:rPr>
                <w:rFonts w:cs="Tahoma"/>
                <w:sz w:val="22"/>
                <w:szCs w:val="22"/>
                <w:lang w:val="en-AU"/>
              </w:rPr>
              <w:t>operating and maintaining connection assets,</w:t>
            </w:r>
          </w:p>
          <w:p w14:paraId="54E2A33A" w14:textId="77777777" w:rsidR="00BE20F7" w:rsidRPr="004360BF" w:rsidRDefault="00BE20F7" w:rsidP="00E71941">
            <w:pPr>
              <w:spacing w:before="40" w:after="40" w:line="280" w:lineRule="exact"/>
              <w:rPr>
                <w:rFonts w:cs="Tahoma"/>
                <w:sz w:val="22"/>
                <w:szCs w:val="22"/>
                <w:lang w:val="en-AU"/>
              </w:rPr>
            </w:pPr>
            <w:proofErr w:type="gramStart"/>
            <w:r w:rsidRPr="004360BF">
              <w:rPr>
                <w:rFonts w:cs="Tahoma"/>
                <w:sz w:val="22"/>
                <w:szCs w:val="22"/>
                <w:lang w:val="en-AU"/>
              </w:rPr>
              <w:t>to</w:t>
            </w:r>
            <w:proofErr w:type="gramEnd"/>
            <w:r w:rsidRPr="004360BF">
              <w:rPr>
                <w:rFonts w:cs="Tahoma"/>
                <w:sz w:val="22"/>
                <w:szCs w:val="22"/>
                <w:lang w:val="en-AU"/>
              </w:rPr>
              <w:t xml:space="preserve"> the standard provided for in the Network Technical Code, and in accordance with good electricity industry practice.</w:t>
            </w:r>
          </w:p>
          <w:p w14:paraId="159CD325"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Connection Services are provided at the request of a network user and are dedicated to the individual network user. Connection assets include all of the dedicated electrical equipment that is used to transfer electricity to (entry) or from (exit) the shared electricity network at the connection point.</w:t>
            </w:r>
          </w:p>
        </w:tc>
      </w:tr>
      <w:tr w:rsidR="00BE20F7" w:rsidRPr="004360BF" w14:paraId="11156042" w14:textId="77777777" w:rsidTr="00750C6D">
        <w:trPr>
          <w:trHeight w:val="357"/>
        </w:trPr>
        <w:tc>
          <w:tcPr>
            <w:tcW w:w="2835" w:type="dxa"/>
            <w:tcMar>
              <w:top w:w="0" w:type="dxa"/>
              <w:left w:w="57" w:type="dxa"/>
              <w:bottom w:w="28" w:type="dxa"/>
              <w:right w:w="57" w:type="dxa"/>
            </w:tcMar>
          </w:tcPr>
          <w:p w14:paraId="562BF4AB" w14:textId="77777777" w:rsidR="00BE20F7" w:rsidRPr="004360BF" w:rsidRDefault="00BE20F7" w:rsidP="00E71941">
            <w:pPr>
              <w:keepNext/>
              <w:spacing w:before="40" w:after="40" w:line="280" w:lineRule="exact"/>
              <w:outlineLvl w:val="2"/>
              <w:rPr>
                <w:rFonts w:cs="Tahoma"/>
                <w:sz w:val="22"/>
                <w:szCs w:val="22"/>
                <w:lang w:val="en-AU"/>
              </w:rPr>
            </w:pPr>
            <w:bookmarkStart w:id="492" w:name="_Toc417291786"/>
            <w:bookmarkStart w:id="493" w:name="_Toc417292554"/>
            <w:r w:rsidRPr="004360BF">
              <w:rPr>
                <w:rFonts w:cs="Tahoma"/>
                <w:sz w:val="22"/>
                <w:szCs w:val="22"/>
                <w:lang w:val="en-AU"/>
              </w:rPr>
              <w:lastRenderedPageBreak/>
              <w:t>Metering services (mandated standard)</w:t>
            </w:r>
            <w:bookmarkEnd w:id="492"/>
            <w:bookmarkEnd w:id="493"/>
          </w:p>
        </w:tc>
        <w:tc>
          <w:tcPr>
            <w:tcW w:w="6379" w:type="dxa"/>
            <w:tcMar>
              <w:top w:w="0" w:type="dxa"/>
              <w:left w:w="57" w:type="dxa"/>
              <w:bottom w:w="28" w:type="dxa"/>
              <w:right w:w="57" w:type="dxa"/>
            </w:tcMar>
          </w:tcPr>
          <w:p w14:paraId="6F561BC9" w14:textId="77777777" w:rsidR="00BE20F7" w:rsidRPr="004360BF" w:rsidRDefault="00BE20F7" w:rsidP="00E71941">
            <w:pPr>
              <w:keepNext/>
              <w:spacing w:before="40" w:after="40" w:line="280" w:lineRule="exact"/>
              <w:outlineLvl w:val="2"/>
              <w:rPr>
                <w:rFonts w:cs="Tahoma"/>
                <w:sz w:val="22"/>
                <w:szCs w:val="22"/>
                <w:lang w:val="en-AU"/>
              </w:rPr>
            </w:pPr>
            <w:bookmarkStart w:id="494" w:name="_Toc417291787"/>
            <w:bookmarkStart w:id="495" w:name="_Toc417292555"/>
            <w:r w:rsidRPr="004360BF">
              <w:rPr>
                <w:rFonts w:cs="Tahoma"/>
                <w:sz w:val="22"/>
                <w:szCs w:val="22"/>
                <w:lang w:val="en-AU"/>
              </w:rPr>
              <w:t>Metering services, including meter data services, provide the means by which the electricity that is transferred to or from a network user is measured at a connection point.</w:t>
            </w:r>
            <w:bookmarkEnd w:id="494"/>
            <w:bookmarkEnd w:id="495"/>
          </w:p>
          <w:p w14:paraId="5574DBCA"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Metering services include, but are not necessarily limited to:</w:t>
            </w:r>
          </w:p>
          <w:p w14:paraId="7F20B244" w14:textId="77777777" w:rsidR="00BE20F7" w:rsidRPr="004360BF" w:rsidRDefault="00BE20F7" w:rsidP="00E71941">
            <w:pPr>
              <w:numPr>
                <w:ilvl w:val="0"/>
                <w:numId w:val="16"/>
              </w:numPr>
              <w:spacing w:before="40" w:after="40" w:line="280" w:lineRule="exact"/>
              <w:rPr>
                <w:rFonts w:cs="Tahoma"/>
                <w:sz w:val="22"/>
                <w:szCs w:val="22"/>
                <w:lang w:val="en-AU"/>
              </w:rPr>
            </w:pPr>
            <w:r w:rsidRPr="004360BF">
              <w:rPr>
                <w:rFonts w:cs="Tahoma"/>
                <w:sz w:val="22"/>
                <w:szCs w:val="22"/>
                <w:lang w:val="en-AU"/>
              </w:rPr>
              <w:t>provision, installation and commissioning of metering assets; and</w:t>
            </w:r>
          </w:p>
          <w:p w14:paraId="2463CB66" w14:textId="77777777" w:rsidR="00BE20F7" w:rsidRPr="004360BF" w:rsidRDefault="00BE20F7" w:rsidP="00E71941">
            <w:pPr>
              <w:numPr>
                <w:ilvl w:val="0"/>
                <w:numId w:val="16"/>
              </w:numPr>
              <w:spacing w:before="40" w:after="40" w:line="280" w:lineRule="exact"/>
              <w:rPr>
                <w:rFonts w:cs="Tahoma"/>
                <w:sz w:val="22"/>
                <w:szCs w:val="22"/>
                <w:lang w:val="en-AU"/>
              </w:rPr>
            </w:pPr>
            <w:r w:rsidRPr="004360BF">
              <w:rPr>
                <w:rFonts w:cs="Tahoma"/>
                <w:sz w:val="22"/>
                <w:szCs w:val="22"/>
                <w:lang w:val="en-AU"/>
              </w:rPr>
              <w:t>periodic accuracy testing, maintenance and replacement of metering assets,</w:t>
            </w:r>
          </w:p>
          <w:p w14:paraId="237EC2BA" w14:textId="77777777" w:rsidR="00BE20F7" w:rsidRPr="004360BF" w:rsidRDefault="00BE20F7" w:rsidP="00E71941">
            <w:pPr>
              <w:spacing w:before="40" w:after="40" w:line="280" w:lineRule="exact"/>
              <w:rPr>
                <w:rFonts w:cs="Tahoma"/>
                <w:sz w:val="22"/>
                <w:szCs w:val="22"/>
                <w:lang w:val="en-AU"/>
              </w:rPr>
            </w:pPr>
            <w:proofErr w:type="gramStart"/>
            <w:r w:rsidRPr="004360BF">
              <w:rPr>
                <w:rFonts w:cs="Tahoma"/>
                <w:sz w:val="22"/>
                <w:szCs w:val="22"/>
                <w:lang w:val="en-AU"/>
              </w:rPr>
              <w:t>to</w:t>
            </w:r>
            <w:proofErr w:type="gramEnd"/>
            <w:r w:rsidRPr="004360BF">
              <w:rPr>
                <w:rFonts w:cs="Tahoma"/>
                <w:sz w:val="22"/>
                <w:szCs w:val="22"/>
                <w:lang w:val="en-AU"/>
              </w:rPr>
              <w:t xml:space="preserve"> meet legislated accuracy requirements and conform to good electricity industry practice.</w:t>
            </w:r>
          </w:p>
          <w:p w14:paraId="510115A9"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Meter data services include by are not necessarily limited to:</w:t>
            </w:r>
          </w:p>
          <w:p w14:paraId="31A8E829" w14:textId="77777777" w:rsidR="00BE20F7" w:rsidRPr="004360BF" w:rsidRDefault="00BE20F7" w:rsidP="00E71941">
            <w:pPr>
              <w:numPr>
                <w:ilvl w:val="0"/>
                <w:numId w:val="17"/>
              </w:numPr>
              <w:spacing w:before="40" w:after="40" w:line="280" w:lineRule="exact"/>
              <w:rPr>
                <w:rFonts w:cs="Tahoma"/>
                <w:sz w:val="22"/>
                <w:szCs w:val="22"/>
                <w:lang w:val="en-AU"/>
              </w:rPr>
            </w:pPr>
            <w:r w:rsidRPr="004360BF">
              <w:rPr>
                <w:rFonts w:cs="Tahoma"/>
                <w:sz w:val="22"/>
                <w:szCs w:val="22"/>
                <w:lang w:val="en-AU"/>
              </w:rPr>
              <w:t xml:space="preserve">meter reading, either locally or remotely; </w:t>
            </w:r>
          </w:p>
          <w:p w14:paraId="37DF38B9" w14:textId="77777777" w:rsidR="00BE20F7" w:rsidRPr="004360BF" w:rsidRDefault="00BE20F7" w:rsidP="00E71941">
            <w:pPr>
              <w:numPr>
                <w:ilvl w:val="0"/>
                <w:numId w:val="17"/>
              </w:numPr>
              <w:spacing w:before="40" w:after="40" w:line="280" w:lineRule="exact"/>
              <w:rPr>
                <w:rFonts w:cs="Tahoma"/>
                <w:sz w:val="22"/>
                <w:szCs w:val="22"/>
                <w:lang w:val="en-AU"/>
              </w:rPr>
            </w:pPr>
            <w:r w:rsidRPr="004360BF">
              <w:rPr>
                <w:rFonts w:cs="Tahoma"/>
                <w:sz w:val="22"/>
                <w:szCs w:val="22"/>
                <w:lang w:val="en-AU"/>
              </w:rPr>
              <w:t xml:space="preserve">collection, storage and management of metering data; and </w:t>
            </w:r>
          </w:p>
          <w:p w14:paraId="098FE428" w14:textId="77777777" w:rsidR="00BE20F7" w:rsidRPr="004360BF" w:rsidRDefault="00BE20F7" w:rsidP="00E71941">
            <w:pPr>
              <w:numPr>
                <w:ilvl w:val="0"/>
                <w:numId w:val="17"/>
              </w:numPr>
              <w:spacing w:before="40" w:after="40" w:line="280" w:lineRule="exact"/>
              <w:rPr>
                <w:rFonts w:cs="Tahoma"/>
                <w:sz w:val="22"/>
                <w:szCs w:val="22"/>
                <w:lang w:val="en-AU"/>
              </w:rPr>
            </w:pPr>
            <w:r w:rsidRPr="004360BF">
              <w:rPr>
                <w:rFonts w:cs="Tahoma"/>
                <w:sz w:val="22"/>
                <w:szCs w:val="22"/>
                <w:lang w:val="en-AU"/>
              </w:rPr>
              <w:t>routine transfer of data to participant billing systems,</w:t>
            </w:r>
          </w:p>
          <w:p w14:paraId="703088ED" w14:textId="77777777" w:rsidR="00BE20F7" w:rsidRPr="004360BF" w:rsidRDefault="00BE20F7" w:rsidP="00E71941">
            <w:pPr>
              <w:spacing w:before="40" w:after="40" w:line="280" w:lineRule="exact"/>
              <w:rPr>
                <w:rFonts w:cs="Tahoma"/>
                <w:sz w:val="22"/>
                <w:szCs w:val="22"/>
                <w:lang w:val="en-AU"/>
              </w:rPr>
            </w:pPr>
            <w:proofErr w:type="gramStart"/>
            <w:r w:rsidRPr="004360BF">
              <w:rPr>
                <w:rFonts w:cs="Tahoma"/>
                <w:sz w:val="22"/>
                <w:szCs w:val="22"/>
                <w:lang w:val="en-AU"/>
              </w:rPr>
              <w:t>to</w:t>
            </w:r>
            <w:proofErr w:type="gramEnd"/>
            <w:r w:rsidRPr="004360BF">
              <w:rPr>
                <w:rFonts w:cs="Tahoma"/>
                <w:sz w:val="22"/>
                <w:szCs w:val="22"/>
                <w:lang w:val="en-AU"/>
              </w:rPr>
              <w:t xml:space="preserve"> meet legislated accuracy requirements and conform to good electricity industry practice.</w:t>
            </w:r>
          </w:p>
          <w:p w14:paraId="1101E75C"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Where supply is unmetered, consumption is estimated at the connection point.</w:t>
            </w:r>
          </w:p>
        </w:tc>
      </w:tr>
    </w:tbl>
    <w:p w14:paraId="7C1A816A" w14:textId="77777777" w:rsidR="00BE20F7" w:rsidRPr="004360BF" w:rsidRDefault="00BE20F7" w:rsidP="00BE20F7">
      <w:pPr>
        <w:spacing w:after="0"/>
        <w:rPr>
          <w:lang w:val="en-AU"/>
        </w:rPr>
      </w:pPr>
    </w:p>
    <w:p w14:paraId="1FE3BD9D" w14:textId="77777777" w:rsidR="00BE20F7" w:rsidRPr="004360BF" w:rsidRDefault="00BE20F7" w:rsidP="00BE20F7">
      <w:pPr>
        <w:pStyle w:val="Caption"/>
        <w:rPr>
          <w:sz w:val="22"/>
          <w:u w:val="single"/>
          <w:lang w:val="en-AU"/>
        </w:rPr>
      </w:pPr>
      <w:r w:rsidRPr="004360BF">
        <w:rPr>
          <w:sz w:val="22"/>
          <w:u w:val="single"/>
          <w:lang w:val="en-AU"/>
        </w:rPr>
        <w:t>Excluded network access services not subject to effective competition</w:t>
      </w:r>
    </w:p>
    <w:tbl>
      <w:tblPr>
        <w:tblW w:w="9214"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835"/>
        <w:gridCol w:w="6379"/>
      </w:tblGrid>
      <w:tr w:rsidR="00BE20F7" w:rsidRPr="004360BF" w14:paraId="0055CE86" w14:textId="77777777" w:rsidTr="00750C6D">
        <w:trPr>
          <w:trHeight w:val="357"/>
          <w:tblHeader/>
        </w:trPr>
        <w:tc>
          <w:tcPr>
            <w:tcW w:w="2835" w:type="dxa"/>
            <w:shd w:val="solid" w:color="C6D9F1" w:themeColor="text2" w:themeTint="33" w:fill="auto"/>
            <w:tcMar>
              <w:top w:w="0" w:type="dxa"/>
              <w:left w:w="57" w:type="dxa"/>
              <w:bottom w:w="28" w:type="dxa"/>
              <w:right w:w="57" w:type="dxa"/>
            </w:tcMar>
            <w:vAlign w:val="bottom"/>
          </w:tcPr>
          <w:p w14:paraId="7EEDFE7B" w14:textId="77777777" w:rsidR="00BE20F7" w:rsidRPr="004360BF" w:rsidRDefault="00BE20F7" w:rsidP="00E71941">
            <w:pPr>
              <w:spacing w:before="40" w:after="40"/>
              <w:rPr>
                <w:rFonts w:cs="Tahoma"/>
                <w:b/>
                <w:sz w:val="22"/>
                <w:szCs w:val="22"/>
                <w:lang w:val="en-AU"/>
              </w:rPr>
            </w:pPr>
            <w:r w:rsidRPr="004360BF">
              <w:rPr>
                <w:rFonts w:cs="Tahoma"/>
                <w:b/>
                <w:sz w:val="22"/>
                <w:szCs w:val="22"/>
                <w:lang w:val="en-AU"/>
              </w:rPr>
              <w:t>Service group</w:t>
            </w:r>
          </w:p>
        </w:tc>
        <w:tc>
          <w:tcPr>
            <w:tcW w:w="6379" w:type="dxa"/>
            <w:shd w:val="solid" w:color="C6D9F1" w:themeColor="text2" w:themeTint="33" w:fill="auto"/>
            <w:tcMar>
              <w:top w:w="0" w:type="dxa"/>
              <w:left w:w="57" w:type="dxa"/>
              <w:bottom w:w="28" w:type="dxa"/>
              <w:right w:w="57" w:type="dxa"/>
            </w:tcMar>
            <w:vAlign w:val="bottom"/>
          </w:tcPr>
          <w:p w14:paraId="0B48BBB5" w14:textId="77777777" w:rsidR="00BE20F7" w:rsidRPr="004360BF" w:rsidRDefault="00BE20F7" w:rsidP="00E71941">
            <w:pPr>
              <w:spacing w:before="40" w:after="40"/>
              <w:rPr>
                <w:rFonts w:cs="Tahoma"/>
                <w:b/>
                <w:sz w:val="22"/>
                <w:szCs w:val="22"/>
                <w:lang w:val="en-AU"/>
              </w:rPr>
            </w:pPr>
            <w:r w:rsidRPr="004360BF">
              <w:rPr>
                <w:rFonts w:cs="Tahoma"/>
                <w:b/>
                <w:sz w:val="22"/>
                <w:szCs w:val="22"/>
                <w:lang w:val="en-AU"/>
              </w:rPr>
              <w:t>Activities description</w:t>
            </w:r>
          </w:p>
        </w:tc>
      </w:tr>
      <w:tr w:rsidR="00BE20F7" w:rsidRPr="004360BF" w14:paraId="4F1C8E77" w14:textId="77777777" w:rsidTr="00750C6D">
        <w:trPr>
          <w:trHeight w:val="357"/>
        </w:trPr>
        <w:tc>
          <w:tcPr>
            <w:tcW w:w="2835" w:type="dxa"/>
            <w:tcMar>
              <w:top w:w="0" w:type="dxa"/>
              <w:left w:w="57" w:type="dxa"/>
              <w:bottom w:w="28" w:type="dxa"/>
              <w:right w:w="57" w:type="dxa"/>
            </w:tcMar>
          </w:tcPr>
          <w:p w14:paraId="76E08DE5" w14:textId="77777777" w:rsidR="00BE20F7" w:rsidRPr="004360BF" w:rsidRDefault="00BE20F7" w:rsidP="00E71941">
            <w:pPr>
              <w:spacing w:before="40" w:after="40"/>
              <w:rPr>
                <w:rFonts w:cs="Tahoma"/>
                <w:b/>
                <w:sz w:val="22"/>
                <w:szCs w:val="22"/>
                <w:u w:val="single"/>
                <w:lang w:val="en-AU"/>
              </w:rPr>
            </w:pPr>
            <w:r w:rsidRPr="004360BF">
              <w:rPr>
                <w:rFonts w:cs="Tahoma"/>
                <w:b/>
                <w:sz w:val="22"/>
                <w:szCs w:val="22"/>
                <w:u w:val="single"/>
                <w:lang w:val="en-AU"/>
              </w:rPr>
              <w:t>Quoted services</w:t>
            </w:r>
          </w:p>
        </w:tc>
        <w:tc>
          <w:tcPr>
            <w:tcW w:w="6379" w:type="dxa"/>
            <w:tcMar>
              <w:top w:w="0" w:type="dxa"/>
              <w:left w:w="57" w:type="dxa"/>
              <w:bottom w:w="28" w:type="dxa"/>
              <w:right w:w="57" w:type="dxa"/>
            </w:tcMar>
          </w:tcPr>
          <w:p w14:paraId="1FB07245" w14:textId="77777777" w:rsidR="00BE20F7" w:rsidRPr="004360BF" w:rsidRDefault="00BE20F7" w:rsidP="00E71941">
            <w:pPr>
              <w:spacing w:before="40" w:after="40"/>
              <w:rPr>
                <w:rFonts w:cs="Tahoma"/>
                <w:sz w:val="22"/>
                <w:szCs w:val="22"/>
                <w:lang w:val="en-AU"/>
              </w:rPr>
            </w:pPr>
          </w:p>
        </w:tc>
      </w:tr>
      <w:tr w:rsidR="00BE20F7" w:rsidRPr="004360BF" w14:paraId="6C3B8110" w14:textId="77777777" w:rsidTr="00750C6D">
        <w:trPr>
          <w:trHeight w:val="357"/>
        </w:trPr>
        <w:tc>
          <w:tcPr>
            <w:tcW w:w="2835" w:type="dxa"/>
            <w:tcMar>
              <w:top w:w="0" w:type="dxa"/>
              <w:left w:w="57" w:type="dxa"/>
              <w:bottom w:w="28" w:type="dxa"/>
              <w:right w:w="57" w:type="dxa"/>
            </w:tcMar>
          </w:tcPr>
          <w:p w14:paraId="15925D6D"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 xml:space="preserve">Quoted network services </w:t>
            </w:r>
          </w:p>
          <w:p w14:paraId="2B16CB2E" w14:textId="77777777" w:rsidR="00BE20F7" w:rsidRPr="004360BF" w:rsidRDefault="00BE20F7" w:rsidP="00E71941">
            <w:pPr>
              <w:spacing w:before="40" w:after="40"/>
              <w:rPr>
                <w:rFonts w:cs="Tahoma"/>
                <w:sz w:val="22"/>
                <w:szCs w:val="22"/>
                <w:lang w:val="en-AU"/>
              </w:rPr>
            </w:pPr>
          </w:p>
        </w:tc>
        <w:tc>
          <w:tcPr>
            <w:tcW w:w="6379" w:type="dxa"/>
            <w:tcMar>
              <w:top w:w="0" w:type="dxa"/>
              <w:left w:w="57" w:type="dxa"/>
              <w:bottom w:w="28" w:type="dxa"/>
              <w:right w:w="57" w:type="dxa"/>
            </w:tcMar>
          </w:tcPr>
          <w:p w14:paraId="247D8079"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Network services provided at the request of a network user with higher (or lower, where permissible) quality or reliability standards than are required under applicable legislation, codes or other regulatory instruments</w:t>
            </w:r>
          </w:p>
          <w:p w14:paraId="7DB676D9"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Quoted Network Services include above standard or non-standard services associated with:</w:t>
            </w:r>
          </w:p>
          <w:p w14:paraId="5BFA5B51" w14:textId="77777777" w:rsidR="00BE20F7" w:rsidRPr="004360BF" w:rsidRDefault="00BE20F7" w:rsidP="00E71941">
            <w:pPr>
              <w:numPr>
                <w:ilvl w:val="0"/>
                <w:numId w:val="18"/>
              </w:numPr>
              <w:spacing w:before="40" w:after="40"/>
              <w:rPr>
                <w:rFonts w:cs="Tahoma"/>
                <w:sz w:val="22"/>
                <w:szCs w:val="22"/>
                <w:lang w:val="en-AU"/>
              </w:rPr>
            </w:pPr>
            <w:r w:rsidRPr="004360BF">
              <w:rPr>
                <w:rFonts w:cs="Tahoma"/>
                <w:sz w:val="22"/>
                <w:szCs w:val="22"/>
                <w:lang w:val="en-AU"/>
              </w:rPr>
              <w:t>planning, designing and constructing the electricity network;</w:t>
            </w:r>
          </w:p>
          <w:p w14:paraId="2E8E0F43" w14:textId="77777777" w:rsidR="00BE20F7" w:rsidRPr="004360BF" w:rsidRDefault="00BE20F7" w:rsidP="00E71941">
            <w:pPr>
              <w:numPr>
                <w:ilvl w:val="0"/>
                <w:numId w:val="18"/>
              </w:numPr>
              <w:spacing w:before="40" w:after="40"/>
              <w:rPr>
                <w:rFonts w:cs="Tahoma"/>
                <w:sz w:val="22"/>
                <w:szCs w:val="22"/>
                <w:lang w:val="en-AU"/>
              </w:rPr>
            </w:pPr>
            <w:r w:rsidRPr="004360BF">
              <w:rPr>
                <w:rFonts w:cs="Tahoma"/>
                <w:sz w:val="22"/>
                <w:szCs w:val="22"/>
                <w:lang w:val="en-AU"/>
              </w:rPr>
              <w:t>maintaining and operating the electricity network;</w:t>
            </w:r>
          </w:p>
          <w:p w14:paraId="1AEC5934" w14:textId="77777777" w:rsidR="00BE20F7" w:rsidRPr="004360BF" w:rsidRDefault="00BE20F7" w:rsidP="00E71941">
            <w:pPr>
              <w:numPr>
                <w:ilvl w:val="0"/>
                <w:numId w:val="18"/>
              </w:numPr>
              <w:spacing w:before="40" w:after="40"/>
              <w:rPr>
                <w:rFonts w:cs="Tahoma"/>
                <w:sz w:val="22"/>
                <w:szCs w:val="22"/>
                <w:lang w:val="en-AU"/>
              </w:rPr>
            </w:pPr>
            <w:r w:rsidRPr="004360BF">
              <w:rPr>
                <w:rFonts w:cs="Tahoma"/>
                <w:sz w:val="22"/>
                <w:szCs w:val="22"/>
                <w:lang w:val="en-AU"/>
              </w:rPr>
              <w:t>emergency response and administrative support; and</w:t>
            </w:r>
          </w:p>
          <w:p w14:paraId="7826EDE3" w14:textId="77777777" w:rsidR="00BE20F7" w:rsidRPr="004360BF" w:rsidRDefault="00BE20F7" w:rsidP="00E71941">
            <w:pPr>
              <w:numPr>
                <w:ilvl w:val="0"/>
                <w:numId w:val="18"/>
              </w:numPr>
              <w:spacing w:before="40" w:after="40"/>
              <w:rPr>
                <w:rFonts w:cs="Tahoma"/>
                <w:sz w:val="22"/>
                <w:szCs w:val="22"/>
                <w:lang w:val="en-AU"/>
              </w:rPr>
            </w:pPr>
            <w:r w:rsidRPr="004360BF">
              <w:rPr>
                <w:rFonts w:cs="Tahoma"/>
                <w:sz w:val="22"/>
                <w:szCs w:val="22"/>
                <w:lang w:val="en-AU"/>
              </w:rPr>
              <w:t>other associated services,</w:t>
            </w:r>
          </w:p>
          <w:p w14:paraId="0881210B" w14:textId="77777777" w:rsidR="00BE20F7" w:rsidRPr="004360BF" w:rsidRDefault="00BE20F7" w:rsidP="00E71941">
            <w:pPr>
              <w:spacing w:before="40" w:after="40"/>
              <w:rPr>
                <w:rFonts w:cs="Tahoma"/>
                <w:sz w:val="22"/>
                <w:szCs w:val="22"/>
                <w:lang w:val="en-AU"/>
              </w:rPr>
            </w:pPr>
            <w:proofErr w:type="gramStart"/>
            <w:r w:rsidRPr="004360BF">
              <w:rPr>
                <w:rFonts w:cs="Tahoma"/>
                <w:sz w:val="22"/>
                <w:szCs w:val="22"/>
                <w:lang w:val="en-AU"/>
              </w:rPr>
              <w:t>to</w:t>
            </w:r>
            <w:proofErr w:type="gramEnd"/>
            <w:r w:rsidRPr="004360BF">
              <w:rPr>
                <w:rFonts w:cs="Tahoma"/>
                <w:sz w:val="22"/>
                <w:szCs w:val="22"/>
                <w:lang w:val="en-AU"/>
              </w:rPr>
              <w:t xml:space="preserve"> the performance standard agreed with the network user.</w:t>
            </w:r>
          </w:p>
          <w:p w14:paraId="5CDD54F9"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Under Quoted Network Services, network users are only charged the incremental cost of the work above the cost of the mandated standard Network Service.</w:t>
            </w:r>
          </w:p>
          <w:p w14:paraId="3211B437"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 xml:space="preserve">Quoted Network Services exclude above standard or non-standard Connection Services which make use of dedicated assets.  </w:t>
            </w:r>
          </w:p>
        </w:tc>
      </w:tr>
      <w:tr w:rsidR="00BE20F7" w:rsidRPr="004360BF" w14:paraId="786A3A48" w14:textId="77777777" w:rsidTr="00750C6D">
        <w:trPr>
          <w:trHeight w:val="357"/>
        </w:trPr>
        <w:tc>
          <w:tcPr>
            <w:tcW w:w="2835" w:type="dxa"/>
            <w:tcMar>
              <w:top w:w="0" w:type="dxa"/>
              <w:left w:w="57" w:type="dxa"/>
              <w:bottom w:w="28" w:type="dxa"/>
              <w:right w:w="57" w:type="dxa"/>
            </w:tcMar>
          </w:tcPr>
          <w:p w14:paraId="41D32FE9"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 xml:space="preserve">Quoted connection services </w:t>
            </w:r>
          </w:p>
          <w:p w14:paraId="5DE1C31A" w14:textId="77777777" w:rsidR="00BE20F7" w:rsidRPr="004360BF" w:rsidRDefault="00BE20F7" w:rsidP="00E71941">
            <w:pPr>
              <w:spacing w:before="40" w:after="40"/>
              <w:rPr>
                <w:rFonts w:cs="Tahoma"/>
                <w:sz w:val="22"/>
                <w:szCs w:val="22"/>
                <w:lang w:val="en-AU"/>
              </w:rPr>
            </w:pPr>
          </w:p>
        </w:tc>
        <w:tc>
          <w:tcPr>
            <w:tcW w:w="6379" w:type="dxa"/>
            <w:tcMar>
              <w:top w:w="0" w:type="dxa"/>
              <w:left w:w="57" w:type="dxa"/>
              <w:bottom w:w="28" w:type="dxa"/>
              <w:right w:w="57" w:type="dxa"/>
            </w:tcMar>
          </w:tcPr>
          <w:p w14:paraId="3906A4E5"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 xml:space="preserve">Connection services provided at the request of a network user with higher (or lower, where permissible) quality or reliability standards than are required under applicable legislation, codes </w:t>
            </w:r>
            <w:r w:rsidRPr="004360BF">
              <w:rPr>
                <w:rFonts w:cs="Tahoma"/>
                <w:sz w:val="22"/>
                <w:szCs w:val="22"/>
                <w:lang w:val="en-AU"/>
              </w:rPr>
              <w:lastRenderedPageBreak/>
              <w:t>or other regulatory instruments</w:t>
            </w:r>
          </w:p>
          <w:p w14:paraId="4EF0C6F9"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Quoted connection services include above standard or non-standard services associated with:</w:t>
            </w:r>
          </w:p>
          <w:p w14:paraId="060E19E0" w14:textId="77777777" w:rsidR="00BE20F7" w:rsidRPr="004360BF" w:rsidRDefault="00BE20F7" w:rsidP="00E71941">
            <w:pPr>
              <w:numPr>
                <w:ilvl w:val="0"/>
                <w:numId w:val="19"/>
              </w:numPr>
              <w:spacing w:before="40" w:after="40"/>
              <w:rPr>
                <w:rFonts w:cs="Tahoma"/>
                <w:sz w:val="22"/>
                <w:szCs w:val="22"/>
                <w:lang w:val="en-AU"/>
              </w:rPr>
            </w:pPr>
            <w:r w:rsidRPr="004360BF">
              <w:rPr>
                <w:rFonts w:cs="Tahoma"/>
                <w:sz w:val="22"/>
                <w:szCs w:val="22"/>
                <w:lang w:val="en-AU"/>
              </w:rPr>
              <w:t>commissioning of connection assets;</w:t>
            </w:r>
          </w:p>
          <w:p w14:paraId="66034A90" w14:textId="77777777" w:rsidR="00BE20F7" w:rsidRPr="004360BF" w:rsidRDefault="00BE20F7" w:rsidP="00E71941">
            <w:pPr>
              <w:numPr>
                <w:ilvl w:val="0"/>
                <w:numId w:val="19"/>
              </w:numPr>
              <w:spacing w:before="40" w:after="40"/>
              <w:rPr>
                <w:rFonts w:cs="Tahoma"/>
                <w:sz w:val="22"/>
                <w:szCs w:val="22"/>
                <w:lang w:val="en-AU"/>
              </w:rPr>
            </w:pPr>
            <w:r w:rsidRPr="004360BF">
              <w:rPr>
                <w:rFonts w:cs="Tahoma"/>
                <w:sz w:val="22"/>
                <w:szCs w:val="22"/>
                <w:lang w:val="en-AU"/>
              </w:rPr>
              <w:t>service connection;</w:t>
            </w:r>
          </w:p>
          <w:p w14:paraId="27506C40" w14:textId="77777777" w:rsidR="00BE20F7" w:rsidRPr="004360BF" w:rsidRDefault="00BE20F7" w:rsidP="00E71941">
            <w:pPr>
              <w:numPr>
                <w:ilvl w:val="0"/>
                <w:numId w:val="19"/>
              </w:numPr>
              <w:spacing w:before="40" w:after="40"/>
              <w:rPr>
                <w:rFonts w:cs="Tahoma"/>
                <w:sz w:val="22"/>
                <w:szCs w:val="22"/>
                <w:lang w:val="en-AU"/>
              </w:rPr>
            </w:pPr>
            <w:r w:rsidRPr="004360BF">
              <w:rPr>
                <w:rFonts w:cs="Tahoma"/>
                <w:sz w:val="22"/>
                <w:szCs w:val="22"/>
                <w:lang w:val="en-AU"/>
              </w:rPr>
              <w:t>installation inspection; and</w:t>
            </w:r>
          </w:p>
          <w:p w14:paraId="5355A957" w14:textId="77777777" w:rsidR="00BE20F7" w:rsidRPr="004360BF" w:rsidRDefault="00BE20F7" w:rsidP="00E71941">
            <w:pPr>
              <w:numPr>
                <w:ilvl w:val="0"/>
                <w:numId w:val="19"/>
              </w:numPr>
              <w:spacing w:before="40" w:after="40"/>
              <w:rPr>
                <w:rFonts w:cs="Tahoma"/>
                <w:sz w:val="22"/>
                <w:szCs w:val="22"/>
                <w:lang w:val="en-AU"/>
              </w:rPr>
            </w:pPr>
            <w:r w:rsidRPr="004360BF">
              <w:rPr>
                <w:rFonts w:cs="Tahoma"/>
                <w:sz w:val="22"/>
                <w:szCs w:val="22"/>
                <w:lang w:val="en-AU"/>
              </w:rPr>
              <w:t>operating and maintaining connection assets</w:t>
            </w:r>
          </w:p>
          <w:p w14:paraId="184E637F" w14:textId="77777777" w:rsidR="00BE20F7" w:rsidRPr="004360BF" w:rsidRDefault="00BE20F7" w:rsidP="00E71941">
            <w:pPr>
              <w:spacing w:before="40" w:after="40"/>
              <w:rPr>
                <w:rFonts w:cs="Tahoma"/>
                <w:sz w:val="22"/>
                <w:szCs w:val="22"/>
                <w:lang w:val="en-AU"/>
              </w:rPr>
            </w:pPr>
            <w:proofErr w:type="gramStart"/>
            <w:r w:rsidRPr="004360BF">
              <w:rPr>
                <w:rFonts w:cs="Tahoma"/>
                <w:sz w:val="22"/>
                <w:szCs w:val="22"/>
                <w:lang w:val="en-AU"/>
              </w:rPr>
              <w:t>to</w:t>
            </w:r>
            <w:proofErr w:type="gramEnd"/>
            <w:r w:rsidRPr="004360BF">
              <w:rPr>
                <w:rFonts w:cs="Tahoma"/>
                <w:sz w:val="22"/>
                <w:szCs w:val="22"/>
                <w:lang w:val="en-AU"/>
              </w:rPr>
              <w:t xml:space="preserve"> the performance standard agreed with the network user.</w:t>
            </w:r>
          </w:p>
          <w:p w14:paraId="124BC067"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Quoted Connection Services also include:</w:t>
            </w:r>
          </w:p>
          <w:p w14:paraId="7F20EAE8" w14:textId="77777777" w:rsidR="00BE20F7" w:rsidRPr="004360BF" w:rsidRDefault="00BE20F7" w:rsidP="00E71941">
            <w:pPr>
              <w:numPr>
                <w:ilvl w:val="0"/>
                <w:numId w:val="20"/>
              </w:numPr>
              <w:spacing w:before="40" w:after="40"/>
              <w:rPr>
                <w:rFonts w:cs="Tahoma"/>
                <w:sz w:val="22"/>
                <w:szCs w:val="22"/>
                <w:lang w:val="en-AU"/>
              </w:rPr>
            </w:pPr>
            <w:r w:rsidRPr="004360BF">
              <w:rPr>
                <w:rFonts w:cs="Tahoma"/>
                <w:sz w:val="22"/>
                <w:szCs w:val="22"/>
                <w:lang w:val="en-AU"/>
              </w:rPr>
              <w:t>supply abolishment; and</w:t>
            </w:r>
          </w:p>
          <w:p w14:paraId="2CE0CF07" w14:textId="77777777" w:rsidR="00BE20F7" w:rsidRPr="004360BF" w:rsidRDefault="00BE20F7" w:rsidP="00E71941">
            <w:pPr>
              <w:numPr>
                <w:ilvl w:val="0"/>
                <w:numId w:val="20"/>
              </w:numPr>
              <w:spacing w:before="40" w:after="40"/>
              <w:rPr>
                <w:rFonts w:cs="Tahoma"/>
                <w:sz w:val="22"/>
                <w:szCs w:val="22"/>
                <w:lang w:val="en-AU"/>
              </w:rPr>
            </w:pPr>
            <w:proofErr w:type="gramStart"/>
            <w:r w:rsidRPr="004360BF">
              <w:rPr>
                <w:rFonts w:cs="Tahoma"/>
                <w:sz w:val="22"/>
                <w:szCs w:val="22"/>
                <w:lang w:val="en-AU"/>
              </w:rPr>
              <w:t>ancillary</w:t>
            </w:r>
            <w:proofErr w:type="gramEnd"/>
            <w:r w:rsidRPr="004360BF">
              <w:rPr>
                <w:rFonts w:cs="Tahoma"/>
                <w:sz w:val="22"/>
                <w:szCs w:val="22"/>
                <w:lang w:val="en-AU"/>
              </w:rPr>
              <w:t xml:space="preserve"> Connection Services.</w:t>
            </w:r>
          </w:p>
          <w:p w14:paraId="4773060D"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Associated services for which PWC Networks may seek payment from the user include, but are not necessarily limited to:</w:t>
            </w:r>
          </w:p>
          <w:p w14:paraId="22BBF7A4" w14:textId="77777777" w:rsidR="00BE20F7" w:rsidRPr="004360BF" w:rsidRDefault="00BE20F7" w:rsidP="00E71941">
            <w:pPr>
              <w:numPr>
                <w:ilvl w:val="0"/>
                <w:numId w:val="13"/>
              </w:numPr>
              <w:spacing w:before="40" w:after="40"/>
              <w:rPr>
                <w:rFonts w:cs="Tahoma"/>
                <w:sz w:val="22"/>
                <w:szCs w:val="22"/>
                <w:lang w:val="en-AU"/>
              </w:rPr>
            </w:pPr>
            <w:r w:rsidRPr="004360BF">
              <w:rPr>
                <w:rFonts w:cs="Tahoma"/>
                <w:sz w:val="22"/>
                <w:szCs w:val="22"/>
                <w:lang w:val="en-AU"/>
              </w:rPr>
              <w:t>responding to enquiries in relation to the provision of the above standard or non-standard connection services;</w:t>
            </w:r>
          </w:p>
          <w:p w14:paraId="20181D08" w14:textId="77777777" w:rsidR="00BE20F7" w:rsidRPr="004360BF" w:rsidRDefault="00BE20F7" w:rsidP="00E71941">
            <w:pPr>
              <w:numPr>
                <w:ilvl w:val="0"/>
                <w:numId w:val="13"/>
              </w:numPr>
              <w:spacing w:before="40" w:after="40"/>
              <w:rPr>
                <w:rFonts w:cs="Tahoma"/>
                <w:sz w:val="22"/>
                <w:szCs w:val="22"/>
                <w:lang w:val="en-AU"/>
              </w:rPr>
            </w:pPr>
            <w:r w:rsidRPr="004360BF">
              <w:rPr>
                <w:rFonts w:cs="Tahoma"/>
                <w:sz w:val="22"/>
                <w:szCs w:val="22"/>
                <w:lang w:val="en-AU"/>
              </w:rPr>
              <w:t>provision of technical specifications in relation to the connection;</w:t>
            </w:r>
          </w:p>
          <w:p w14:paraId="581E7633" w14:textId="77777777" w:rsidR="00BE20F7" w:rsidRPr="004360BF" w:rsidRDefault="00BE20F7" w:rsidP="00E71941">
            <w:pPr>
              <w:numPr>
                <w:ilvl w:val="0"/>
                <w:numId w:val="13"/>
              </w:numPr>
              <w:spacing w:before="40" w:after="40"/>
              <w:rPr>
                <w:rFonts w:cs="Tahoma"/>
                <w:sz w:val="22"/>
                <w:szCs w:val="22"/>
                <w:lang w:val="en-AU"/>
              </w:rPr>
            </w:pPr>
            <w:r w:rsidRPr="004360BF">
              <w:rPr>
                <w:rFonts w:cs="Tahoma"/>
                <w:sz w:val="22"/>
                <w:szCs w:val="22"/>
                <w:lang w:val="en-AU"/>
              </w:rPr>
              <w:t>provision of duplicate  or underground supply where requested by a network user; and</w:t>
            </w:r>
          </w:p>
          <w:p w14:paraId="23A96882" w14:textId="77777777" w:rsidR="00BE20F7" w:rsidRPr="004360BF" w:rsidRDefault="00BE20F7" w:rsidP="00E71941">
            <w:pPr>
              <w:numPr>
                <w:ilvl w:val="0"/>
                <w:numId w:val="13"/>
              </w:numPr>
              <w:spacing w:before="40" w:after="40"/>
              <w:rPr>
                <w:rFonts w:cs="Tahoma"/>
                <w:sz w:val="22"/>
                <w:szCs w:val="22"/>
                <w:lang w:val="en-AU"/>
              </w:rPr>
            </w:pPr>
            <w:proofErr w:type="gramStart"/>
            <w:r w:rsidRPr="004360BF">
              <w:rPr>
                <w:rFonts w:cs="Tahoma"/>
                <w:sz w:val="22"/>
                <w:szCs w:val="22"/>
                <w:lang w:val="en-AU"/>
              </w:rPr>
              <w:t>preliminary</w:t>
            </w:r>
            <w:proofErr w:type="gramEnd"/>
            <w:r w:rsidRPr="004360BF">
              <w:rPr>
                <w:rFonts w:cs="Tahoma"/>
                <w:sz w:val="22"/>
                <w:szCs w:val="22"/>
                <w:lang w:val="en-AU"/>
              </w:rPr>
              <w:t xml:space="preserve"> communications with potential or existing network user where more than 6 hours work is or is likely to be required.</w:t>
            </w:r>
          </w:p>
          <w:p w14:paraId="351AFEDF"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Under Quoted Connection Services, network users are only charged the incremental cost of the work above the cost of the mandated standard Connection Service.</w:t>
            </w:r>
          </w:p>
          <w:p w14:paraId="67B07AF7"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Connection Services are provided at the request of a network user and are dedicated to the individual network user. Connection assets include all of the dedicated electrical equipment that is used to transfer electricity to (entry) or from (exit) the shared electricity network at the connection point.</w:t>
            </w:r>
          </w:p>
        </w:tc>
      </w:tr>
      <w:tr w:rsidR="00BE20F7" w:rsidRPr="004360BF" w14:paraId="1C1A827E" w14:textId="77777777" w:rsidTr="00750C6D">
        <w:trPr>
          <w:trHeight w:val="357"/>
        </w:trPr>
        <w:tc>
          <w:tcPr>
            <w:tcW w:w="2835" w:type="dxa"/>
            <w:tcMar>
              <w:top w:w="0" w:type="dxa"/>
              <w:left w:w="57" w:type="dxa"/>
              <w:bottom w:w="28" w:type="dxa"/>
              <w:right w:w="57" w:type="dxa"/>
            </w:tcMar>
          </w:tcPr>
          <w:p w14:paraId="1E4AD338"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lastRenderedPageBreak/>
              <w:t xml:space="preserve">Quoted metering services </w:t>
            </w:r>
          </w:p>
          <w:p w14:paraId="3795D6F2" w14:textId="77777777" w:rsidR="00BE20F7" w:rsidRPr="004360BF" w:rsidRDefault="00BE20F7" w:rsidP="00E71941">
            <w:pPr>
              <w:spacing w:before="40" w:after="40"/>
              <w:rPr>
                <w:rFonts w:cs="Tahoma"/>
                <w:sz w:val="22"/>
                <w:szCs w:val="22"/>
                <w:lang w:val="en-AU"/>
              </w:rPr>
            </w:pPr>
          </w:p>
        </w:tc>
        <w:tc>
          <w:tcPr>
            <w:tcW w:w="6379" w:type="dxa"/>
            <w:tcMar>
              <w:top w:w="0" w:type="dxa"/>
              <w:left w:w="57" w:type="dxa"/>
              <w:bottom w:w="28" w:type="dxa"/>
              <w:right w:w="57" w:type="dxa"/>
            </w:tcMar>
          </w:tcPr>
          <w:p w14:paraId="0A63E652"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Metering services, including meter data services, provided at the request of a network user of a type that exceeds the normal requirements for the type of network user.</w:t>
            </w:r>
          </w:p>
          <w:p w14:paraId="35879A8D"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Quoted metering services include, but are not necessarily limited to:</w:t>
            </w:r>
          </w:p>
          <w:p w14:paraId="2E40E6FE" w14:textId="77777777" w:rsidR="00BE20F7" w:rsidRPr="004360BF" w:rsidRDefault="00BE20F7" w:rsidP="00E71941">
            <w:pPr>
              <w:numPr>
                <w:ilvl w:val="0"/>
                <w:numId w:val="13"/>
              </w:numPr>
              <w:spacing w:before="40" w:after="40"/>
              <w:rPr>
                <w:rFonts w:cs="Tahoma"/>
                <w:sz w:val="22"/>
                <w:szCs w:val="22"/>
                <w:lang w:val="en-AU"/>
              </w:rPr>
            </w:pPr>
            <w:r w:rsidRPr="004360BF">
              <w:rPr>
                <w:rFonts w:cs="Tahoma"/>
                <w:sz w:val="22"/>
                <w:szCs w:val="22"/>
                <w:lang w:val="en-AU"/>
              </w:rPr>
              <w:t>provision, installation and commissioning of additional or above standard or non-standard metering assets;</w:t>
            </w:r>
          </w:p>
          <w:p w14:paraId="0AEA7AF7" w14:textId="77777777" w:rsidR="00BE20F7" w:rsidRPr="004360BF" w:rsidRDefault="00BE20F7" w:rsidP="00E71941">
            <w:pPr>
              <w:numPr>
                <w:ilvl w:val="0"/>
                <w:numId w:val="13"/>
              </w:numPr>
              <w:spacing w:before="40" w:after="40"/>
              <w:rPr>
                <w:rFonts w:cs="Tahoma"/>
                <w:sz w:val="22"/>
                <w:szCs w:val="22"/>
                <w:lang w:val="en-AU"/>
              </w:rPr>
            </w:pPr>
            <w:r w:rsidRPr="004360BF">
              <w:rPr>
                <w:rFonts w:cs="Tahoma"/>
                <w:sz w:val="22"/>
                <w:szCs w:val="22"/>
                <w:lang w:val="en-AU"/>
              </w:rPr>
              <w:t>periodic accuracy testing of additional of additional or above standard or non-standard metering assets; and</w:t>
            </w:r>
          </w:p>
          <w:p w14:paraId="607BFD4A" w14:textId="77777777" w:rsidR="00BE20F7" w:rsidRPr="004360BF" w:rsidRDefault="00BE20F7" w:rsidP="00E71941">
            <w:pPr>
              <w:numPr>
                <w:ilvl w:val="0"/>
                <w:numId w:val="13"/>
              </w:numPr>
              <w:spacing w:before="40" w:after="40"/>
              <w:rPr>
                <w:rFonts w:cs="Tahoma"/>
                <w:sz w:val="22"/>
                <w:szCs w:val="22"/>
                <w:lang w:val="en-AU"/>
              </w:rPr>
            </w:pPr>
            <w:proofErr w:type="gramStart"/>
            <w:r w:rsidRPr="004360BF">
              <w:rPr>
                <w:rFonts w:cs="Tahoma"/>
                <w:sz w:val="22"/>
                <w:szCs w:val="22"/>
                <w:lang w:val="en-AU"/>
              </w:rPr>
              <w:t>maintenance</w:t>
            </w:r>
            <w:proofErr w:type="gramEnd"/>
            <w:r w:rsidRPr="004360BF">
              <w:rPr>
                <w:rFonts w:cs="Tahoma"/>
                <w:sz w:val="22"/>
                <w:szCs w:val="22"/>
                <w:lang w:val="en-AU"/>
              </w:rPr>
              <w:t xml:space="preserve"> and replacement of additional or above standard or non-standard metering assets.</w:t>
            </w:r>
          </w:p>
          <w:p w14:paraId="0FB0FC7E"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Quoted meter data services include:</w:t>
            </w:r>
          </w:p>
          <w:p w14:paraId="13D323E0" w14:textId="77777777" w:rsidR="00BE20F7" w:rsidRPr="004360BF" w:rsidRDefault="00BE20F7" w:rsidP="00E71941">
            <w:pPr>
              <w:numPr>
                <w:ilvl w:val="0"/>
                <w:numId w:val="13"/>
              </w:numPr>
              <w:spacing w:before="40" w:after="40"/>
              <w:rPr>
                <w:rFonts w:cs="Tahoma"/>
                <w:sz w:val="22"/>
                <w:szCs w:val="22"/>
                <w:lang w:val="en-AU"/>
              </w:rPr>
            </w:pPr>
            <w:r w:rsidRPr="004360BF">
              <w:rPr>
                <w:rFonts w:cs="Tahoma"/>
                <w:sz w:val="22"/>
                <w:szCs w:val="22"/>
                <w:lang w:val="en-AU"/>
              </w:rPr>
              <w:t>reading, either locally or remotely, of additional or above standard or non-standard meters provided at the request of the network user;</w:t>
            </w:r>
          </w:p>
          <w:p w14:paraId="26140166" w14:textId="77777777" w:rsidR="00BE20F7" w:rsidRPr="004360BF" w:rsidRDefault="00BE20F7" w:rsidP="00E71941">
            <w:pPr>
              <w:numPr>
                <w:ilvl w:val="0"/>
                <w:numId w:val="13"/>
              </w:numPr>
              <w:spacing w:before="40" w:after="40"/>
              <w:rPr>
                <w:rFonts w:cs="Tahoma"/>
                <w:sz w:val="22"/>
                <w:szCs w:val="22"/>
                <w:lang w:val="en-AU"/>
              </w:rPr>
            </w:pPr>
            <w:r w:rsidRPr="004360BF">
              <w:rPr>
                <w:rFonts w:cs="Tahoma"/>
                <w:sz w:val="22"/>
                <w:szCs w:val="22"/>
                <w:lang w:val="en-AU"/>
              </w:rPr>
              <w:t>installing and maintaining communications for additional or above standard or non-standard remotely read meters; and</w:t>
            </w:r>
          </w:p>
          <w:p w14:paraId="6886624B" w14:textId="77777777" w:rsidR="00BE20F7" w:rsidRPr="004360BF" w:rsidRDefault="00BE20F7" w:rsidP="00E71941">
            <w:pPr>
              <w:numPr>
                <w:ilvl w:val="0"/>
                <w:numId w:val="13"/>
              </w:numPr>
              <w:spacing w:before="40" w:after="40"/>
              <w:rPr>
                <w:rFonts w:cs="Tahoma"/>
                <w:sz w:val="22"/>
                <w:szCs w:val="22"/>
                <w:lang w:val="en-AU"/>
              </w:rPr>
            </w:pPr>
            <w:proofErr w:type="gramStart"/>
            <w:r w:rsidRPr="004360BF">
              <w:rPr>
                <w:rFonts w:cs="Tahoma"/>
                <w:sz w:val="22"/>
                <w:szCs w:val="22"/>
                <w:lang w:val="en-AU"/>
              </w:rPr>
              <w:lastRenderedPageBreak/>
              <w:t>transfer</w:t>
            </w:r>
            <w:proofErr w:type="gramEnd"/>
            <w:r w:rsidRPr="004360BF">
              <w:rPr>
                <w:rFonts w:cs="Tahoma"/>
                <w:sz w:val="22"/>
                <w:szCs w:val="22"/>
                <w:lang w:val="en-AU"/>
              </w:rPr>
              <w:t xml:space="preserve"> of meter data to the meter data system and management of the stored meter data, for additional or above standard or non-standard meters.</w:t>
            </w:r>
          </w:p>
          <w:p w14:paraId="0675D8F3"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Quoted ancillary Metering Services include:</w:t>
            </w:r>
          </w:p>
          <w:p w14:paraId="7210A5DC" w14:textId="77777777" w:rsidR="00BE20F7" w:rsidRPr="004360BF" w:rsidRDefault="00BE20F7" w:rsidP="00E71941">
            <w:pPr>
              <w:numPr>
                <w:ilvl w:val="0"/>
                <w:numId w:val="13"/>
              </w:numPr>
              <w:spacing w:before="40" w:after="40"/>
              <w:rPr>
                <w:rFonts w:cs="Tahoma"/>
                <w:sz w:val="22"/>
                <w:szCs w:val="22"/>
                <w:lang w:val="en-AU"/>
              </w:rPr>
            </w:pPr>
            <w:r w:rsidRPr="004360BF">
              <w:rPr>
                <w:rFonts w:cs="Tahoma"/>
                <w:sz w:val="22"/>
                <w:szCs w:val="22"/>
                <w:lang w:val="en-AU"/>
              </w:rPr>
              <w:t>non-standard read of a standard meter, either locally or remotely; and</w:t>
            </w:r>
          </w:p>
          <w:p w14:paraId="03B7E2FC" w14:textId="77777777" w:rsidR="00BE20F7" w:rsidRPr="004360BF" w:rsidRDefault="00BE20F7" w:rsidP="00E71941">
            <w:pPr>
              <w:numPr>
                <w:ilvl w:val="0"/>
                <w:numId w:val="13"/>
              </w:numPr>
              <w:spacing w:before="40" w:after="40"/>
              <w:rPr>
                <w:rFonts w:cs="Tahoma"/>
                <w:sz w:val="22"/>
                <w:szCs w:val="22"/>
                <w:lang w:val="en-AU"/>
              </w:rPr>
            </w:pPr>
            <w:proofErr w:type="gramStart"/>
            <w:r w:rsidRPr="004360BF">
              <w:rPr>
                <w:rFonts w:cs="Tahoma"/>
                <w:sz w:val="22"/>
                <w:szCs w:val="22"/>
                <w:lang w:val="en-AU"/>
              </w:rPr>
              <w:t>non-routine</w:t>
            </w:r>
            <w:proofErr w:type="gramEnd"/>
            <w:r w:rsidRPr="004360BF">
              <w:rPr>
                <w:rFonts w:cs="Tahoma"/>
                <w:sz w:val="22"/>
                <w:szCs w:val="22"/>
                <w:lang w:val="en-AU"/>
              </w:rPr>
              <w:t xml:space="preserve"> transfer of meter data to participant billing systems or network users.</w:t>
            </w:r>
          </w:p>
          <w:p w14:paraId="408B8CFA"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Under Quoted Metering Services, network users are only charged the incremental cost of the work above the cost of the mandated standard Metering Service.</w:t>
            </w:r>
          </w:p>
          <w:p w14:paraId="44AC2BD6"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Several of the more commonly provided excluded metering services are subject to standard fees (Fee based services).</w:t>
            </w:r>
          </w:p>
        </w:tc>
      </w:tr>
      <w:tr w:rsidR="00BE20F7" w:rsidRPr="004360BF" w14:paraId="6F93829C" w14:textId="77777777" w:rsidTr="00750C6D">
        <w:trPr>
          <w:trHeight w:val="357"/>
        </w:trPr>
        <w:tc>
          <w:tcPr>
            <w:tcW w:w="2835" w:type="dxa"/>
            <w:tcMar>
              <w:top w:w="0" w:type="dxa"/>
              <w:left w:w="57" w:type="dxa"/>
              <w:bottom w:w="28" w:type="dxa"/>
              <w:right w:w="57" w:type="dxa"/>
            </w:tcMar>
          </w:tcPr>
          <w:p w14:paraId="400CD5C5"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lastRenderedPageBreak/>
              <w:t xml:space="preserve">Asset relocation, temporary disconnection and reconnection </w:t>
            </w:r>
          </w:p>
        </w:tc>
        <w:tc>
          <w:tcPr>
            <w:tcW w:w="6379" w:type="dxa"/>
            <w:tcMar>
              <w:top w:w="0" w:type="dxa"/>
              <w:left w:w="57" w:type="dxa"/>
              <w:bottom w:w="28" w:type="dxa"/>
              <w:right w:w="57" w:type="dxa"/>
            </w:tcMar>
          </w:tcPr>
          <w:p w14:paraId="4771B0AC"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Removal, relocation or other permanent or temporary change to PWC Network assets at the request of a network user.</w:t>
            </w:r>
          </w:p>
        </w:tc>
      </w:tr>
      <w:tr w:rsidR="00BE20F7" w:rsidRPr="004360BF" w14:paraId="49AE6FFC" w14:textId="77777777" w:rsidTr="00750C6D">
        <w:trPr>
          <w:trHeight w:val="357"/>
        </w:trPr>
        <w:tc>
          <w:tcPr>
            <w:tcW w:w="2835" w:type="dxa"/>
            <w:tcMar>
              <w:top w:w="0" w:type="dxa"/>
              <w:left w:w="57" w:type="dxa"/>
              <w:bottom w:w="28" w:type="dxa"/>
              <w:right w:w="57" w:type="dxa"/>
            </w:tcMar>
          </w:tcPr>
          <w:p w14:paraId="0906897F"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Emergency recoverable works</w:t>
            </w:r>
          </w:p>
        </w:tc>
        <w:tc>
          <w:tcPr>
            <w:tcW w:w="6379" w:type="dxa"/>
            <w:tcMar>
              <w:top w:w="0" w:type="dxa"/>
              <w:left w:w="57" w:type="dxa"/>
              <w:bottom w:w="28" w:type="dxa"/>
              <w:right w:w="57" w:type="dxa"/>
            </w:tcMar>
          </w:tcPr>
          <w:p w14:paraId="5AD57320"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Repairs to shared electricity network or network connections caused by a third party (for example, due to vehicle accident).</w:t>
            </w:r>
          </w:p>
        </w:tc>
      </w:tr>
      <w:tr w:rsidR="00BE20F7" w:rsidRPr="004360BF" w14:paraId="6628EBA5" w14:textId="77777777" w:rsidTr="00750C6D">
        <w:trPr>
          <w:trHeight w:val="357"/>
        </w:trPr>
        <w:tc>
          <w:tcPr>
            <w:tcW w:w="2835" w:type="dxa"/>
            <w:tcMar>
              <w:top w:w="0" w:type="dxa"/>
              <w:left w:w="57" w:type="dxa"/>
              <w:bottom w:w="28" w:type="dxa"/>
              <w:right w:w="57" w:type="dxa"/>
            </w:tcMar>
          </w:tcPr>
          <w:p w14:paraId="440AFCD3"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Services associated with temporary supply</w:t>
            </w:r>
          </w:p>
        </w:tc>
        <w:tc>
          <w:tcPr>
            <w:tcW w:w="6379" w:type="dxa"/>
            <w:tcMar>
              <w:top w:w="0" w:type="dxa"/>
              <w:left w:w="57" w:type="dxa"/>
              <w:bottom w:w="28" w:type="dxa"/>
              <w:right w:w="57" w:type="dxa"/>
            </w:tcMar>
          </w:tcPr>
          <w:p w14:paraId="7492022A"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Services associated with temporary supply include:</w:t>
            </w:r>
          </w:p>
          <w:p w14:paraId="206A0B75" w14:textId="77777777" w:rsidR="00BE20F7" w:rsidRPr="004360BF" w:rsidRDefault="00BE20F7" w:rsidP="00E71941">
            <w:pPr>
              <w:numPr>
                <w:ilvl w:val="0"/>
                <w:numId w:val="21"/>
              </w:numPr>
              <w:spacing w:before="40" w:after="40"/>
              <w:rPr>
                <w:rFonts w:cs="Tahoma"/>
                <w:sz w:val="22"/>
                <w:szCs w:val="22"/>
                <w:lang w:val="en-AU"/>
              </w:rPr>
            </w:pPr>
            <w:r w:rsidRPr="004360BF">
              <w:rPr>
                <w:rFonts w:cs="Tahoma"/>
                <w:sz w:val="22"/>
                <w:szCs w:val="22"/>
                <w:lang w:val="en-AU"/>
              </w:rPr>
              <w:t>provision electric plant or stand-by generator for temporary supply at the request of a network user; and</w:t>
            </w:r>
          </w:p>
          <w:p w14:paraId="1F464745" w14:textId="77777777" w:rsidR="00BE20F7" w:rsidRPr="004360BF" w:rsidRDefault="00BE20F7" w:rsidP="00E71941">
            <w:pPr>
              <w:numPr>
                <w:ilvl w:val="0"/>
                <w:numId w:val="21"/>
              </w:numPr>
              <w:spacing w:before="40" w:after="40"/>
              <w:rPr>
                <w:rFonts w:cs="Tahoma"/>
                <w:sz w:val="22"/>
                <w:szCs w:val="22"/>
                <w:lang w:val="en-AU"/>
              </w:rPr>
            </w:pPr>
            <w:proofErr w:type="gramStart"/>
            <w:r w:rsidRPr="004360BF">
              <w:rPr>
                <w:rFonts w:cs="Tahoma"/>
                <w:sz w:val="22"/>
                <w:szCs w:val="22"/>
                <w:lang w:val="en-AU"/>
              </w:rPr>
              <w:t>provision</w:t>
            </w:r>
            <w:proofErr w:type="gramEnd"/>
            <w:r w:rsidRPr="004360BF">
              <w:rPr>
                <w:rFonts w:cs="Tahoma"/>
                <w:sz w:val="22"/>
                <w:szCs w:val="22"/>
                <w:lang w:val="en-AU"/>
              </w:rPr>
              <w:t xml:space="preserve"> of temporary supplies at both low and high voltage at the request of a network user.</w:t>
            </w:r>
          </w:p>
        </w:tc>
      </w:tr>
      <w:tr w:rsidR="00BE20F7" w:rsidRPr="004360BF" w14:paraId="17CDC009" w14:textId="77777777" w:rsidTr="00750C6D">
        <w:trPr>
          <w:trHeight w:val="357"/>
        </w:trPr>
        <w:tc>
          <w:tcPr>
            <w:tcW w:w="2835" w:type="dxa"/>
            <w:tcMar>
              <w:top w:w="0" w:type="dxa"/>
              <w:left w:w="57" w:type="dxa"/>
              <w:bottom w:w="28" w:type="dxa"/>
              <w:right w:w="57" w:type="dxa"/>
            </w:tcMar>
          </w:tcPr>
          <w:p w14:paraId="4AE50104"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Illegal connections and damage to network equipment</w:t>
            </w:r>
          </w:p>
        </w:tc>
        <w:tc>
          <w:tcPr>
            <w:tcW w:w="6379" w:type="dxa"/>
            <w:tcMar>
              <w:top w:w="0" w:type="dxa"/>
              <w:left w:w="57" w:type="dxa"/>
              <w:bottom w:w="28" w:type="dxa"/>
              <w:right w:w="57" w:type="dxa"/>
            </w:tcMar>
          </w:tcPr>
          <w:p w14:paraId="4E64DBC1"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 xml:space="preserve">Costs incurred by </w:t>
            </w:r>
            <w:r w:rsidR="00656CF7" w:rsidRPr="004360BF">
              <w:rPr>
                <w:rFonts w:cs="Tahoma"/>
                <w:sz w:val="22"/>
                <w:szCs w:val="22"/>
                <w:lang w:val="en-AU"/>
              </w:rPr>
              <w:t>Power</w:t>
            </w:r>
            <w:r w:rsidRPr="004360BF">
              <w:rPr>
                <w:rFonts w:cs="Tahoma"/>
                <w:sz w:val="22"/>
                <w:szCs w:val="22"/>
                <w:lang w:val="en-AU"/>
              </w:rPr>
              <w:t xml:space="preserve"> Networks as a result of a network user not complying with relevant contractual obligations.</w:t>
            </w:r>
          </w:p>
          <w:p w14:paraId="0E4F6B22"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Repair of equipment damaged by a network user or third party.</w:t>
            </w:r>
          </w:p>
        </w:tc>
      </w:tr>
      <w:tr w:rsidR="00BE20F7" w:rsidRPr="004360BF" w14:paraId="5CBFDB1F" w14:textId="77777777" w:rsidTr="00750C6D">
        <w:trPr>
          <w:trHeight w:val="357"/>
        </w:trPr>
        <w:tc>
          <w:tcPr>
            <w:tcW w:w="2835" w:type="dxa"/>
            <w:tcMar>
              <w:top w:w="0" w:type="dxa"/>
              <w:left w:w="57" w:type="dxa"/>
              <w:bottom w:w="28" w:type="dxa"/>
              <w:right w:w="57" w:type="dxa"/>
            </w:tcMar>
          </w:tcPr>
          <w:p w14:paraId="4B4CD416"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Provision of non-standard street light assets</w:t>
            </w:r>
          </w:p>
        </w:tc>
        <w:tc>
          <w:tcPr>
            <w:tcW w:w="6379" w:type="dxa"/>
            <w:tcMar>
              <w:top w:w="0" w:type="dxa"/>
              <w:left w:w="57" w:type="dxa"/>
              <w:bottom w:w="28" w:type="dxa"/>
              <w:right w:w="57" w:type="dxa"/>
            </w:tcMar>
          </w:tcPr>
          <w:p w14:paraId="5D714062"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Provision, construction and maintenance of street light assets based on non-standard designs or new technology such as LED.</w:t>
            </w:r>
          </w:p>
        </w:tc>
      </w:tr>
      <w:tr w:rsidR="00BE20F7" w:rsidRPr="004360BF" w14:paraId="59C962A9" w14:textId="77777777" w:rsidTr="00750C6D">
        <w:trPr>
          <w:trHeight w:val="357"/>
        </w:trPr>
        <w:tc>
          <w:tcPr>
            <w:tcW w:w="2835" w:type="dxa"/>
            <w:tcMar>
              <w:top w:w="0" w:type="dxa"/>
              <w:left w:w="57" w:type="dxa"/>
              <w:bottom w:w="28" w:type="dxa"/>
              <w:right w:w="57" w:type="dxa"/>
            </w:tcMar>
          </w:tcPr>
          <w:p w14:paraId="47462734"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Wasted attendance</w:t>
            </w:r>
          </w:p>
        </w:tc>
        <w:tc>
          <w:tcPr>
            <w:tcW w:w="6379" w:type="dxa"/>
            <w:tcMar>
              <w:top w:w="0" w:type="dxa"/>
              <w:left w:w="57" w:type="dxa"/>
              <w:bottom w:w="28" w:type="dxa"/>
              <w:right w:w="57" w:type="dxa"/>
            </w:tcMar>
          </w:tcPr>
          <w:p w14:paraId="695AC1CA"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Additional costs incurred by PWC Networks where service provision could not be undertaken and/or completed as planned due to action or inaction of a network user or their agent.</w:t>
            </w:r>
          </w:p>
        </w:tc>
      </w:tr>
      <w:tr w:rsidR="00BE20F7" w:rsidRPr="004360BF" w14:paraId="390FA8BC" w14:textId="77777777" w:rsidTr="00750C6D">
        <w:trPr>
          <w:trHeight w:val="357"/>
        </w:trPr>
        <w:tc>
          <w:tcPr>
            <w:tcW w:w="2835" w:type="dxa"/>
            <w:tcMar>
              <w:top w:w="0" w:type="dxa"/>
              <w:left w:w="57" w:type="dxa"/>
              <w:bottom w:w="28" w:type="dxa"/>
              <w:right w:w="57" w:type="dxa"/>
            </w:tcMar>
          </w:tcPr>
          <w:p w14:paraId="1DDAC60A"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Asset location and identification services</w:t>
            </w:r>
          </w:p>
        </w:tc>
        <w:tc>
          <w:tcPr>
            <w:tcW w:w="6379" w:type="dxa"/>
            <w:tcMar>
              <w:top w:w="0" w:type="dxa"/>
              <w:left w:w="57" w:type="dxa"/>
              <w:bottom w:w="28" w:type="dxa"/>
              <w:right w:w="57" w:type="dxa"/>
            </w:tcMar>
          </w:tcPr>
          <w:p w14:paraId="6CEC1C89"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PWC Networks’ identification of its assets, including location of buried cables, at the request of a network user.</w:t>
            </w:r>
          </w:p>
        </w:tc>
      </w:tr>
      <w:tr w:rsidR="00BE20F7" w:rsidRPr="004360BF" w14:paraId="39E0B2F1" w14:textId="77777777" w:rsidTr="00750C6D">
        <w:trPr>
          <w:trHeight w:val="357"/>
        </w:trPr>
        <w:tc>
          <w:tcPr>
            <w:tcW w:w="2835" w:type="dxa"/>
            <w:tcMar>
              <w:top w:w="0" w:type="dxa"/>
              <w:left w:w="57" w:type="dxa"/>
              <w:bottom w:w="28" w:type="dxa"/>
              <w:right w:w="57" w:type="dxa"/>
            </w:tcMar>
          </w:tcPr>
          <w:p w14:paraId="28C8FC9B"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High load transport escorts</w:t>
            </w:r>
          </w:p>
        </w:tc>
        <w:tc>
          <w:tcPr>
            <w:tcW w:w="6379" w:type="dxa"/>
            <w:tcMar>
              <w:top w:w="0" w:type="dxa"/>
              <w:left w:w="57" w:type="dxa"/>
              <w:bottom w:w="28" w:type="dxa"/>
              <w:right w:w="57" w:type="dxa"/>
            </w:tcMar>
          </w:tcPr>
          <w:p w14:paraId="418F84A6"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Provision of high load transport escort, including administration costs.</w:t>
            </w:r>
          </w:p>
        </w:tc>
      </w:tr>
      <w:tr w:rsidR="00BE20F7" w:rsidRPr="004360BF" w14:paraId="17309761" w14:textId="77777777" w:rsidTr="00750C6D">
        <w:trPr>
          <w:trHeight w:val="357"/>
        </w:trPr>
        <w:tc>
          <w:tcPr>
            <w:tcW w:w="2835" w:type="dxa"/>
            <w:tcMar>
              <w:top w:w="0" w:type="dxa"/>
              <w:left w:w="57" w:type="dxa"/>
              <w:bottom w:w="28" w:type="dxa"/>
              <w:right w:w="57" w:type="dxa"/>
            </w:tcMar>
          </w:tcPr>
          <w:p w14:paraId="7C3D8AD5"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Covering of low voltage mains</w:t>
            </w:r>
          </w:p>
        </w:tc>
        <w:tc>
          <w:tcPr>
            <w:tcW w:w="6379" w:type="dxa"/>
            <w:tcMar>
              <w:top w:w="0" w:type="dxa"/>
              <w:left w:w="57" w:type="dxa"/>
              <w:bottom w:w="28" w:type="dxa"/>
              <w:right w:w="57" w:type="dxa"/>
            </w:tcMar>
          </w:tcPr>
          <w:p w14:paraId="600411ED"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Insulation coverage of low voltage mains at the request of a network user or other person.</w:t>
            </w:r>
          </w:p>
        </w:tc>
      </w:tr>
      <w:tr w:rsidR="00BE20F7" w:rsidRPr="004360BF" w14:paraId="1DF773F3" w14:textId="77777777" w:rsidTr="00750C6D">
        <w:trPr>
          <w:trHeight w:val="357"/>
        </w:trPr>
        <w:tc>
          <w:tcPr>
            <w:tcW w:w="2835" w:type="dxa"/>
            <w:tcMar>
              <w:top w:w="0" w:type="dxa"/>
              <w:left w:w="57" w:type="dxa"/>
              <w:bottom w:w="28" w:type="dxa"/>
              <w:right w:w="57" w:type="dxa"/>
            </w:tcMar>
          </w:tcPr>
          <w:p w14:paraId="3E2C1564" w14:textId="77777777" w:rsidR="00BE20F7" w:rsidRPr="004360BF" w:rsidRDefault="00BE20F7" w:rsidP="00E71941">
            <w:pPr>
              <w:spacing w:before="40" w:after="40"/>
              <w:rPr>
                <w:rFonts w:cs="Tahoma"/>
                <w:sz w:val="22"/>
                <w:szCs w:val="22"/>
                <w:lang w:val="en-AU"/>
              </w:rPr>
            </w:pPr>
            <w:r w:rsidRPr="004360BF">
              <w:rPr>
                <w:rFonts w:cs="Tahoma"/>
                <w:b/>
                <w:sz w:val="22"/>
                <w:szCs w:val="22"/>
                <w:u w:val="single"/>
                <w:lang w:val="en-AU"/>
              </w:rPr>
              <w:t>Fee-based services</w:t>
            </w:r>
          </w:p>
        </w:tc>
        <w:tc>
          <w:tcPr>
            <w:tcW w:w="6379" w:type="dxa"/>
            <w:tcMar>
              <w:top w:w="0" w:type="dxa"/>
              <w:left w:w="57" w:type="dxa"/>
              <w:bottom w:w="28" w:type="dxa"/>
              <w:right w:w="57" w:type="dxa"/>
            </w:tcMar>
          </w:tcPr>
          <w:p w14:paraId="3C3D7D29" w14:textId="77777777" w:rsidR="00BE20F7" w:rsidRPr="004360BF" w:rsidRDefault="00BE20F7" w:rsidP="00E71941">
            <w:pPr>
              <w:spacing w:before="40" w:after="40"/>
              <w:rPr>
                <w:rFonts w:cs="Tahoma"/>
                <w:sz w:val="22"/>
                <w:szCs w:val="22"/>
                <w:lang w:val="en-AU"/>
              </w:rPr>
            </w:pPr>
          </w:p>
        </w:tc>
      </w:tr>
      <w:tr w:rsidR="00BE20F7" w:rsidRPr="004360BF" w14:paraId="40CC6005" w14:textId="77777777" w:rsidTr="00750C6D">
        <w:trPr>
          <w:trHeight w:val="357"/>
        </w:trPr>
        <w:tc>
          <w:tcPr>
            <w:tcW w:w="2835" w:type="dxa"/>
            <w:tcMar>
              <w:top w:w="0" w:type="dxa"/>
              <w:left w:w="57" w:type="dxa"/>
              <w:bottom w:w="28" w:type="dxa"/>
              <w:right w:w="57" w:type="dxa"/>
            </w:tcMar>
          </w:tcPr>
          <w:p w14:paraId="3927F3E4"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Fee-based metering services</w:t>
            </w:r>
          </w:p>
        </w:tc>
        <w:tc>
          <w:tcPr>
            <w:tcW w:w="6379" w:type="dxa"/>
            <w:tcMar>
              <w:top w:w="0" w:type="dxa"/>
              <w:left w:w="57" w:type="dxa"/>
              <w:bottom w:w="28" w:type="dxa"/>
              <w:right w:w="57" w:type="dxa"/>
            </w:tcMar>
          </w:tcPr>
          <w:p w14:paraId="4CC437A9"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Fee-Based Metering service provided at the request of a network user include, but are not necessarily limited to:</w:t>
            </w:r>
          </w:p>
          <w:p w14:paraId="1E983353" w14:textId="77777777" w:rsidR="00BE20F7" w:rsidRPr="004360BF" w:rsidRDefault="00BE20F7" w:rsidP="00E71941">
            <w:pPr>
              <w:numPr>
                <w:ilvl w:val="0"/>
                <w:numId w:val="22"/>
              </w:numPr>
              <w:spacing w:before="40" w:after="40"/>
              <w:rPr>
                <w:rFonts w:cs="Tahoma"/>
                <w:sz w:val="22"/>
                <w:szCs w:val="22"/>
                <w:lang w:val="en-AU"/>
              </w:rPr>
            </w:pPr>
            <w:r w:rsidRPr="004360BF">
              <w:rPr>
                <w:rFonts w:cs="Tahoma"/>
                <w:sz w:val="22"/>
                <w:szCs w:val="22"/>
                <w:lang w:val="en-AU"/>
              </w:rPr>
              <w:t>out of sequence (unscheduled) meter reading services;</w:t>
            </w:r>
          </w:p>
          <w:p w14:paraId="4FF5C454" w14:textId="77777777" w:rsidR="00BE20F7" w:rsidRPr="004360BF" w:rsidRDefault="00BE20F7" w:rsidP="00E71941">
            <w:pPr>
              <w:numPr>
                <w:ilvl w:val="0"/>
                <w:numId w:val="22"/>
              </w:numPr>
              <w:spacing w:before="40" w:after="40"/>
              <w:rPr>
                <w:rFonts w:cs="Tahoma"/>
                <w:sz w:val="22"/>
                <w:szCs w:val="22"/>
                <w:lang w:val="en-AU"/>
              </w:rPr>
            </w:pPr>
            <w:r w:rsidRPr="004360BF">
              <w:rPr>
                <w:rFonts w:cs="Tahoma"/>
                <w:sz w:val="22"/>
                <w:szCs w:val="22"/>
                <w:lang w:val="en-AU"/>
              </w:rPr>
              <w:t>meter program changes;</w:t>
            </w:r>
          </w:p>
          <w:p w14:paraId="2279A7CE" w14:textId="77777777" w:rsidR="00BE20F7" w:rsidRPr="004360BF" w:rsidRDefault="00BE20F7" w:rsidP="00E71941">
            <w:pPr>
              <w:numPr>
                <w:ilvl w:val="0"/>
                <w:numId w:val="22"/>
              </w:numPr>
              <w:spacing w:before="40" w:after="40"/>
              <w:rPr>
                <w:rFonts w:cs="Tahoma"/>
                <w:sz w:val="22"/>
                <w:szCs w:val="22"/>
                <w:lang w:val="en-AU"/>
              </w:rPr>
            </w:pPr>
            <w:r w:rsidRPr="004360BF">
              <w:rPr>
                <w:rFonts w:cs="Tahoma"/>
                <w:sz w:val="22"/>
                <w:szCs w:val="22"/>
                <w:lang w:val="en-AU"/>
              </w:rPr>
              <w:t>testing or inspection of metering assets;</w:t>
            </w:r>
          </w:p>
          <w:p w14:paraId="302742C8" w14:textId="77777777" w:rsidR="00BE20F7" w:rsidRPr="004360BF" w:rsidRDefault="00BE20F7" w:rsidP="00E71941">
            <w:pPr>
              <w:numPr>
                <w:ilvl w:val="0"/>
                <w:numId w:val="22"/>
              </w:numPr>
              <w:spacing w:before="40" w:after="40"/>
              <w:rPr>
                <w:rFonts w:cs="Tahoma"/>
                <w:sz w:val="22"/>
                <w:szCs w:val="22"/>
                <w:lang w:val="en-AU"/>
              </w:rPr>
            </w:pPr>
            <w:r w:rsidRPr="004360BF">
              <w:rPr>
                <w:rFonts w:cs="Tahoma"/>
                <w:sz w:val="22"/>
                <w:szCs w:val="22"/>
                <w:lang w:val="en-AU"/>
              </w:rPr>
              <w:t>removal or relocation of metering assets;</w:t>
            </w:r>
          </w:p>
          <w:p w14:paraId="6D39CE4B" w14:textId="77777777" w:rsidR="00BE20F7" w:rsidRPr="004360BF" w:rsidRDefault="00BE20F7" w:rsidP="00E71941">
            <w:pPr>
              <w:numPr>
                <w:ilvl w:val="0"/>
                <w:numId w:val="22"/>
              </w:numPr>
              <w:spacing w:before="40" w:after="40"/>
              <w:rPr>
                <w:rFonts w:cs="Tahoma"/>
                <w:sz w:val="22"/>
                <w:szCs w:val="22"/>
                <w:lang w:val="en-AU"/>
              </w:rPr>
            </w:pPr>
            <w:r w:rsidRPr="004360BF">
              <w:rPr>
                <w:rFonts w:cs="Tahoma"/>
                <w:sz w:val="22"/>
                <w:szCs w:val="22"/>
                <w:lang w:val="en-AU"/>
              </w:rPr>
              <w:lastRenderedPageBreak/>
              <w:t>the exchange or replacement of metering assets;</w:t>
            </w:r>
          </w:p>
          <w:p w14:paraId="5DABF2B4" w14:textId="77777777" w:rsidR="00BE20F7" w:rsidRPr="004360BF" w:rsidRDefault="00BE20F7" w:rsidP="00E71941">
            <w:pPr>
              <w:numPr>
                <w:ilvl w:val="0"/>
                <w:numId w:val="22"/>
              </w:numPr>
              <w:spacing w:before="40" w:after="40"/>
              <w:rPr>
                <w:rFonts w:cs="Tahoma"/>
                <w:sz w:val="22"/>
                <w:szCs w:val="22"/>
                <w:lang w:val="en-AU"/>
              </w:rPr>
            </w:pPr>
            <w:r w:rsidRPr="004360BF">
              <w:rPr>
                <w:rFonts w:cs="Tahoma"/>
                <w:sz w:val="22"/>
                <w:szCs w:val="22"/>
                <w:lang w:val="en-AU"/>
              </w:rPr>
              <w:t>installation of prepayment meters; and</w:t>
            </w:r>
          </w:p>
          <w:p w14:paraId="288ACD1E" w14:textId="77777777" w:rsidR="00BE20F7" w:rsidRPr="004360BF" w:rsidRDefault="00BE20F7" w:rsidP="00E71941">
            <w:pPr>
              <w:numPr>
                <w:ilvl w:val="0"/>
                <w:numId w:val="22"/>
              </w:numPr>
              <w:spacing w:before="40" w:after="40"/>
              <w:rPr>
                <w:rFonts w:cs="Tahoma"/>
                <w:sz w:val="22"/>
                <w:szCs w:val="22"/>
                <w:lang w:val="en-AU"/>
              </w:rPr>
            </w:pPr>
            <w:proofErr w:type="gramStart"/>
            <w:r w:rsidRPr="004360BF">
              <w:rPr>
                <w:rFonts w:cs="Tahoma"/>
                <w:sz w:val="22"/>
                <w:szCs w:val="22"/>
                <w:lang w:val="en-AU"/>
              </w:rPr>
              <w:t>provision</w:t>
            </w:r>
            <w:proofErr w:type="gramEnd"/>
            <w:r w:rsidRPr="004360BF">
              <w:rPr>
                <w:rFonts w:cs="Tahoma"/>
                <w:sz w:val="22"/>
                <w:szCs w:val="22"/>
                <w:lang w:val="en-AU"/>
              </w:rPr>
              <w:t xml:space="preserve"> of a permanent three-phase service.</w:t>
            </w:r>
          </w:p>
          <w:p w14:paraId="6FEBB6B0"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The provision of less routine services is subject to quotation (Quoted Services).</w:t>
            </w:r>
          </w:p>
        </w:tc>
      </w:tr>
      <w:tr w:rsidR="00BE20F7" w:rsidRPr="004360BF" w14:paraId="44D44AAF" w14:textId="77777777" w:rsidTr="00750C6D">
        <w:trPr>
          <w:trHeight w:val="357"/>
        </w:trPr>
        <w:tc>
          <w:tcPr>
            <w:tcW w:w="2835" w:type="dxa"/>
            <w:tcMar>
              <w:top w:w="0" w:type="dxa"/>
              <w:left w:w="57" w:type="dxa"/>
              <w:bottom w:w="28" w:type="dxa"/>
              <w:right w:w="57" w:type="dxa"/>
            </w:tcMar>
          </w:tcPr>
          <w:p w14:paraId="7B8C70D0"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lastRenderedPageBreak/>
              <w:t>Street light services</w:t>
            </w:r>
          </w:p>
        </w:tc>
        <w:tc>
          <w:tcPr>
            <w:tcW w:w="6379" w:type="dxa"/>
            <w:tcMar>
              <w:top w:w="0" w:type="dxa"/>
              <w:left w:w="57" w:type="dxa"/>
              <w:bottom w:w="28" w:type="dxa"/>
              <w:right w:w="57" w:type="dxa"/>
            </w:tcMar>
          </w:tcPr>
          <w:p w14:paraId="55D0C2F6"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 xml:space="preserve">Provision, construction and maintenance of street lighting assets. </w:t>
            </w:r>
          </w:p>
        </w:tc>
      </w:tr>
      <w:tr w:rsidR="00BE20F7" w:rsidRPr="004360BF" w14:paraId="60CD1E93" w14:textId="77777777" w:rsidTr="00750C6D">
        <w:trPr>
          <w:trHeight w:val="357"/>
        </w:trPr>
        <w:tc>
          <w:tcPr>
            <w:tcW w:w="2835" w:type="dxa"/>
            <w:tcMar>
              <w:top w:w="0" w:type="dxa"/>
              <w:left w:w="57" w:type="dxa"/>
              <w:bottom w:w="28" w:type="dxa"/>
              <w:right w:w="57" w:type="dxa"/>
            </w:tcMar>
          </w:tcPr>
          <w:p w14:paraId="1F41E3F5"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Non-standard data services</w:t>
            </w:r>
          </w:p>
        </w:tc>
        <w:tc>
          <w:tcPr>
            <w:tcW w:w="6379" w:type="dxa"/>
            <w:tcMar>
              <w:top w:w="0" w:type="dxa"/>
              <w:left w:w="57" w:type="dxa"/>
              <w:bottom w:w="28" w:type="dxa"/>
              <w:right w:w="57" w:type="dxa"/>
            </w:tcMar>
          </w:tcPr>
          <w:p w14:paraId="3DD2F350"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Provision of non-standard data services of a routine nature.</w:t>
            </w:r>
          </w:p>
        </w:tc>
      </w:tr>
      <w:tr w:rsidR="00BE20F7" w:rsidRPr="004360BF" w14:paraId="109F1AF1" w14:textId="77777777" w:rsidTr="00750C6D">
        <w:trPr>
          <w:trHeight w:val="357"/>
        </w:trPr>
        <w:tc>
          <w:tcPr>
            <w:tcW w:w="2835" w:type="dxa"/>
            <w:tcMar>
              <w:top w:w="0" w:type="dxa"/>
              <w:left w:w="57" w:type="dxa"/>
              <w:bottom w:w="28" w:type="dxa"/>
              <w:right w:w="57" w:type="dxa"/>
            </w:tcMar>
          </w:tcPr>
          <w:p w14:paraId="381AD76D"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Disconnection and reconnection</w:t>
            </w:r>
          </w:p>
        </w:tc>
        <w:tc>
          <w:tcPr>
            <w:tcW w:w="6379" w:type="dxa"/>
            <w:tcMar>
              <w:top w:w="0" w:type="dxa"/>
              <w:left w:w="57" w:type="dxa"/>
              <w:bottom w:w="28" w:type="dxa"/>
              <w:right w:w="57" w:type="dxa"/>
            </w:tcMar>
          </w:tcPr>
          <w:p w14:paraId="78C74B42"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Providing temporary disconnection and reconnection of supply at a connection point at the request of a network user or market participant and in accordance with the terms of the Network Technical Code.</w:t>
            </w:r>
          </w:p>
        </w:tc>
      </w:tr>
      <w:tr w:rsidR="00BE20F7" w:rsidRPr="004360BF" w14:paraId="272ACF16" w14:textId="77777777" w:rsidTr="00750C6D">
        <w:trPr>
          <w:trHeight w:val="357"/>
        </w:trPr>
        <w:tc>
          <w:tcPr>
            <w:tcW w:w="2835" w:type="dxa"/>
            <w:tcMar>
              <w:top w:w="0" w:type="dxa"/>
              <w:left w:w="57" w:type="dxa"/>
              <w:bottom w:w="28" w:type="dxa"/>
              <w:right w:w="57" w:type="dxa"/>
            </w:tcMar>
          </w:tcPr>
          <w:p w14:paraId="42D93BAF"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Fault response – not PWC Networks’ equipment</w:t>
            </w:r>
          </w:p>
        </w:tc>
        <w:tc>
          <w:tcPr>
            <w:tcW w:w="6379" w:type="dxa"/>
            <w:tcMar>
              <w:top w:w="0" w:type="dxa"/>
              <w:left w:w="57" w:type="dxa"/>
              <w:bottom w:w="28" w:type="dxa"/>
              <w:right w:w="57" w:type="dxa"/>
            </w:tcMar>
          </w:tcPr>
          <w:p w14:paraId="22D381E4"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Attendance in response to advice of a fault by a network user where the fault is not associated with PWC Networks’ assets or metering equipment.</w:t>
            </w:r>
          </w:p>
        </w:tc>
      </w:tr>
      <w:tr w:rsidR="00BE20F7" w:rsidRPr="004360BF" w14:paraId="1C1DBB84" w14:textId="77777777" w:rsidTr="00750C6D">
        <w:trPr>
          <w:trHeight w:val="357"/>
        </w:trPr>
        <w:tc>
          <w:tcPr>
            <w:tcW w:w="2835" w:type="dxa"/>
            <w:tcMar>
              <w:top w:w="0" w:type="dxa"/>
              <w:left w:w="57" w:type="dxa"/>
              <w:bottom w:w="28" w:type="dxa"/>
              <w:right w:w="57" w:type="dxa"/>
            </w:tcMar>
          </w:tcPr>
          <w:p w14:paraId="30574EDE"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Installation of minor equipment to the network</w:t>
            </w:r>
          </w:p>
        </w:tc>
        <w:tc>
          <w:tcPr>
            <w:tcW w:w="6379" w:type="dxa"/>
            <w:tcMar>
              <w:top w:w="0" w:type="dxa"/>
              <w:left w:w="57" w:type="dxa"/>
              <w:bottom w:w="28" w:type="dxa"/>
              <w:right w:w="57" w:type="dxa"/>
            </w:tcMar>
          </w:tcPr>
          <w:p w14:paraId="20796641"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This includes but is not necessarily limited to:</w:t>
            </w:r>
          </w:p>
          <w:p w14:paraId="6C5489A7" w14:textId="77777777" w:rsidR="00BE20F7" w:rsidRPr="004360BF" w:rsidRDefault="00BE20F7" w:rsidP="00E71941">
            <w:pPr>
              <w:numPr>
                <w:ilvl w:val="0"/>
                <w:numId w:val="13"/>
              </w:numPr>
              <w:spacing w:before="40" w:after="40"/>
              <w:rPr>
                <w:rFonts w:cs="Tahoma"/>
                <w:sz w:val="22"/>
                <w:szCs w:val="22"/>
                <w:lang w:val="en-AU"/>
              </w:rPr>
            </w:pPr>
            <w:r w:rsidRPr="004360BF">
              <w:rPr>
                <w:rFonts w:cs="Tahoma"/>
                <w:sz w:val="22"/>
                <w:szCs w:val="22"/>
                <w:lang w:val="en-AU"/>
              </w:rPr>
              <w:t>installation of tiger tails on PWC Networks assets;</w:t>
            </w:r>
          </w:p>
          <w:p w14:paraId="0231B4CC" w14:textId="77777777" w:rsidR="00BE20F7" w:rsidRPr="004360BF" w:rsidRDefault="00BE20F7" w:rsidP="00E71941">
            <w:pPr>
              <w:numPr>
                <w:ilvl w:val="0"/>
                <w:numId w:val="13"/>
              </w:numPr>
              <w:spacing w:before="40" w:after="40"/>
              <w:rPr>
                <w:rFonts w:cs="Tahoma"/>
                <w:sz w:val="22"/>
                <w:szCs w:val="22"/>
                <w:lang w:val="en-AU"/>
              </w:rPr>
            </w:pPr>
            <w:proofErr w:type="spellStart"/>
            <w:r w:rsidRPr="004360BF">
              <w:rPr>
                <w:rFonts w:cs="Tahoma"/>
                <w:sz w:val="22"/>
                <w:szCs w:val="22"/>
                <w:lang w:val="en-AU"/>
              </w:rPr>
              <w:t>polylogger</w:t>
            </w:r>
            <w:proofErr w:type="spellEnd"/>
            <w:r w:rsidRPr="004360BF">
              <w:rPr>
                <w:rFonts w:cs="Tahoma"/>
                <w:sz w:val="22"/>
                <w:szCs w:val="22"/>
                <w:lang w:val="en-AU"/>
              </w:rPr>
              <w:t xml:space="preserve"> test equipment at the user's premises; and</w:t>
            </w:r>
          </w:p>
          <w:p w14:paraId="47F1A397" w14:textId="77777777" w:rsidR="00BE20F7" w:rsidRPr="004360BF" w:rsidRDefault="00BE20F7" w:rsidP="00E71941">
            <w:pPr>
              <w:numPr>
                <w:ilvl w:val="0"/>
                <w:numId w:val="13"/>
              </w:numPr>
              <w:spacing w:before="40" w:after="40"/>
              <w:rPr>
                <w:rFonts w:cs="Tahoma"/>
                <w:sz w:val="22"/>
                <w:szCs w:val="22"/>
                <w:lang w:val="en-AU"/>
              </w:rPr>
            </w:pPr>
            <w:proofErr w:type="gramStart"/>
            <w:r w:rsidRPr="004360BF">
              <w:rPr>
                <w:rFonts w:cs="Tahoma"/>
                <w:sz w:val="22"/>
                <w:szCs w:val="22"/>
                <w:lang w:val="en-AU"/>
              </w:rPr>
              <w:t>rental</w:t>
            </w:r>
            <w:proofErr w:type="gramEnd"/>
            <w:r w:rsidRPr="004360BF">
              <w:rPr>
                <w:rFonts w:cs="Tahoma"/>
                <w:sz w:val="22"/>
                <w:szCs w:val="22"/>
                <w:lang w:val="en-AU"/>
              </w:rPr>
              <w:t xml:space="preserve"> cost of minor equipment.</w:t>
            </w:r>
          </w:p>
        </w:tc>
      </w:tr>
      <w:tr w:rsidR="00BE20F7" w:rsidRPr="004360BF" w14:paraId="51C8CB12" w14:textId="77777777" w:rsidTr="00750C6D">
        <w:trPr>
          <w:trHeight w:val="357"/>
        </w:trPr>
        <w:tc>
          <w:tcPr>
            <w:tcW w:w="2835" w:type="dxa"/>
            <w:tcMar>
              <w:top w:w="0" w:type="dxa"/>
              <w:left w:w="57" w:type="dxa"/>
              <w:bottom w:w="28" w:type="dxa"/>
              <w:right w:w="57" w:type="dxa"/>
            </w:tcMar>
          </w:tcPr>
          <w:p w14:paraId="3BAF7166"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Travel costs</w:t>
            </w:r>
          </w:p>
        </w:tc>
        <w:tc>
          <w:tcPr>
            <w:tcW w:w="6379" w:type="dxa"/>
            <w:tcMar>
              <w:top w:w="0" w:type="dxa"/>
              <w:left w:w="57" w:type="dxa"/>
              <w:bottom w:w="28" w:type="dxa"/>
              <w:right w:w="57" w:type="dxa"/>
            </w:tcMar>
          </w:tcPr>
          <w:p w14:paraId="549E239B" w14:textId="77777777" w:rsidR="00BE20F7" w:rsidRPr="004360BF" w:rsidRDefault="00BE20F7" w:rsidP="00E71941">
            <w:pPr>
              <w:spacing w:before="40" w:after="40"/>
              <w:rPr>
                <w:rFonts w:cs="Tahoma"/>
                <w:sz w:val="22"/>
                <w:szCs w:val="22"/>
                <w:lang w:val="en-AU"/>
              </w:rPr>
            </w:pPr>
            <w:r w:rsidRPr="004360BF">
              <w:rPr>
                <w:rFonts w:cs="Tahoma"/>
                <w:sz w:val="22"/>
                <w:szCs w:val="22"/>
                <w:lang w:val="en-AU"/>
              </w:rPr>
              <w:t>Where PWC Networks’ personnel are required to attend rural locations more than 100kms from the relevant PWC Networks depot.</w:t>
            </w:r>
          </w:p>
        </w:tc>
      </w:tr>
    </w:tbl>
    <w:p w14:paraId="1F23629C" w14:textId="77777777" w:rsidR="00BE20F7" w:rsidRPr="004360BF" w:rsidRDefault="00BE20F7" w:rsidP="001423E7">
      <w:pPr>
        <w:pStyle w:val="Caption"/>
        <w:spacing w:before="240"/>
        <w:rPr>
          <w:sz w:val="22"/>
          <w:u w:val="single"/>
          <w:lang w:val="en-AU"/>
        </w:rPr>
      </w:pPr>
      <w:r w:rsidRPr="004360BF">
        <w:rPr>
          <w:sz w:val="22"/>
          <w:u w:val="single"/>
          <w:lang w:val="en-AU"/>
        </w:rPr>
        <w:t>Excluded network access services subject to effective competition</w:t>
      </w:r>
    </w:p>
    <w:tbl>
      <w:tblPr>
        <w:tblW w:w="9214"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835"/>
        <w:gridCol w:w="6379"/>
      </w:tblGrid>
      <w:tr w:rsidR="00BE20F7" w:rsidRPr="004360BF" w14:paraId="301D9B5B" w14:textId="77777777" w:rsidTr="00750C6D">
        <w:trPr>
          <w:trHeight w:val="357"/>
          <w:tblHeader/>
        </w:trPr>
        <w:tc>
          <w:tcPr>
            <w:tcW w:w="2835" w:type="dxa"/>
            <w:shd w:val="solid" w:color="C6D9F1" w:themeColor="text2" w:themeTint="33" w:fill="auto"/>
            <w:tcMar>
              <w:top w:w="0" w:type="dxa"/>
              <w:left w:w="57" w:type="dxa"/>
              <w:bottom w:w="28" w:type="dxa"/>
              <w:right w:w="57" w:type="dxa"/>
            </w:tcMar>
            <w:vAlign w:val="bottom"/>
          </w:tcPr>
          <w:p w14:paraId="2B8AB1D2" w14:textId="77777777" w:rsidR="00BE20F7" w:rsidRPr="004360BF" w:rsidRDefault="00BE20F7" w:rsidP="00E71941">
            <w:pPr>
              <w:spacing w:before="40" w:after="40" w:line="280" w:lineRule="exact"/>
              <w:rPr>
                <w:rFonts w:cs="Tahoma"/>
                <w:b/>
                <w:sz w:val="22"/>
                <w:szCs w:val="22"/>
                <w:lang w:val="en-AU"/>
              </w:rPr>
            </w:pPr>
            <w:r w:rsidRPr="004360BF">
              <w:rPr>
                <w:rFonts w:cs="Tahoma"/>
                <w:b/>
                <w:sz w:val="22"/>
                <w:szCs w:val="22"/>
                <w:lang w:val="en-AU"/>
              </w:rPr>
              <w:t>Service group</w:t>
            </w:r>
          </w:p>
        </w:tc>
        <w:tc>
          <w:tcPr>
            <w:tcW w:w="6379" w:type="dxa"/>
            <w:shd w:val="solid" w:color="C6D9F1" w:themeColor="text2" w:themeTint="33" w:fill="auto"/>
            <w:tcMar>
              <w:top w:w="0" w:type="dxa"/>
              <w:left w:w="57" w:type="dxa"/>
              <w:bottom w:w="28" w:type="dxa"/>
              <w:right w:w="57" w:type="dxa"/>
            </w:tcMar>
            <w:vAlign w:val="bottom"/>
          </w:tcPr>
          <w:p w14:paraId="02D49325" w14:textId="77777777" w:rsidR="00BE20F7" w:rsidRPr="004360BF" w:rsidRDefault="00BE20F7" w:rsidP="00E71941">
            <w:pPr>
              <w:spacing w:before="40" w:after="40" w:line="280" w:lineRule="exact"/>
              <w:rPr>
                <w:rFonts w:cs="Tahoma"/>
                <w:b/>
                <w:sz w:val="22"/>
                <w:szCs w:val="22"/>
                <w:lang w:val="en-AU"/>
              </w:rPr>
            </w:pPr>
            <w:r w:rsidRPr="004360BF">
              <w:rPr>
                <w:rFonts w:cs="Tahoma"/>
                <w:b/>
                <w:sz w:val="22"/>
                <w:szCs w:val="22"/>
                <w:lang w:val="en-AU"/>
              </w:rPr>
              <w:t>Activities description</w:t>
            </w:r>
          </w:p>
        </w:tc>
      </w:tr>
      <w:tr w:rsidR="00BE20F7" w:rsidRPr="004360BF" w14:paraId="185EECE7" w14:textId="77777777" w:rsidTr="00750C6D">
        <w:trPr>
          <w:trHeight w:val="357"/>
        </w:trPr>
        <w:tc>
          <w:tcPr>
            <w:tcW w:w="2835" w:type="dxa"/>
            <w:tcMar>
              <w:top w:w="0" w:type="dxa"/>
              <w:left w:w="57" w:type="dxa"/>
              <w:bottom w:w="28" w:type="dxa"/>
              <w:right w:w="57" w:type="dxa"/>
            </w:tcMar>
          </w:tcPr>
          <w:p w14:paraId="7ADDAC47"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Equipment rental for non-network purposes</w:t>
            </w:r>
          </w:p>
        </w:tc>
        <w:tc>
          <w:tcPr>
            <w:tcW w:w="6379" w:type="dxa"/>
            <w:tcMar>
              <w:top w:w="0" w:type="dxa"/>
              <w:left w:w="57" w:type="dxa"/>
              <w:bottom w:w="28" w:type="dxa"/>
              <w:right w:w="57" w:type="dxa"/>
            </w:tcMar>
          </w:tcPr>
          <w:p w14:paraId="252715CF"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Equipment rental charges may be but are not necessarily limited to the following:</w:t>
            </w:r>
          </w:p>
          <w:p w14:paraId="677C5CF8" w14:textId="77777777" w:rsidR="00BE20F7" w:rsidRPr="004360BF" w:rsidRDefault="00BE20F7" w:rsidP="00E71941">
            <w:pPr>
              <w:numPr>
                <w:ilvl w:val="0"/>
                <w:numId w:val="13"/>
              </w:numPr>
              <w:spacing w:before="40" w:after="40" w:line="280" w:lineRule="exact"/>
              <w:rPr>
                <w:rFonts w:cs="Tahoma"/>
                <w:sz w:val="22"/>
                <w:szCs w:val="22"/>
                <w:lang w:val="en-AU"/>
              </w:rPr>
            </w:pPr>
            <w:r w:rsidRPr="004360BF">
              <w:rPr>
                <w:rFonts w:cs="Tahoma"/>
                <w:sz w:val="22"/>
                <w:szCs w:val="22"/>
                <w:lang w:val="en-AU"/>
              </w:rPr>
              <w:t>for the attachment of communications services such as coaxial or fibre optic cables;</w:t>
            </w:r>
          </w:p>
          <w:p w14:paraId="29078DD5" w14:textId="77777777" w:rsidR="00BE20F7" w:rsidRPr="004360BF" w:rsidRDefault="00BE20F7" w:rsidP="00E71941">
            <w:pPr>
              <w:numPr>
                <w:ilvl w:val="0"/>
                <w:numId w:val="13"/>
              </w:numPr>
              <w:spacing w:before="40" w:after="40" w:line="280" w:lineRule="exact"/>
              <w:rPr>
                <w:rFonts w:cs="Tahoma"/>
                <w:sz w:val="22"/>
                <w:szCs w:val="22"/>
                <w:lang w:val="en-AU"/>
              </w:rPr>
            </w:pPr>
            <w:r w:rsidRPr="004360BF">
              <w:rPr>
                <w:rFonts w:cs="Tahoma"/>
                <w:sz w:val="22"/>
                <w:szCs w:val="22"/>
                <w:lang w:val="en-AU"/>
              </w:rPr>
              <w:t>for pole attachments, ducts or conduits; and</w:t>
            </w:r>
          </w:p>
          <w:p w14:paraId="21D8E1E6" w14:textId="77777777" w:rsidR="00BE20F7" w:rsidRPr="004360BF" w:rsidRDefault="00BE20F7" w:rsidP="00E71941">
            <w:pPr>
              <w:numPr>
                <w:ilvl w:val="0"/>
                <w:numId w:val="13"/>
              </w:numPr>
              <w:spacing w:before="40" w:after="40" w:line="280" w:lineRule="exact"/>
              <w:rPr>
                <w:rFonts w:cs="Tahoma"/>
                <w:sz w:val="22"/>
                <w:szCs w:val="22"/>
                <w:lang w:val="en-AU"/>
              </w:rPr>
            </w:pPr>
            <w:proofErr w:type="gramStart"/>
            <w:r w:rsidRPr="004360BF">
              <w:rPr>
                <w:rFonts w:cs="Tahoma"/>
                <w:sz w:val="22"/>
                <w:szCs w:val="22"/>
                <w:lang w:val="en-AU"/>
              </w:rPr>
              <w:t>for</w:t>
            </w:r>
            <w:proofErr w:type="gramEnd"/>
            <w:r w:rsidRPr="004360BF">
              <w:rPr>
                <w:rFonts w:cs="Tahoma"/>
                <w:sz w:val="22"/>
                <w:szCs w:val="22"/>
                <w:lang w:val="en-AU"/>
              </w:rPr>
              <w:t xml:space="preserve"> the use of tunnels or ducts by communications or other services.</w:t>
            </w:r>
          </w:p>
        </w:tc>
      </w:tr>
      <w:tr w:rsidR="00BE20F7" w:rsidRPr="004360BF" w14:paraId="6A4660EF" w14:textId="77777777" w:rsidTr="00750C6D">
        <w:trPr>
          <w:trHeight w:val="357"/>
        </w:trPr>
        <w:tc>
          <w:tcPr>
            <w:tcW w:w="2835" w:type="dxa"/>
            <w:tcMar>
              <w:top w:w="0" w:type="dxa"/>
              <w:left w:w="57" w:type="dxa"/>
              <w:bottom w:w="28" w:type="dxa"/>
              <w:right w:w="57" w:type="dxa"/>
            </w:tcMar>
          </w:tcPr>
          <w:p w14:paraId="0CB3242D"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Investigation and testing services</w:t>
            </w:r>
          </w:p>
        </w:tc>
        <w:tc>
          <w:tcPr>
            <w:tcW w:w="6379" w:type="dxa"/>
            <w:tcMar>
              <w:top w:w="0" w:type="dxa"/>
              <w:left w:w="57" w:type="dxa"/>
              <w:bottom w:w="28" w:type="dxa"/>
              <w:right w:w="57" w:type="dxa"/>
            </w:tcMar>
          </w:tcPr>
          <w:p w14:paraId="4F7F860C"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Investigation and testing services requested by a network user.</w:t>
            </w:r>
          </w:p>
        </w:tc>
      </w:tr>
      <w:tr w:rsidR="00BE20F7" w:rsidRPr="004360BF" w14:paraId="560AFB11" w14:textId="77777777" w:rsidTr="00750C6D">
        <w:trPr>
          <w:trHeight w:val="357"/>
        </w:trPr>
        <w:tc>
          <w:tcPr>
            <w:tcW w:w="2835" w:type="dxa"/>
            <w:tcMar>
              <w:top w:w="0" w:type="dxa"/>
              <w:left w:w="57" w:type="dxa"/>
              <w:bottom w:w="28" w:type="dxa"/>
              <w:right w:w="57" w:type="dxa"/>
            </w:tcMar>
          </w:tcPr>
          <w:p w14:paraId="2901A437"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Contestable networks engineering consulting services</w:t>
            </w:r>
          </w:p>
        </w:tc>
        <w:tc>
          <w:tcPr>
            <w:tcW w:w="6379" w:type="dxa"/>
            <w:tcMar>
              <w:top w:w="0" w:type="dxa"/>
              <w:left w:w="57" w:type="dxa"/>
              <w:bottom w:w="28" w:type="dxa"/>
              <w:right w:w="57" w:type="dxa"/>
            </w:tcMar>
          </w:tcPr>
          <w:p w14:paraId="3F05A154" w14:textId="77777777" w:rsidR="00BE20F7" w:rsidRPr="004360BF" w:rsidRDefault="00BE20F7" w:rsidP="00E71941">
            <w:pPr>
              <w:spacing w:before="40" w:after="40" w:line="280" w:lineRule="exact"/>
              <w:rPr>
                <w:rFonts w:cs="Tahoma"/>
                <w:sz w:val="22"/>
                <w:szCs w:val="22"/>
                <w:lang w:val="en-AU"/>
              </w:rPr>
            </w:pPr>
            <w:r w:rsidRPr="004360BF">
              <w:rPr>
                <w:rFonts w:cs="Tahoma"/>
                <w:sz w:val="22"/>
                <w:szCs w:val="22"/>
                <w:lang w:val="en-AU"/>
              </w:rPr>
              <w:t>Consulting services provided by PWC Networks to network users and third parties.</w:t>
            </w:r>
          </w:p>
        </w:tc>
      </w:tr>
    </w:tbl>
    <w:p w14:paraId="7E4E960F" w14:textId="77777777" w:rsidR="00BE20F7" w:rsidRPr="004360BF" w:rsidRDefault="00BE20F7">
      <w:pPr>
        <w:spacing w:after="0"/>
        <w:rPr>
          <w:rFonts w:ascii="Arial" w:eastAsia="MS Gothic" w:hAnsi="Arial"/>
          <w:b/>
          <w:bCs/>
          <w:sz w:val="26"/>
          <w:szCs w:val="28"/>
          <w:lang w:val="en-AU"/>
        </w:rPr>
      </w:pPr>
      <w:r w:rsidRPr="004360BF">
        <w:rPr>
          <w:lang w:val="en-AU"/>
        </w:rPr>
        <w:br w:type="page"/>
      </w:r>
    </w:p>
    <w:p w14:paraId="27DFCA51" w14:textId="77777777" w:rsidR="009874AC" w:rsidRPr="004360BF" w:rsidRDefault="009874AC" w:rsidP="00B30BF6">
      <w:pPr>
        <w:pStyle w:val="Heading1"/>
        <w:numPr>
          <w:ilvl w:val="0"/>
          <w:numId w:val="0"/>
        </w:numPr>
      </w:pPr>
      <w:bookmarkStart w:id="496" w:name="_Toc417291275"/>
      <w:bookmarkStart w:id="497" w:name="_Toc417291788"/>
      <w:bookmarkStart w:id="498" w:name="_Toc417292556"/>
      <w:bookmarkStart w:id="499" w:name="_Toc291262274"/>
      <w:bookmarkStart w:id="500" w:name="_Toc417458037"/>
      <w:bookmarkStart w:id="501" w:name="_Toc418608706"/>
      <w:bookmarkStart w:id="502" w:name="_Ref211500957"/>
      <w:r w:rsidRPr="004360BF">
        <w:lastRenderedPageBreak/>
        <w:t xml:space="preserve">Attachment </w:t>
      </w:r>
      <w:r w:rsidR="00A14042" w:rsidRPr="004360BF">
        <w:t>2</w:t>
      </w:r>
      <w:r w:rsidRPr="004360BF">
        <w:t xml:space="preserve"> – Cost of Supply </w:t>
      </w:r>
      <w:r w:rsidR="00D66923" w:rsidRPr="004360BF">
        <w:t>M</w:t>
      </w:r>
      <w:r w:rsidRPr="004360BF">
        <w:t>odelling</w:t>
      </w:r>
      <w:bookmarkEnd w:id="496"/>
      <w:bookmarkEnd w:id="497"/>
      <w:bookmarkEnd w:id="498"/>
      <w:bookmarkEnd w:id="499"/>
      <w:bookmarkEnd w:id="500"/>
      <w:bookmarkEnd w:id="501"/>
    </w:p>
    <w:p w14:paraId="4F614B7C" w14:textId="77777777" w:rsidR="009874AC" w:rsidRPr="004360BF" w:rsidRDefault="009874AC" w:rsidP="00C71AA5">
      <w:pPr>
        <w:rPr>
          <w:lang w:val="en-AU"/>
        </w:rPr>
      </w:pPr>
      <w:r w:rsidRPr="004360BF">
        <w:rPr>
          <w:lang w:val="en-AU"/>
        </w:rPr>
        <w:t xml:space="preserve">Distribution </w:t>
      </w:r>
      <w:r w:rsidR="005F5667" w:rsidRPr="004360BF">
        <w:rPr>
          <w:lang w:val="en-AU"/>
        </w:rPr>
        <w:t xml:space="preserve">network </w:t>
      </w:r>
      <w:r w:rsidRPr="004360BF">
        <w:rPr>
          <w:lang w:val="en-AU"/>
        </w:rPr>
        <w:t>businesses use a cost of supply model for the purpose of allocating costs to their tariffs.</w:t>
      </w:r>
      <w:r w:rsidR="00CC6CF8" w:rsidRPr="004360BF">
        <w:rPr>
          <w:lang w:val="en-AU"/>
        </w:rPr>
        <w:t xml:space="preserve"> </w:t>
      </w:r>
      <w:r w:rsidRPr="004360BF">
        <w:rPr>
          <w:lang w:val="en-AU"/>
        </w:rPr>
        <w:t>Only with this understanding of the cost structure of the business, can tariffs be constructed that are truly cost reflective.</w:t>
      </w:r>
      <w:r w:rsidR="00CC6CF8" w:rsidRPr="004360BF">
        <w:rPr>
          <w:lang w:val="en-AU"/>
        </w:rPr>
        <w:t xml:space="preserve"> </w:t>
      </w:r>
      <w:r w:rsidRPr="004360BF">
        <w:rPr>
          <w:lang w:val="en-AU"/>
        </w:rPr>
        <w:t xml:space="preserve">Power Networks has developed such a model in order to prepare </w:t>
      </w:r>
      <w:r w:rsidR="008D2EC1" w:rsidRPr="004360BF">
        <w:rPr>
          <w:lang w:val="en-AU"/>
        </w:rPr>
        <w:t>th</w:t>
      </w:r>
      <w:r w:rsidR="00BF3427" w:rsidRPr="004360BF">
        <w:rPr>
          <w:lang w:val="en-AU"/>
        </w:rPr>
        <w:t>e 201</w:t>
      </w:r>
      <w:r w:rsidR="00A352C7" w:rsidRPr="004360BF">
        <w:rPr>
          <w:lang w:val="en-AU"/>
        </w:rPr>
        <w:t>5</w:t>
      </w:r>
      <w:r w:rsidR="00BF3427" w:rsidRPr="004360BF">
        <w:rPr>
          <w:lang w:val="en-AU"/>
        </w:rPr>
        <w:t>/1</w:t>
      </w:r>
      <w:r w:rsidR="00A352C7" w:rsidRPr="004360BF">
        <w:rPr>
          <w:lang w:val="en-AU"/>
        </w:rPr>
        <w:t>6</w:t>
      </w:r>
      <w:r w:rsidR="00BF3427" w:rsidRPr="004360BF">
        <w:rPr>
          <w:lang w:val="en-AU"/>
        </w:rPr>
        <w:t xml:space="preserve"> </w:t>
      </w:r>
      <w:r w:rsidR="005F5667" w:rsidRPr="004360BF">
        <w:rPr>
          <w:lang w:val="en-AU"/>
        </w:rPr>
        <w:t xml:space="preserve">Network </w:t>
      </w:r>
      <w:r w:rsidR="008D2EC1" w:rsidRPr="004360BF">
        <w:rPr>
          <w:lang w:val="en-AU"/>
        </w:rPr>
        <w:t>Pricing P</w:t>
      </w:r>
      <w:r w:rsidRPr="004360BF">
        <w:rPr>
          <w:lang w:val="en-AU"/>
        </w:rPr>
        <w:t>roposal</w:t>
      </w:r>
      <w:r w:rsidR="005F5667" w:rsidRPr="004360BF">
        <w:rPr>
          <w:lang w:val="en-AU"/>
        </w:rPr>
        <w:t xml:space="preserve"> (2014</w:t>
      </w:r>
      <w:r w:rsidR="005F5667" w:rsidRPr="004360BF">
        <w:rPr>
          <w:lang w:val="en-AU"/>
        </w:rPr>
        <w:noBreakHyphen/>
        <w:t>15 Pricing Proposal Model)</w:t>
      </w:r>
      <w:r w:rsidRPr="004360BF">
        <w:rPr>
          <w:lang w:val="en-AU"/>
        </w:rPr>
        <w:t>.</w:t>
      </w:r>
    </w:p>
    <w:p w14:paraId="6299A784" w14:textId="2C36C3C9" w:rsidR="009874AC" w:rsidRPr="004360BF" w:rsidRDefault="009874AC" w:rsidP="008E6F86">
      <w:pPr>
        <w:keepNext/>
        <w:rPr>
          <w:lang w:val="en-AU"/>
        </w:rPr>
      </w:pPr>
      <w:r w:rsidRPr="004360BF">
        <w:rPr>
          <w:lang w:val="en-AU"/>
        </w:rPr>
        <w:t xml:space="preserve">The general approach to cost of supply modelling is illustrated in </w:t>
      </w:r>
      <w:r w:rsidR="00CC1083" w:rsidRPr="004360BF">
        <w:rPr>
          <w:lang w:val="en-AU"/>
        </w:rPr>
        <w:fldChar w:fldCharType="begin"/>
      </w:r>
      <w:r w:rsidR="00CC1083" w:rsidRPr="004360BF">
        <w:rPr>
          <w:lang w:val="en-AU"/>
        </w:rPr>
        <w:instrText xml:space="preserve"> REF _Ref214615415 \h </w:instrText>
      </w:r>
      <w:r w:rsidR="00CC1083" w:rsidRPr="004360BF">
        <w:rPr>
          <w:lang w:val="en-AU"/>
        </w:rPr>
      </w:r>
      <w:r w:rsidR="00CC1083" w:rsidRPr="004360BF">
        <w:rPr>
          <w:lang w:val="en-AU"/>
        </w:rPr>
        <w:fldChar w:fldCharType="separate"/>
      </w:r>
      <w:r w:rsidR="008D3215" w:rsidRPr="004360BF">
        <w:rPr>
          <w:lang w:val="en-AU"/>
        </w:rPr>
        <w:t xml:space="preserve">Figure </w:t>
      </w:r>
      <w:r w:rsidR="008D3215">
        <w:rPr>
          <w:noProof/>
          <w:lang w:val="en-AU"/>
        </w:rPr>
        <w:t>7</w:t>
      </w:r>
      <w:r w:rsidR="00CC1083" w:rsidRPr="004360BF">
        <w:rPr>
          <w:lang w:val="en-AU"/>
        </w:rPr>
        <w:fldChar w:fldCharType="end"/>
      </w:r>
      <w:r w:rsidRPr="004360BF">
        <w:rPr>
          <w:lang w:val="en-AU"/>
        </w:rPr>
        <w:t>.</w:t>
      </w:r>
    </w:p>
    <w:p w14:paraId="3BBC5A21" w14:textId="1687AD8B" w:rsidR="009874AC" w:rsidRPr="004360BF" w:rsidRDefault="009874AC" w:rsidP="00C71AA5">
      <w:pPr>
        <w:pStyle w:val="Caption"/>
        <w:rPr>
          <w:lang w:val="en-AU"/>
        </w:rPr>
      </w:pPr>
      <w:bookmarkStart w:id="503" w:name="_Ref214615415"/>
      <w:r w:rsidRPr="004360BF">
        <w:rPr>
          <w:lang w:val="en-AU"/>
        </w:rPr>
        <w:t xml:space="preserve">Figure </w:t>
      </w:r>
      <w:r w:rsidR="00EA0F43" w:rsidRPr="004360BF">
        <w:rPr>
          <w:lang w:val="en-AU"/>
        </w:rPr>
        <w:fldChar w:fldCharType="begin"/>
      </w:r>
      <w:r w:rsidR="00EA0F43" w:rsidRPr="004360BF">
        <w:rPr>
          <w:lang w:val="en-AU"/>
        </w:rPr>
        <w:instrText xml:space="preserve"> SEQ Figure \* ARABIC </w:instrText>
      </w:r>
      <w:r w:rsidR="00EA0F43" w:rsidRPr="004360BF">
        <w:rPr>
          <w:lang w:val="en-AU"/>
        </w:rPr>
        <w:fldChar w:fldCharType="separate"/>
      </w:r>
      <w:r w:rsidR="008D3215">
        <w:rPr>
          <w:noProof/>
          <w:lang w:val="en-AU"/>
        </w:rPr>
        <w:t>7</w:t>
      </w:r>
      <w:r w:rsidR="00EA0F43" w:rsidRPr="004360BF">
        <w:rPr>
          <w:lang w:val="en-AU"/>
        </w:rPr>
        <w:fldChar w:fldCharType="end"/>
      </w:r>
      <w:bookmarkEnd w:id="503"/>
      <w:r w:rsidRPr="004360BF">
        <w:rPr>
          <w:lang w:val="en-AU"/>
        </w:rPr>
        <w:t xml:space="preserve"> – Cost of supply modelling</w:t>
      </w:r>
    </w:p>
    <w:p w14:paraId="43DA8266" w14:textId="77777777" w:rsidR="00BF3427" w:rsidRPr="004360BF" w:rsidRDefault="00BF3427" w:rsidP="00BF3427">
      <w:pPr>
        <w:rPr>
          <w:highlight w:val="green"/>
          <w:lang w:val="en-AU"/>
        </w:rPr>
      </w:pPr>
      <w:r w:rsidRPr="004360BF">
        <w:rPr>
          <w:noProof/>
          <w:highlight w:val="green"/>
          <w:lang w:val="en-AU" w:eastAsia="en-AU"/>
        </w:rPr>
        <w:drawing>
          <wp:inline distT="0" distB="0" distL="0" distR="0" wp14:anchorId="79772D69" wp14:editId="6C1615CB">
            <wp:extent cx="5731510" cy="3344609"/>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344609"/>
                    </a:xfrm>
                    <a:prstGeom prst="rect">
                      <a:avLst/>
                    </a:prstGeom>
                    <a:noFill/>
                    <a:ln>
                      <a:noFill/>
                    </a:ln>
                  </pic:spPr>
                </pic:pic>
              </a:graphicData>
            </a:graphic>
          </wp:inline>
        </w:drawing>
      </w:r>
    </w:p>
    <w:p w14:paraId="30C957CD" w14:textId="77777777" w:rsidR="009874AC" w:rsidRPr="004360BF" w:rsidRDefault="009874AC" w:rsidP="00E71941">
      <w:pPr>
        <w:rPr>
          <w:lang w:val="en-AU"/>
        </w:rPr>
      </w:pPr>
      <w:r w:rsidRPr="004360BF">
        <w:rPr>
          <w:lang w:val="en-AU"/>
        </w:rPr>
        <w:t>The diagram depicting the network voltage levels at left has been developed for Power Networks’ configuration.</w:t>
      </w:r>
      <w:r w:rsidR="00CC6CF8" w:rsidRPr="004360BF">
        <w:rPr>
          <w:lang w:val="en-AU"/>
        </w:rPr>
        <w:t xml:space="preserve"> </w:t>
      </w:r>
      <w:r w:rsidRPr="004360BF">
        <w:rPr>
          <w:lang w:val="en-AU"/>
        </w:rPr>
        <w:t>The general principle is that the network costs are considered within pools.</w:t>
      </w:r>
      <w:r w:rsidR="00CC6CF8" w:rsidRPr="004360BF">
        <w:rPr>
          <w:lang w:val="en-AU"/>
        </w:rPr>
        <w:t xml:space="preserve"> </w:t>
      </w:r>
      <w:r w:rsidRPr="004360BF">
        <w:rPr>
          <w:lang w:val="en-AU"/>
        </w:rPr>
        <w:t>It is proposed that there would be 6 such cost pools for Power Networks (plus a common service component, discussed below).</w:t>
      </w:r>
    </w:p>
    <w:p w14:paraId="373A17A9" w14:textId="77777777" w:rsidR="009874AC" w:rsidRPr="004360BF" w:rsidRDefault="009874AC" w:rsidP="00E71941">
      <w:pPr>
        <w:rPr>
          <w:lang w:val="en-AU"/>
        </w:rPr>
      </w:pPr>
      <w:r w:rsidRPr="004360BF">
        <w:rPr>
          <w:lang w:val="en-AU"/>
        </w:rPr>
        <w:t xml:space="preserve">Each cost pool contains the capital and operating </w:t>
      </w:r>
      <w:r w:rsidR="00305137" w:rsidRPr="004360BF">
        <w:rPr>
          <w:lang w:val="en-AU"/>
        </w:rPr>
        <w:t xml:space="preserve">and maintenance </w:t>
      </w:r>
      <w:r w:rsidRPr="004360BF">
        <w:rPr>
          <w:lang w:val="en-AU"/>
        </w:rPr>
        <w:t>costs of the associated network assets.</w:t>
      </w:r>
      <w:r w:rsidR="00CC6CF8" w:rsidRPr="004360BF">
        <w:rPr>
          <w:lang w:val="en-AU"/>
        </w:rPr>
        <w:t xml:space="preserve"> </w:t>
      </w:r>
      <w:r w:rsidRPr="004360BF">
        <w:rPr>
          <w:lang w:val="en-AU"/>
        </w:rPr>
        <w:t>A process of allocation of the total network costs has been required in order to determine these pools, as described below.</w:t>
      </w:r>
    </w:p>
    <w:p w14:paraId="4AAA6D1C" w14:textId="77777777" w:rsidR="009874AC" w:rsidRPr="004360BF" w:rsidRDefault="009874AC" w:rsidP="00E71941">
      <w:pPr>
        <w:rPr>
          <w:lang w:val="en-AU"/>
        </w:rPr>
      </w:pPr>
      <w:r w:rsidRPr="004360BF">
        <w:rPr>
          <w:lang w:val="en-AU"/>
        </w:rPr>
        <w:t>The costs of each pool are allocated to the loads that make use of each pool.</w:t>
      </w:r>
      <w:r w:rsidR="00CC6CF8" w:rsidRPr="004360BF">
        <w:rPr>
          <w:lang w:val="en-AU"/>
        </w:rPr>
        <w:t xml:space="preserve"> </w:t>
      </w:r>
      <w:r w:rsidRPr="004360BF">
        <w:rPr>
          <w:lang w:val="en-AU"/>
        </w:rPr>
        <w:t xml:space="preserve">For example, a load connected at </w:t>
      </w:r>
      <w:r w:rsidR="00305137" w:rsidRPr="004360BF">
        <w:rPr>
          <w:lang w:val="en-AU"/>
        </w:rPr>
        <w:t>h</w:t>
      </w:r>
      <w:r w:rsidRPr="004360BF">
        <w:rPr>
          <w:lang w:val="en-AU"/>
        </w:rPr>
        <w:t xml:space="preserve">igh </w:t>
      </w:r>
      <w:r w:rsidR="00305137" w:rsidRPr="004360BF">
        <w:rPr>
          <w:lang w:val="en-AU"/>
        </w:rPr>
        <w:t>v</w:t>
      </w:r>
      <w:r w:rsidRPr="004360BF">
        <w:rPr>
          <w:lang w:val="en-AU"/>
        </w:rPr>
        <w:t xml:space="preserve">oltage would be allocated costs from </w:t>
      </w:r>
      <w:r w:rsidR="00291387" w:rsidRPr="004360BF">
        <w:rPr>
          <w:lang w:val="en-AU"/>
        </w:rPr>
        <w:t>pools 1 to </w:t>
      </w:r>
      <w:r w:rsidRPr="004360BF">
        <w:rPr>
          <w:lang w:val="en-AU"/>
        </w:rPr>
        <w:t>3, plus pool 6</w:t>
      </w:r>
      <w:r w:rsidR="008640F6" w:rsidRPr="004360BF">
        <w:rPr>
          <w:lang w:val="en-AU"/>
        </w:rPr>
        <w:t xml:space="preserve"> and 7</w:t>
      </w:r>
      <w:r w:rsidRPr="004360BF">
        <w:rPr>
          <w:lang w:val="en-AU"/>
        </w:rPr>
        <w:t>.</w:t>
      </w:r>
      <w:r w:rsidR="00CC6CF8" w:rsidRPr="004360BF">
        <w:rPr>
          <w:lang w:val="en-AU"/>
        </w:rPr>
        <w:t xml:space="preserve"> </w:t>
      </w:r>
      <w:r w:rsidRPr="004360BF">
        <w:rPr>
          <w:lang w:val="en-AU"/>
        </w:rPr>
        <w:t xml:space="preserve">The </w:t>
      </w:r>
      <w:r w:rsidR="00CF2FA7" w:rsidRPr="004360BF">
        <w:rPr>
          <w:lang w:val="en-AU"/>
        </w:rPr>
        <w:t xml:space="preserve">Commercial </w:t>
      </w:r>
      <w:r w:rsidRPr="004360BF">
        <w:rPr>
          <w:lang w:val="en-AU"/>
        </w:rPr>
        <w:t xml:space="preserve">HV </w:t>
      </w:r>
      <w:r w:rsidR="008D2EC1" w:rsidRPr="004360BF">
        <w:rPr>
          <w:lang w:val="en-AU"/>
        </w:rPr>
        <w:t xml:space="preserve">tariff class </w:t>
      </w:r>
      <w:r w:rsidRPr="004360BF">
        <w:rPr>
          <w:lang w:val="en-AU"/>
        </w:rPr>
        <w:t xml:space="preserve">is not allocated costs associated with distribution substations and the </w:t>
      </w:r>
      <w:r w:rsidR="00CF2FA7" w:rsidRPr="004360BF">
        <w:rPr>
          <w:lang w:val="en-AU"/>
        </w:rPr>
        <w:t>low voltage</w:t>
      </w:r>
      <w:r w:rsidRPr="004360BF">
        <w:rPr>
          <w:lang w:val="en-AU"/>
        </w:rPr>
        <w:t xml:space="preserve"> network.</w:t>
      </w:r>
      <w:r w:rsidR="00CC6CF8" w:rsidRPr="004360BF">
        <w:rPr>
          <w:lang w:val="en-AU"/>
        </w:rPr>
        <w:t xml:space="preserve"> </w:t>
      </w:r>
      <w:r w:rsidRPr="004360BF">
        <w:rPr>
          <w:lang w:val="en-AU"/>
        </w:rPr>
        <w:t>The tariff allocation table is then used to guide formulation of the appropriate</w:t>
      </w:r>
      <w:r w:rsidR="00CF2FA7" w:rsidRPr="004360BF">
        <w:rPr>
          <w:lang w:val="en-AU"/>
        </w:rPr>
        <w:t xml:space="preserve"> tariff charging parameters.</w:t>
      </w:r>
    </w:p>
    <w:p w14:paraId="0728A64A" w14:textId="77777777" w:rsidR="009874AC" w:rsidRPr="004360BF" w:rsidRDefault="009874AC" w:rsidP="00E71941">
      <w:pPr>
        <w:rPr>
          <w:lang w:val="en-AU"/>
        </w:rPr>
      </w:pPr>
      <w:r w:rsidRPr="004360BF">
        <w:rPr>
          <w:lang w:val="en-AU"/>
        </w:rPr>
        <w:t xml:space="preserve">The most appropriate allocation process for network costs is the “Modified Method of Intercepts” </w:t>
      </w:r>
      <w:r w:rsidR="008D2EC1" w:rsidRPr="004360BF">
        <w:rPr>
          <w:lang w:val="en-AU"/>
        </w:rPr>
        <w:t xml:space="preserve">approach, illustrated in the </w:t>
      </w:r>
      <w:r w:rsidRPr="004360BF">
        <w:rPr>
          <w:lang w:val="en-AU"/>
        </w:rPr>
        <w:t>chart at right.</w:t>
      </w:r>
      <w:r w:rsidR="00CC6CF8" w:rsidRPr="004360BF">
        <w:rPr>
          <w:lang w:val="en-AU"/>
        </w:rPr>
        <w:t xml:space="preserve"> </w:t>
      </w:r>
      <w:r w:rsidRPr="004360BF">
        <w:rPr>
          <w:lang w:val="en-AU"/>
        </w:rPr>
        <w:t xml:space="preserve">The network is augmented for peak demand growth and thus </w:t>
      </w:r>
      <w:r w:rsidR="008D2EC1" w:rsidRPr="004360BF">
        <w:rPr>
          <w:lang w:val="en-AU"/>
        </w:rPr>
        <w:t>the</w:t>
      </w:r>
      <w:r w:rsidRPr="004360BF">
        <w:rPr>
          <w:lang w:val="en-AU"/>
        </w:rPr>
        <w:t xml:space="preserve"> cost</w:t>
      </w:r>
      <w:r w:rsidR="008D2EC1" w:rsidRPr="004360BF">
        <w:rPr>
          <w:lang w:val="en-AU"/>
        </w:rPr>
        <w:t xml:space="preserve"> allocation is </w:t>
      </w:r>
      <w:r w:rsidRPr="004360BF">
        <w:rPr>
          <w:lang w:val="en-AU"/>
        </w:rPr>
        <w:t>peak weighted, as shown.</w:t>
      </w:r>
      <w:r w:rsidR="00CC6CF8" w:rsidRPr="004360BF">
        <w:rPr>
          <w:lang w:val="en-AU"/>
        </w:rPr>
        <w:t xml:space="preserve"> </w:t>
      </w:r>
      <w:r w:rsidRPr="004360BF">
        <w:rPr>
          <w:lang w:val="en-AU"/>
        </w:rPr>
        <w:t xml:space="preserve">This </w:t>
      </w:r>
      <w:r w:rsidRPr="004360BF">
        <w:rPr>
          <w:lang w:val="en-AU"/>
        </w:rPr>
        <w:lastRenderedPageBreak/>
        <w:t xml:space="preserve">allocation process would apply to representative demand profiles for each </w:t>
      </w:r>
      <w:r w:rsidR="00263D11" w:rsidRPr="004360BF">
        <w:rPr>
          <w:lang w:val="en-AU"/>
        </w:rPr>
        <w:t>tariff class</w:t>
      </w:r>
      <w:r w:rsidRPr="004360BF">
        <w:rPr>
          <w:lang w:val="en-AU"/>
        </w:rPr>
        <w:t>.</w:t>
      </w:r>
      <w:r w:rsidR="00CC6CF8" w:rsidRPr="004360BF">
        <w:rPr>
          <w:lang w:val="en-AU"/>
        </w:rPr>
        <w:t xml:space="preserve"> </w:t>
      </w:r>
      <w:r w:rsidRPr="004360BF">
        <w:rPr>
          <w:lang w:val="en-AU"/>
        </w:rPr>
        <w:t xml:space="preserve">However, at this stage </w:t>
      </w:r>
      <w:r w:rsidR="00656CF7" w:rsidRPr="004360BF">
        <w:rPr>
          <w:lang w:val="en-AU"/>
        </w:rPr>
        <w:t xml:space="preserve">Power Networks </w:t>
      </w:r>
      <w:r w:rsidRPr="004360BF">
        <w:rPr>
          <w:lang w:val="en-AU"/>
        </w:rPr>
        <w:t xml:space="preserve">does not have profile information for the </w:t>
      </w:r>
      <w:r w:rsidR="00305137" w:rsidRPr="004360BF">
        <w:rPr>
          <w:lang w:val="en-AU"/>
        </w:rPr>
        <w:t>D</w:t>
      </w:r>
      <w:r w:rsidRPr="004360BF">
        <w:rPr>
          <w:lang w:val="en-AU"/>
        </w:rPr>
        <w:t xml:space="preserve">omestic and </w:t>
      </w:r>
      <w:r w:rsidR="00305137" w:rsidRPr="004360BF">
        <w:rPr>
          <w:lang w:val="en-AU"/>
        </w:rPr>
        <w:t xml:space="preserve">&lt;750 </w:t>
      </w:r>
      <w:proofErr w:type="spellStart"/>
      <w:r w:rsidR="00305137" w:rsidRPr="004360BF">
        <w:rPr>
          <w:lang w:val="en-AU"/>
        </w:rPr>
        <w:t>MWh</w:t>
      </w:r>
      <w:proofErr w:type="spellEnd"/>
      <w:r w:rsidR="00305137" w:rsidRPr="004360BF">
        <w:rPr>
          <w:lang w:val="en-AU"/>
        </w:rPr>
        <w:t xml:space="preserve"> per annum C</w:t>
      </w:r>
      <w:r w:rsidRPr="004360BF">
        <w:rPr>
          <w:lang w:val="en-AU"/>
        </w:rPr>
        <w:t xml:space="preserve">ommercial </w:t>
      </w:r>
      <w:r w:rsidR="00263D11" w:rsidRPr="004360BF">
        <w:rPr>
          <w:lang w:val="en-AU"/>
        </w:rPr>
        <w:t xml:space="preserve">tariff </w:t>
      </w:r>
      <w:r w:rsidRPr="004360BF">
        <w:rPr>
          <w:lang w:val="en-AU"/>
        </w:rPr>
        <w:t xml:space="preserve">and the demand allocation has been based on the estimated contribution of each tariff to the coincident system demand. </w:t>
      </w:r>
    </w:p>
    <w:p w14:paraId="3D801390" w14:textId="77777777" w:rsidR="00983E11" w:rsidRPr="004360BF" w:rsidRDefault="00983E11" w:rsidP="00EE7AA1">
      <w:pPr>
        <w:pStyle w:val="Heading3"/>
        <w:numPr>
          <w:ilvl w:val="0"/>
          <w:numId w:val="0"/>
        </w:numPr>
      </w:pPr>
      <w:bookmarkStart w:id="504" w:name="_Toc417291789"/>
      <w:bookmarkStart w:id="505" w:name="_Toc417292557"/>
      <w:bookmarkStart w:id="506" w:name="_Toc291262275"/>
      <w:r w:rsidRPr="004360BF">
        <w:t>A</w:t>
      </w:r>
      <w:r w:rsidR="00A14042" w:rsidRPr="004360BF">
        <w:t>2</w:t>
      </w:r>
      <w:r w:rsidR="00FB499E" w:rsidRPr="004360BF">
        <w:t>.1</w:t>
      </w:r>
      <w:r w:rsidR="00FB499E" w:rsidRPr="004360BF">
        <w:tab/>
      </w:r>
      <w:r w:rsidRPr="004360BF">
        <w:t>Cost of supply modelling</w:t>
      </w:r>
      <w:bookmarkEnd w:id="504"/>
      <w:bookmarkEnd w:id="505"/>
      <w:bookmarkEnd w:id="506"/>
    </w:p>
    <w:p w14:paraId="757B5B5E" w14:textId="6C028C0B" w:rsidR="00983E11" w:rsidRPr="004360BF" w:rsidRDefault="00DC0539" w:rsidP="00E71941">
      <w:pPr>
        <w:rPr>
          <w:lang w:val="en-AU"/>
        </w:rPr>
      </w:pPr>
      <w:r w:rsidRPr="004360BF">
        <w:rPr>
          <w:lang w:val="en-AU"/>
        </w:rPr>
        <w:t>Power Networks</w:t>
      </w:r>
      <w:r w:rsidR="00983E11" w:rsidRPr="004360BF">
        <w:rPr>
          <w:lang w:val="en-AU"/>
        </w:rPr>
        <w:t xml:space="preserve"> developed a Cost of Supply </w:t>
      </w:r>
      <w:r w:rsidR="00FF0979" w:rsidRPr="004360BF">
        <w:rPr>
          <w:lang w:val="en-AU"/>
        </w:rPr>
        <w:t>M</w:t>
      </w:r>
      <w:r w:rsidR="00983E11" w:rsidRPr="004360BF">
        <w:rPr>
          <w:lang w:val="en-AU"/>
        </w:rPr>
        <w:t xml:space="preserve">odel </w:t>
      </w:r>
      <w:r w:rsidR="00305137" w:rsidRPr="004360BF">
        <w:rPr>
          <w:lang w:val="en-AU"/>
        </w:rPr>
        <w:t>(2014</w:t>
      </w:r>
      <w:r w:rsidR="00E958C7" w:rsidRPr="004360BF">
        <w:rPr>
          <w:lang w:val="en-AU"/>
        </w:rPr>
        <w:t>/</w:t>
      </w:r>
      <w:r w:rsidR="00305137" w:rsidRPr="004360BF">
        <w:rPr>
          <w:lang w:val="en-AU"/>
        </w:rPr>
        <w:t>15 Pricing Proposal Model)</w:t>
      </w:r>
      <w:r w:rsidR="00377B45" w:rsidRPr="004360BF">
        <w:rPr>
          <w:lang w:val="en-AU"/>
        </w:rPr>
        <w:t xml:space="preserve"> </w:t>
      </w:r>
      <w:r w:rsidR="00983E11" w:rsidRPr="004360BF">
        <w:rPr>
          <w:lang w:val="en-AU"/>
        </w:rPr>
        <w:t>for the regulated network.</w:t>
      </w:r>
      <w:r w:rsidR="00CC6CF8" w:rsidRPr="004360BF">
        <w:rPr>
          <w:lang w:val="en-AU"/>
        </w:rPr>
        <w:t xml:space="preserve"> </w:t>
      </w:r>
      <w:r w:rsidR="00983E11" w:rsidRPr="004360BF">
        <w:rPr>
          <w:lang w:val="en-AU"/>
        </w:rPr>
        <w:t xml:space="preserve">This model allocates the capital and operating </w:t>
      </w:r>
      <w:r w:rsidR="00305137" w:rsidRPr="004360BF">
        <w:rPr>
          <w:lang w:val="en-AU"/>
        </w:rPr>
        <w:t xml:space="preserve">and maintenance </w:t>
      </w:r>
      <w:r w:rsidR="00983E11" w:rsidRPr="004360BF">
        <w:rPr>
          <w:lang w:val="en-AU"/>
        </w:rPr>
        <w:t xml:space="preserve">costs of the network to the tariffs and </w:t>
      </w:r>
      <w:r w:rsidR="00263D11" w:rsidRPr="004360BF">
        <w:rPr>
          <w:lang w:val="en-AU"/>
        </w:rPr>
        <w:t>tariff classes</w:t>
      </w:r>
      <w:r w:rsidR="00983E11" w:rsidRPr="004360BF">
        <w:rPr>
          <w:lang w:val="en-AU"/>
        </w:rPr>
        <w:t xml:space="preserve"> and performs associated calculations.</w:t>
      </w:r>
      <w:r w:rsidR="00CC6CF8" w:rsidRPr="004360BF">
        <w:rPr>
          <w:lang w:val="en-AU"/>
        </w:rPr>
        <w:t xml:space="preserve"> </w:t>
      </w:r>
      <w:r w:rsidR="00E958C7" w:rsidRPr="004360BF">
        <w:rPr>
          <w:lang w:val="en-AU"/>
        </w:rPr>
        <w:t xml:space="preserve"> The 2015/16 Pricing Proposal Model updated the 2014/1</w:t>
      </w:r>
      <w:r w:rsidR="001766E3" w:rsidRPr="004360BF">
        <w:rPr>
          <w:lang w:val="en-AU"/>
        </w:rPr>
        <w:t>5</w:t>
      </w:r>
      <w:r w:rsidR="00E958C7" w:rsidRPr="004360BF">
        <w:rPr>
          <w:lang w:val="en-AU"/>
        </w:rPr>
        <w:t xml:space="preserve"> model inputs and retains all the computational components.</w:t>
      </w:r>
    </w:p>
    <w:p w14:paraId="186D201C" w14:textId="77777777" w:rsidR="00983E11" w:rsidRPr="004360BF" w:rsidRDefault="00983E11" w:rsidP="00E71941">
      <w:pPr>
        <w:pStyle w:val="Dottop"/>
        <w:rPr>
          <w:lang w:val="en-AU"/>
        </w:rPr>
      </w:pPr>
      <w:r w:rsidRPr="004360BF">
        <w:rPr>
          <w:lang w:val="en-AU"/>
        </w:rPr>
        <w:t xml:space="preserve">The principal functions of the Cost of Supply </w:t>
      </w:r>
      <w:r w:rsidR="00FF0979" w:rsidRPr="004360BF">
        <w:rPr>
          <w:lang w:val="en-AU"/>
        </w:rPr>
        <w:t>M</w:t>
      </w:r>
      <w:r w:rsidRPr="004360BF">
        <w:rPr>
          <w:lang w:val="en-AU"/>
        </w:rPr>
        <w:t>odel are to inform the network tariff strategy and assist in demonstrating its compliance, by:</w:t>
      </w:r>
    </w:p>
    <w:p w14:paraId="2D75887F" w14:textId="77777777" w:rsidR="00983E11" w:rsidRPr="004360BF" w:rsidRDefault="00C36564" w:rsidP="00E71941">
      <w:pPr>
        <w:pStyle w:val="Dot"/>
        <w:rPr>
          <w:lang w:val="en-AU"/>
        </w:rPr>
      </w:pPr>
      <w:r w:rsidRPr="004360BF">
        <w:rPr>
          <w:lang w:val="en-AU"/>
        </w:rPr>
        <w:t>A</w:t>
      </w:r>
      <w:r w:rsidR="00983E11" w:rsidRPr="004360BF">
        <w:rPr>
          <w:lang w:val="en-AU"/>
        </w:rPr>
        <w:t xml:space="preserve">llowing comparison of the network’s cost of supply with the revenue obtained through tariffs on a </w:t>
      </w:r>
      <w:r w:rsidR="00511086" w:rsidRPr="004360BF">
        <w:rPr>
          <w:lang w:val="en-AU"/>
        </w:rPr>
        <w:t>tariff charging parameter</w:t>
      </w:r>
      <w:r w:rsidR="00983E11" w:rsidRPr="004360BF">
        <w:rPr>
          <w:lang w:val="en-AU"/>
        </w:rPr>
        <w:t xml:space="preserve">, tariff and </w:t>
      </w:r>
      <w:r w:rsidR="00263D11" w:rsidRPr="004360BF">
        <w:rPr>
          <w:lang w:val="en-AU"/>
        </w:rPr>
        <w:t>tariff class</w:t>
      </w:r>
      <w:r w:rsidR="00983E11" w:rsidRPr="004360BF">
        <w:rPr>
          <w:lang w:val="en-AU"/>
        </w:rPr>
        <w:t xml:space="preserve"> basis;</w:t>
      </w:r>
    </w:p>
    <w:p w14:paraId="11023E11" w14:textId="77777777" w:rsidR="00983E11" w:rsidRPr="004360BF" w:rsidRDefault="00C36564" w:rsidP="00E71941">
      <w:pPr>
        <w:pStyle w:val="Dot"/>
        <w:rPr>
          <w:lang w:val="en-AU"/>
        </w:rPr>
      </w:pPr>
      <w:r w:rsidRPr="004360BF">
        <w:rPr>
          <w:lang w:val="en-AU"/>
        </w:rPr>
        <w:t>E</w:t>
      </w:r>
      <w:r w:rsidR="00983E11" w:rsidRPr="004360BF">
        <w:rPr>
          <w:lang w:val="en-AU"/>
        </w:rPr>
        <w:t xml:space="preserve">nsuring that tariffs reflect the efficient cost of supply, in accordance with clause 74(1)(a) of the </w:t>
      </w:r>
      <w:r w:rsidR="00164D60" w:rsidRPr="004360BF">
        <w:rPr>
          <w:lang w:val="en-AU"/>
        </w:rPr>
        <w:t>TPA Code</w:t>
      </w:r>
      <w:r w:rsidR="00983E11" w:rsidRPr="004360BF">
        <w:rPr>
          <w:lang w:val="en-AU"/>
        </w:rPr>
        <w:t>;</w:t>
      </w:r>
    </w:p>
    <w:p w14:paraId="1E13C20F" w14:textId="77777777" w:rsidR="00983E11" w:rsidRPr="004360BF" w:rsidRDefault="00C36564" w:rsidP="00E71941">
      <w:pPr>
        <w:pStyle w:val="Dot"/>
        <w:rPr>
          <w:lang w:val="en-AU"/>
        </w:rPr>
      </w:pPr>
      <w:r w:rsidRPr="004360BF">
        <w:rPr>
          <w:lang w:val="en-AU"/>
        </w:rPr>
        <w:t>C</w:t>
      </w:r>
      <w:r w:rsidR="00983E11" w:rsidRPr="004360BF">
        <w:rPr>
          <w:lang w:val="en-AU"/>
        </w:rPr>
        <w:t xml:space="preserve">alculating the stand-alone and avoidable costs of </w:t>
      </w:r>
      <w:r w:rsidR="00263D11" w:rsidRPr="004360BF">
        <w:rPr>
          <w:lang w:val="en-AU"/>
        </w:rPr>
        <w:t>tariff classes</w:t>
      </w:r>
      <w:r w:rsidR="00983E11" w:rsidRPr="004360BF">
        <w:rPr>
          <w:lang w:val="en-AU"/>
        </w:rPr>
        <w:t>, to enable compliance to be demonstrated with clause 6.18.5(a)</w:t>
      </w:r>
      <w:r w:rsidR="0056271E" w:rsidRPr="004360BF">
        <w:rPr>
          <w:lang w:val="en-AU"/>
        </w:rPr>
        <w:t xml:space="preserve"> </w:t>
      </w:r>
      <w:r w:rsidRPr="004360BF">
        <w:rPr>
          <w:lang w:val="en-AU"/>
        </w:rPr>
        <w:t xml:space="preserve">of the Rules; </w:t>
      </w:r>
      <w:r w:rsidRPr="004360BF">
        <w:rPr>
          <w:lang w:val="en-AU"/>
        </w:rPr>
        <w:tab/>
      </w:r>
    </w:p>
    <w:p w14:paraId="77086F8B" w14:textId="77777777" w:rsidR="00983E11" w:rsidRPr="004360BF" w:rsidRDefault="00C36564" w:rsidP="00E71941">
      <w:pPr>
        <w:pStyle w:val="Dot"/>
        <w:rPr>
          <w:lang w:val="en-AU"/>
        </w:rPr>
      </w:pPr>
      <w:r w:rsidRPr="004360BF">
        <w:rPr>
          <w:lang w:val="en-AU"/>
        </w:rPr>
        <w:t>C</w:t>
      </w:r>
      <w:r w:rsidR="00983E11" w:rsidRPr="004360BF">
        <w:rPr>
          <w:lang w:val="en-AU"/>
        </w:rPr>
        <w:t xml:space="preserve">alculating the long run marginal cost of supply (LRMC) for tariffs and </w:t>
      </w:r>
      <w:r w:rsidR="00263D11" w:rsidRPr="004360BF">
        <w:rPr>
          <w:lang w:val="en-AU"/>
        </w:rPr>
        <w:t>tariff classes</w:t>
      </w:r>
      <w:r w:rsidR="00983E11" w:rsidRPr="004360BF">
        <w:rPr>
          <w:lang w:val="en-AU"/>
        </w:rPr>
        <w:t xml:space="preserve">, to enable compliance to be demonstrated with clause </w:t>
      </w:r>
      <w:r w:rsidR="0056271E" w:rsidRPr="004360BF">
        <w:rPr>
          <w:lang w:val="en-AU"/>
        </w:rPr>
        <w:t>16.4(a)</w:t>
      </w:r>
      <w:r w:rsidR="00983E11" w:rsidRPr="004360BF">
        <w:rPr>
          <w:lang w:val="en-AU"/>
        </w:rPr>
        <w:t xml:space="preserve"> of the </w:t>
      </w:r>
      <w:r w:rsidR="0056271E" w:rsidRPr="004360BF">
        <w:rPr>
          <w:lang w:val="en-AU"/>
        </w:rPr>
        <w:t>Commission’s</w:t>
      </w:r>
      <w:r w:rsidR="00377B45" w:rsidRPr="004360BF">
        <w:rPr>
          <w:lang w:val="en-AU"/>
        </w:rPr>
        <w:t xml:space="preserve"> </w:t>
      </w:r>
      <w:r w:rsidR="00983E11" w:rsidRPr="004360BF">
        <w:rPr>
          <w:lang w:val="en-AU"/>
        </w:rPr>
        <w:t>R</w:t>
      </w:r>
      <w:r w:rsidR="0056271E" w:rsidRPr="004360BF">
        <w:rPr>
          <w:lang w:val="en-AU"/>
        </w:rPr>
        <w:t>IN</w:t>
      </w:r>
      <w:r w:rsidRPr="004360BF">
        <w:rPr>
          <w:lang w:val="en-AU"/>
        </w:rPr>
        <w:t>; and</w:t>
      </w:r>
    </w:p>
    <w:p w14:paraId="19AC2D3F" w14:textId="77777777" w:rsidR="00C36564" w:rsidRPr="004360BF" w:rsidRDefault="00C36564" w:rsidP="00E71941">
      <w:pPr>
        <w:pStyle w:val="Dotbot"/>
        <w:rPr>
          <w:lang w:val="en-AU"/>
        </w:rPr>
      </w:pPr>
      <w:r w:rsidRPr="004360BF">
        <w:rPr>
          <w:lang w:val="en-AU"/>
        </w:rPr>
        <w:t>Ensuring that the forecast revenue complies with the revenue cap and side constraint control mechanisms as per the Commission’s 2014 NPD Final Determination.</w:t>
      </w:r>
    </w:p>
    <w:p w14:paraId="7D508633" w14:textId="58D87755" w:rsidR="005D67CB" w:rsidRPr="004360BF" w:rsidRDefault="00E71941" w:rsidP="00E71941">
      <w:pPr>
        <w:pStyle w:val="Dottop"/>
        <w:rPr>
          <w:lang w:val="en-AU"/>
        </w:rPr>
      </w:pPr>
      <w:r w:rsidRPr="004360BF">
        <w:rPr>
          <w:lang w:val="en-AU"/>
        </w:rPr>
        <w:t>Power Networks</w:t>
      </w:r>
      <w:r w:rsidR="005D67CB" w:rsidRPr="004360BF">
        <w:rPr>
          <w:lang w:val="en-AU"/>
        </w:rPr>
        <w:t xml:space="preserve"> is of the view that the current estimate of LRMC, using the Average Incremental Cost approach, may</w:t>
      </w:r>
      <w:r w:rsidR="00110030" w:rsidRPr="004360BF">
        <w:rPr>
          <w:lang w:val="en-AU"/>
        </w:rPr>
        <w:t xml:space="preserve"> be </w:t>
      </w:r>
      <w:r w:rsidR="005D67CB" w:rsidRPr="004360BF">
        <w:rPr>
          <w:lang w:val="en-AU"/>
        </w:rPr>
        <w:t>underestimate</w:t>
      </w:r>
      <w:r w:rsidR="00110030" w:rsidRPr="004360BF">
        <w:rPr>
          <w:lang w:val="en-AU"/>
        </w:rPr>
        <w:t>d</w:t>
      </w:r>
      <w:r w:rsidR="002C641A" w:rsidRPr="004360BF">
        <w:rPr>
          <w:lang w:val="en-AU"/>
        </w:rPr>
        <w:t xml:space="preserve">. </w:t>
      </w:r>
      <w:r w:rsidR="005D67CB" w:rsidRPr="004360BF">
        <w:rPr>
          <w:lang w:val="en-AU"/>
        </w:rPr>
        <w:t>This is because:</w:t>
      </w:r>
    </w:p>
    <w:p w14:paraId="15395B33" w14:textId="77777777" w:rsidR="005D67CB" w:rsidRPr="004360BF" w:rsidRDefault="005D67CB" w:rsidP="00E71941">
      <w:pPr>
        <w:pStyle w:val="Dot"/>
        <w:rPr>
          <w:lang w:val="en-AU"/>
        </w:rPr>
      </w:pPr>
      <w:r w:rsidRPr="004360BF">
        <w:rPr>
          <w:lang w:val="en-AU"/>
        </w:rPr>
        <w:t xml:space="preserve">It is based on five years of approved capital and </w:t>
      </w:r>
      <w:r w:rsidR="004747F8" w:rsidRPr="004360BF">
        <w:rPr>
          <w:lang w:val="en-AU"/>
        </w:rPr>
        <w:t xml:space="preserve">marginal </w:t>
      </w:r>
      <w:r w:rsidRPr="004360BF">
        <w:rPr>
          <w:lang w:val="en-AU"/>
        </w:rPr>
        <w:t>operating and maintenance expenditure extrapolated a further five years, rather than a longer term review of development needs (ideally, over 20 or more years); and</w:t>
      </w:r>
    </w:p>
    <w:p w14:paraId="546C72FE" w14:textId="77777777" w:rsidR="005D67CB" w:rsidRPr="004360BF" w:rsidRDefault="005D67CB" w:rsidP="00E71941">
      <w:pPr>
        <w:pStyle w:val="Dotbot"/>
        <w:rPr>
          <w:lang w:val="en-AU"/>
        </w:rPr>
      </w:pPr>
      <w:r w:rsidRPr="004360BF">
        <w:rPr>
          <w:lang w:val="en-AU"/>
        </w:rPr>
        <w:t>The forecast follows a period of intense asset renewal which has provided some increased capacity, thereby lessening the growth related capital expenditure.</w:t>
      </w:r>
    </w:p>
    <w:p w14:paraId="5F844E57" w14:textId="77777777" w:rsidR="005D67CB" w:rsidRPr="004360BF" w:rsidRDefault="005D67CB" w:rsidP="00E71941">
      <w:pPr>
        <w:pStyle w:val="Dottop"/>
        <w:rPr>
          <w:lang w:val="en-AU"/>
        </w:rPr>
      </w:pPr>
      <w:r w:rsidRPr="004360BF">
        <w:rPr>
          <w:lang w:val="en-AU"/>
        </w:rPr>
        <w:lastRenderedPageBreak/>
        <w:t>There are two other generally accepted means of estimating the LRMC for a network, as described in the Australian Energy Market Commission’s (AEMC) review of distribution pricing</w:t>
      </w:r>
      <w:r w:rsidRPr="004360BF">
        <w:rPr>
          <w:rStyle w:val="FootnoteReference"/>
          <w:bCs/>
          <w:lang w:val="en-AU"/>
        </w:rPr>
        <w:footnoteReference w:id="27"/>
      </w:r>
      <w:r w:rsidRPr="004360BF">
        <w:rPr>
          <w:lang w:val="en-AU"/>
        </w:rPr>
        <w:t>:</w:t>
      </w:r>
    </w:p>
    <w:p w14:paraId="71BE582A" w14:textId="77777777" w:rsidR="005D67CB" w:rsidRPr="004360BF" w:rsidRDefault="005D67CB" w:rsidP="00E71941">
      <w:pPr>
        <w:pStyle w:val="Dot"/>
        <w:rPr>
          <w:lang w:val="en-AU"/>
        </w:rPr>
      </w:pPr>
      <w:r w:rsidRPr="004360BF">
        <w:rPr>
          <w:lang w:val="en-AU"/>
        </w:rPr>
        <w:t xml:space="preserve">The </w:t>
      </w:r>
      <w:proofErr w:type="spellStart"/>
      <w:r w:rsidRPr="004360BF">
        <w:rPr>
          <w:lang w:val="en-AU"/>
        </w:rPr>
        <w:t>Turvey</w:t>
      </w:r>
      <w:proofErr w:type="spellEnd"/>
      <w:r w:rsidRPr="004360BF">
        <w:rPr>
          <w:lang w:val="en-AU"/>
        </w:rPr>
        <w:t>, or perturbation approach, would assume an increment in growth and devise a long term forecast of capital and operating expenditure to meet that growth; and</w:t>
      </w:r>
    </w:p>
    <w:p w14:paraId="2E492710" w14:textId="77777777" w:rsidR="005D67CB" w:rsidRPr="004360BF" w:rsidRDefault="005D67CB" w:rsidP="00E71941">
      <w:pPr>
        <w:pStyle w:val="Dotbot"/>
        <w:rPr>
          <w:lang w:val="en-AU"/>
        </w:rPr>
      </w:pPr>
      <w:r w:rsidRPr="004360BF">
        <w:rPr>
          <w:lang w:val="en-AU"/>
        </w:rPr>
        <w:t xml:space="preserve">The Long Run Incremental Cost (LRIC) approach, which calculates the annualised cost of the next proposed investment measured relative to incremental demand. </w:t>
      </w:r>
    </w:p>
    <w:p w14:paraId="476C688E" w14:textId="77777777" w:rsidR="005D67CB" w:rsidRPr="004360BF" w:rsidRDefault="005D67CB" w:rsidP="00E71941">
      <w:pPr>
        <w:rPr>
          <w:lang w:val="en-AU"/>
        </w:rPr>
      </w:pPr>
      <w:r w:rsidRPr="004360BF">
        <w:rPr>
          <w:lang w:val="en-AU"/>
        </w:rPr>
        <w:t xml:space="preserve">The </w:t>
      </w:r>
      <w:proofErr w:type="spellStart"/>
      <w:r w:rsidRPr="004360BF">
        <w:rPr>
          <w:lang w:val="en-AU"/>
        </w:rPr>
        <w:t>Turvey</w:t>
      </w:r>
      <w:proofErr w:type="spellEnd"/>
      <w:r w:rsidRPr="004360BF">
        <w:rPr>
          <w:lang w:val="en-AU"/>
        </w:rPr>
        <w:t xml:space="preserve"> approach would be highly information intensive and effectively involves re-forecasting capital and operating expenditures for the network.  It i</w:t>
      </w:r>
      <w:r w:rsidR="00656CF7" w:rsidRPr="004360BF">
        <w:rPr>
          <w:lang w:val="en-AU"/>
        </w:rPr>
        <w:t>s not favoured for this reason Power Networks t</w:t>
      </w:r>
      <w:r w:rsidRPr="004360BF">
        <w:rPr>
          <w:lang w:val="en-AU"/>
        </w:rPr>
        <w:t>herefore propose</w:t>
      </w:r>
      <w:r w:rsidR="00656CF7" w:rsidRPr="004360BF">
        <w:rPr>
          <w:lang w:val="en-AU"/>
        </w:rPr>
        <w:t>s</w:t>
      </w:r>
      <w:r w:rsidRPr="004360BF">
        <w:rPr>
          <w:lang w:val="en-AU"/>
        </w:rPr>
        <w:t xml:space="preserve"> to investigate, in the 2014-19 regulatory control period, the application of the LRIC approach, which has </w:t>
      </w:r>
      <w:r w:rsidR="00152C13" w:rsidRPr="004360BF">
        <w:rPr>
          <w:lang w:val="en-AU"/>
        </w:rPr>
        <w:t xml:space="preserve">been used for many years by network </w:t>
      </w:r>
      <w:r w:rsidRPr="004360BF">
        <w:rPr>
          <w:lang w:val="en-AU"/>
        </w:rPr>
        <w:t>distributors in the United Kingdom.</w:t>
      </w:r>
    </w:p>
    <w:p w14:paraId="24F3DDF7" w14:textId="77777777" w:rsidR="009874AC" w:rsidRPr="004360BF" w:rsidRDefault="009874AC" w:rsidP="00EE7AA1">
      <w:pPr>
        <w:pStyle w:val="Heading3"/>
        <w:numPr>
          <w:ilvl w:val="0"/>
          <w:numId w:val="0"/>
        </w:numPr>
      </w:pPr>
      <w:bookmarkStart w:id="507" w:name="_Toc417291790"/>
      <w:bookmarkStart w:id="508" w:name="_Toc417292558"/>
      <w:bookmarkStart w:id="509" w:name="_Toc291262276"/>
      <w:r w:rsidRPr="004360BF">
        <w:t>A</w:t>
      </w:r>
      <w:r w:rsidR="00A14042" w:rsidRPr="004360BF">
        <w:t>2</w:t>
      </w:r>
      <w:r w:rsidRPr="004360BF">
        <w:t>.</w:t>
      </w:r>
      <w:r w:rsidR="00983E11" w:rsidRPr="004360BF">
        <w:t>2</w:t>
      </w:r>
      <w:r w:rsidRPr="004360BF">
        <w:tab/>
        <w:t>S</w:t>
      </w:r>
      <w:r w:rsidR="00FF0979" w:rsidRPr="004360BF">
        <w:t>tructure of the Cost of Supply M</w:t>
      </w:r>
      <w:r w:rsidRPr="004360BF">
        <w:t>odel</w:t>
      </w:r>
      <w:bookmarkEnd w:id="507"/>
      <w:bookmarkEnd w:id="508"/>
      <w:bookmarkEnd w:id="509"/>
    </w:p>
    <w:p w14:paraId="3A97000F" w14:textId="77777777" w:rsidR="009874AC" w:rsidRPr="004360BF" w:rsidRDefault="009874AC" w:rsidP="00E71941">
      <w:pPr>
        <w:pStyle w:val="Dottop"/>
        <w:rPr>
          <w:lang w:val="en-AU"/>
        </w:rPr>
      </w:pPr>
      <w:r w:rsidRPr="004360BF">
        <w:rPr>
          <w:lang w:val="en-AU"/>
        </w:rPr>
        <w:t>A number of co</w:t>
      </w:r>
      <w:r w:rsidR="00FF0979" w:rsidRPr="004360BF">
        <w:rPr>
          <w:lang w:val="en-AU"/>
        </w:rPr>
        <w:t>st pools form the basis of the C</w:t>
      </w:r>
      <w:r w:rsidRPr="004360BF">
        <w:rPr>
          <w:lang w:val="en-AU"/>
        </w:rPr>
        <w:t xml:space="preserve">ost of </w:t>
      </w:r>
      <w:r w:rsidR="00FF0979" w:rsidRPr="004360BF">
        <w:rPr>
          <w:lang w:val="en-AU"/>
        </w:rPr>
        <w:t>S</w:t>
      </w:r>
      <w:r w:rsidRPr="004360BF">
        <w:rPr>
          <w:lang w:val="en-AU"/>
        </w:rPr>
        <w:t xml:space="preserve">upply </w:t>
      </w:r>
      <w:r w:rsidR="00FF0979" w:rsidRPr="004360BF">
        <w:rPr>
          <w:lang w:val="en-AU"/>
        </w:rPr>
        <w:t>M</w:t>
      </w:r>
      <w:r w:rsidRPr="004360BF">
        <w:rPr>
          <w:lang w:val="en-AU"/>
        </w:rPr>
        <w:t>odel.</w:t>
      </w:r>
      <w:r w:rsidR="00CC6CF8" w:rsidRPr="004360BF">
        <w:rPr>
          <w:lang w:val="en-AU"/>
        </w:rPr>
        <w:t xml:space="preserve"> </w:t>
      </w:r>
      <w:r w:rsidRPr="004360BF">
        <w:rPr>
          <w:lang w:val="en-AU"/>
        </w:rPr>
        <w:t>Each cost pool is formed from:</w:t>
      </w:r>
    </w:p>
    <w:p w14:paraId="4DEA032F" w14:textId="77777777" w:rsidR="009874AC" w:rsidRPr="004360BF" w:rsidRDefault="009874AC" w:rsidP="00E71941">
      <w:pPr>
        <w:pStyle w:val="Dot"/>
        <w:rPr>
          <w:lang w:val="en-AU"/>
        </w:rPr>
      </w:pPr>
      <w:r w:rsidRPr="004360BF">
        <w:rPr>
          <w:lang w:val="en-AU"/>
        </w:rPr>
        <w:t xml:space="preserve">Network capital costs associated with the </w:t>
      </w:r>
      <w:r w:rsidR="005D67CB" w:rsidRPr="004360BF">
        <w:rPr>
          <w:lang w:val="en-AU"/>
        </w:rPr>
        <w:t xml:space="preserve">cost </w:t>
      </w:r>
      <w:r w:rsidRPr="004360BF">
        <w:rPr>
          <w:lang w:val="en-AU"/>
        </w:rPr>
        <w:t>pool.</w:t>
      </w:r>
      <w:r w:rsidR="00CC6CF8" w:rsidRPr="004360BF">
        <w:rPr>
          <w:lang w:val="en-AU"/>
        </w:rPr>
        <w:t xml:space="preserve"> </w:t>
      </w:r>
      <w:r w:rsidRPr="004360BF">
        <w:rPr>
          <w:lang w:val="en-AU"/>
        </w:rPr>
        <w:t>These have been based on the capital costs of the n</w:t>
      </w:r>
      <w:r w:rsidR="008D2EC1" w:rsidRPr="004360BF">
        <w:rPr>
          <w:lang w:val="en-AU"/>
        </w:rPr>
        <w:t>etwork, apportioned using the O</w:t>
      </w:r>
      <w:r w:rsidRPr="004360BF">
        <w:rPr>
          <w:lang w:val="en-AU"/>
        </w:rPr>
        <w:t xml:space="preserve">RC of the assets in each </w:t>
      </w:r>
      <w:r w:rsidR="00944547" w:rsidRPr="004360BF">
        <w:rPr>
          <w:lang w:val="en-AU"/>
        </w:rPr>
        <w:t xml:space="preserve">cost </w:t>
      </w:r>
      <w:r w:rsidR="00B05A84" w:rsidRPr="004360BF">
        <w:rPr>
          <w:lang w:val="en-AU"/>
        </w:rPr>
        <w:t>pool; and</w:t>
      </w:r>
    </w:p>
    <w:p w14:paraId="258903B5" w14:textId="77777777" w:rsidR="009874AC" w:rsidRPr="004360BF" w:rsidRDefault="009874AC" w:rsidP="00E71941">
      <w:pPr>
        <w:pStyle w:val="Dotbot"/>
        <w:rPr>
          <w:lang w:val="en-AU"/>
        </w:rPr>
      </w:pPr>
      <w:r w:rsidRPr="004360BF">
        <w:rPr>
          <w:lang w:val="en-AU"/>
        </w:rPr>
        <w:t xml:space="preserve">Network operating </w:t>
      </w:r>
      <w:r w:rsidR="00944547" w:rsidRPr="004360BF">
        <w:rPr>
          <w:lang w:val="en-AU"/>
        </w:rPr>
        <w:t xml:space="preserve">and maintenance </w:t>
      </w:r>
      <w:r w:rsidRPr="004360BF">
        <w:rPr>
          <w:lang w:val="en-AU"/>
        </w:rPr>
        <w:t xml:space="preserve">costs by </w:t>
      </w:r>
      <w:r w:rsidR="005D67CB" w:rsidRPr="004360BF">
        <w:rPr>
          <w:lang w:val="en-AU"/>
        </w:rPr>
        <w:t xml:space="preserve">cost </w:t>
      </w:r>
      <w:r w:rsidRPr="004360BF">
        <w:rPr>
          <w:lang w:val="en-AU"/>
        </w:rPr>
        <w:t>pool.</w:t>
      </w:r>
      <w:r w:rsidR="00CC6CF8" w:rsidRPr="004360BF">
        <w:rPr>
          <w:lang w:val="en-AU"/>
        </w:rPr>
        <w:t xml:space="preserve"> </w:t>
      </w:r>
      <w:r w:rsidRPr="004360BF">
        <w:rPr>
          <w:lang w:val="en-AU"/>
        </w:rPr>
        <w:t xml:space="preserve">Initially, an allocation </w:t>
      </w:r>
      <w:r w:rsidR="00B05A84" w:rsidRPr="004360BF">
        <w:rPr>
          <w:lang w:val="en-AU"/>
        </w:rPr>
        <w:t xml:space="preserve">of </w:t>
      </w:r>
      <w:r w:rsidRPr="004360BF">
        <w:rPr>
          <w:lang w:val="en-AU"/>
        </w:rPr>
        <w:t xml:space="preserve">the network’s operating </w:t>
      </w:r>
      <w:r w:rsidR="00944547" w:rsidRPr="004360BF">
        <w:rPr>
          <w:lang w:val="en-AU"/>
        </w:rPr>
        <w:t xml:space="preserve">and maintenance </w:t>
      </w:r>
      <w:r w:rsidRPr="004360BF">
        <w:rPr>
          <w:lang w:val="en-AU"/>
        </w:rPr>
        <w:t>costs on the basis of the ORC of assets in each pool has been used, with the exception of metering costs.</w:t>
      </w:r>
      <w:r w:rsidR="00CC6CF8" w:rsidRPr="004360BF">
        <w:rPr>
          <w:lang w:val="en-AU"/>
        </w:rPr>
        <w:t xml:space="preserve"> </w:t>
      </w:r>
      <w:r w:rsidR="008D2EC1" w:rsidRPr="004360BF">
        <w:rPr>
          <w:lang w:val="en-AU"/>
        </w:rPr>
        <w:t>A weighting factor is used to account for the relatively high operating and maintenance costs of lower voltage assets.</w:t>
      </w:r>
    </w:p>
    <w:p w14:paraId="1460043C" w14:textId="77777777" w:rsidR="002249F7" w:rsidRPr="004360BF" w:rsidRDefault="002249F7" w:rsidP="002249F7">
      <w:pPr>
        <w:rPr>
          <w:lang w:val="en-AU"/>
        </w:rPr>
      </w:pPr>
      <w:r w:rsidRPr="004360BF">
        <w:rPr>
          <w:lang w:val="en-AU"/>
        </w:rPr>
        <w:t xml:space="preserve">A proportion of 80 per cent of the network’s costs is allocated in this way to cost pools 1-6, corresponding to an average LRMC of network supply. The remaining 20 per cent is allocated as a common service charge. This proportion is based on </w:t>
      </w:r>
      <w:proofErr w:type="spellStart"/>
      <w:r w:rsidRPr="004360BF">
        <w:rPr>
          <w:lang w:val="en-AU"/>
        </w:rPr>
        <w:t>Ausgrid’s</w:t>
      </w:r>
      <w:proofErr w:type="spellEnd"/>
      <w:r w:rsidRPr="004360BF">
        <w:rPr>
          <w:lang w:val="en-AU"/>
        </w:rPr>
        <w:t xml:space="preserve"> experience with the LRMC calculation over a period of more than a decade.</w:t>
      </w:r>
    </w:p>
    <w:p w14:paraId="428F1E3B" w14:textId="7B314C5E" w:rsidR="009874AC" w:rsidRPr="004360BF" w:rsidRDefault="009874AC" w:rsidP="00E71941">
      <w:pPr>
        <w:keepNext/>
        <w:rPr>
          <w:lang w:val="en-AU"/>
        </w:rPr>
      </w:pPr>
      <w:r w:rsidRPr="004360BF">
        <w:rPr>
          <w:lang w:val="en-AU"/>
        </w:rPr>
        <w:lastRenderedPageBreak/>
        <w:t xml:space="preserve">The network cost pools and the process by which they are allocated to tariffs are set out in </w:t>
      </w:r>
      <w:r w:rsidR="00E71941" w:rsidRPr="004360BF">
        <w:rPr>
          <w:lang w:val="en-AU"/>
        </w:rPr>
        <w:fldChar w:fldCharType="begin"/>
      </w:r>
      <w:r w:rsidR="00E71941" w:rsidRPr="004360BF">
        <w:rPr>
          <w:lang w:val="en-AU"/>
        </w:rPr>
        <w:instrText xml:space="preserve"> REF _Ref235183775 \h </w:instrText>
      </w:r>
      <w:r w:rsidR="00E71941" w:rsidRPr="004360BF">
        <w:rPr>
          <w:lang w:val="en-AU"/>
        </w:rPr>
      </w:r>
      <w:r w:rsidR="00E71941" w:rsidRPr="004360BF">
        <w:rPr>
          <w:lang w:val="en-AU"/>
        </w:rPr>
        <w:fldChar w:fldCharType="separate"/>
      </w:r>
      <w:r w:rsidR="008D3215" w:rsidRPr="004360BF">
        <w:rPr>
          <w:lang w:val="en-AU"/>
        </w:rPr>
        <w:t xml:space="preserve">Table </w:t>
      </w:r>
      <w:r w:rsidR="008D3215">
        <w:rPr>
          <w:noProof/>
          <w:lang w:val="en-AU"/>
        </w:rPr>
        <w:t>20</w:t>
      </w:r>
      <w:r w:rsidR="00E71941" w:rsidRPr="004360BF">
        <w:rPr>
          <w:lang w:val="en-AU"/>
        </w:rPr>
        <w:fldChar w:fldCharType="end"/>
      </w:r>
      <w:r w:rsidRPr="004360BF">
        <w:rPr>
          <w:lang w:val="en-AU"/>
        </w:rPr>
        <w:t>.</w:t>
      </w:r>
    </w:p>
    <w:p w14:paraId="07878C43" w14:textId="77777777" w:rsidR="009874AC" w:rsidRPr="004360BF" w:rsidRDefault="009874AC" w:rsidP="00E71941">
      <w:pPr>
        <w:pStyle w:val="Caption"/>
        <w:rPr>
          <w:lang w:val="en-AU"/>
        </w:rPr>
      </w:pPr>
      <w:bookmarkStart w:id="510" w:name="_Ref235183775"/>
      <w:r w:rsidRPr="004360BF">
        <w:rPr>
          <w:lang w:val="en-AU"/>
        </w:rPr>
        <w:t xml:space="preserve">Table </w:t>
      </w:r>
      <w:r w:rsidR="00517DD9" w:rsidRPr="004360BF">
        <w:rPr>
          <w:lang w:val="en-AU"/>
        </w:rPr>
        <w:fldChar w:fldCharType="begin"/>
      </w:r>
      <w:r w:rsidR="00217701" w:rsidRPr="004360BF">
        <w:rPr>
          <w:lang w:val="en-AU"/>
        </w:rPr>
        <w:instrText xml:space="preserve"> SEQ Table \* ARABIC </w:instrText>
      </w:r>
      <w:r w:rsidR="00517DD9" w:rsidRPr="004360BF">
        <w:rPr>
          <w:lang w:val="en-AU"/>
        </w:rPr>
        <w:fldChar w:fldCharType="separate"/>
      </w:r>
      <w:r w:rsidR="008D3215">
        <w:rPr>
          <w:noProof/>
          <w:lang w:val="en-AU"/>
        </w:rPr>
        <w:t>20</w:t>
      </w:r>
      <w:r w:rsidR="00517DD9" w:rsidRPr="004360BF">
        <w:rPr>
          <w:lang w:val="en-AU"/>
        </w:rPr>
        <w:fldChar w:fldCharType="end"/>
      </w:r>
      <w:bookmarkEnd w:id="510"/>
      <w:r w:rsidRPr="004360BF">
        <w:rPr>
          <w:lang w:val="en-AU"/>
        </w:rPr>
        <w:t xml:space="preserve"> – Allocation of network costs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7"/>
        <w:gridCol w:w="6417"/>
      </w:tblGrid>
      <w:tr w:rsidR="00944547" w:rsidRPr="004360BF" w14:paraId="7BE1D24F" w14:textId="77777777" w:rsidTr="00291387">
        <w:tc>
          <w:tcPr>
            <w:tcW w:w="2717" w:type="dxa"/>
            <w:tcBorders>
              <w:top w:val="single" w:sz="4" w:space="0" w:color="auto"/>
              <w:left w:val="single" w:sz="4" w:space="0" w:color="auto"/>
              <w:bottom w:val="single" w:sz="4" w:space="0" w:color="auto"/>
              <w:right w:val="single" w:sz="4" w:space="0" w:color="auto"/>
            </w:tcBorders>
            <w:shd w:val="solid" w:color="C6D9F1" w:fill="auto"/>
          </w:tcPr>
          <w:p w14:paraId="761C9D1C" w14:textId="77777777" w:rsidR="009874AC" w:rsidRPr="004360BF" w:rsidRDefault="009874AC" w:rsidP="00E71941">
            <w:pPr>
              <w:keepNext/>
              <w:spacing w:before="40" w:after="40"/>
              <w:rPr>
                <w:b/>
                <w:sz w:val="22"/>
                <w:szCs w:val="22"/>
                <w:lang w:val="en-AU"/>
              </w:rPr>
            </w:pPr>
            <w:r w:rsidRPr="004360BF">
              <w:rPr>
                <w:b/>
                <w:sz w:val="22"/>
                <w:szCs w:val="22"/>
                <w:lang w:val="en-AU"/>
              </w:rPr>
              <w:t>Cost pool</w:t>
            </w:r>
          </w:p>
        </w:tc>
        <w:tc>
          <w:tcPr>
            <w:tcW w:w="6417" w:type="dxa"/>
            <w:tcBorders>
              <w:top w:val="single" w:sz="4" w:space="0" w:color="auto"/>
              <w:left w:val="single" w:sz="4" w:space="0" w:color="auto"/>
              <w:bottom w:val="single" w:sz="4" w:space="0" w:color="auto"/>
              <w:right w:val="single" w:sz="4" w:space="0" w:color="auto"/>
            </w:tcBorders>
            <w:shd w:val="solid" w:color="C6D9F1" w:fill="auto"/>
          </w:tcPr>
          <w:p w14:paraId="42C432E8" w14:textId="77777777" w:rsidR="009874AC" w:rsidRPr="004360BF" w:rsidRDefault="009874AC" w:rsidP="00E71941">
            <w:pPr>
              <w:keepNext/>
              <w:spacing w:before="40" w:after="40"/>
              <w:rPr>
                <w:b/>
                <w:sz w:val="22"/>
                <w:szCs w:val="22"/>
                <w:lang w:val="en-AU"/>
              </w:rPr>
            </w:pPr>
            <w:r w:rsidRPr="004360BF">
              <w:rPr>
                <w:b/>
                <w:sz w:val="22"/>
                <w:szCs w:val="22"/>
                <w:lang w:val="en-AU"/>
              </w:rPr>
              <w:t>Allocation</w:t>
            </w:r>
          </w:p>
        </w:tc>
      </w:tr>
      <w:tr w:rsidR="00944547" w:rsidRPr="004360BF" w14:paraId="4C0BB786" w14:textId="77777777" w:rsidTr="00291387">
        <w:tc>
          <w:tcPr>
            <w:tcW w:w="2717" w:type="dxa"/>
            <w:tcBorders>
              <w:top w:val="single" w:sz="4" w:space="0" w:color="auto"/>
              <w:left w:val="single" w:sz="4" w:space="0" w:color="auto"/>
              <w:bottom w:val="single" w:sz="4" w:space="0" w:color="auto"/>
              <w:right w:val="single" w:sz="4" w:space="0" w:color="auto"/>
            </w:tcBorders>
          </w:tcPr>
          <w:p w14:paraId="214E0D59" w14:textId="77777777" w:rsidR="009874AC" w:rsidRPr="004360BF" w:rsidRDefault="009874AC" w:rsidP="00E71941">
            <w:pPr>
              <w:keepNext/>
              <w:spacing w:before="40" w:after="40"/>
              <w:rPr>
                <w:sz w:val="22"/>
                <w:szCs w:val="22"/>
                <w:lang w:val="en-AU"/>
              </w:rPr>
            </w:pPr>
            <w:r w:rsidRPr="004360BF">
              <w:rPr>
                <w:sz w:val="22"/>
                <w:szCs w:val="22"/>
                <w:lang w:val="en-AU"/>
              </w:rPr>
              <w:t>Transmission</w:t>
            </w:r>
          </w:p>
        </w:tc>
        <w:tc>
          <w:tcPr>
            <w:tcW w:w="6417" w:type="dxa"/>
            <w:vMerge w:val="restart"/>
            <w:tcBorders>
              <w:top w:val="single" w:sz="4" w:space="0" w:color="auto"/>
              <w:left w:val="single" w:sz="4" w:space="0" w:color="auto"/>
              <w:bottom w:val="single" w:sz="4" w:space="0" w:color="auto"/>
              <w:right w:val="single" w:sz="4" w:space="0" w:color="auto"/>
            </w:tcBorders>
            <w:shd w:val="solid" w:color="D6E3BC" w:fill="auto"/>
          </w:tcPr>
          <w:p w14:paraId="4A62D17E" w14:textId="77777777" w:rsidR="009874AC" w:rsidRPr="004360BF" w:rsidRDefault="009874AC" w:rsidP="00E71941">
            <w:pPr>
              <w:keepNext/>
              <w:spacing w:before="40" w:after="40"/>
              <w:rPr>
                <w:sz w:val="22"/>
                <w:szCs w:val="22"/>
                <w:lang w:val="en-AU"/>
              </w:rPr>
            </w:pPr>
            <w:r w:rsidRPr="004360BF">
              <w:rPr>
                <w:sz w:val="22"/>
                <w:szCs w:val="22"/>
                <w:lang w:val="en-AU"/>
              </w:rPr>
              <w:t>Coincident k</w:t>
            </w:r>
            <w:r w:rsidR="005D67CB" w:rsidRPr="004360BF">
              <w:rPr>
                <w:sz w:val="22"/>
                <w:szCs w:val="22"/>
                <w:lang w:val="en-AU"/>
              </w:rPr>
              <w:t>VA</w:t>
            </w:r>
            <w:r w:rsidRPr="004360BF">
              <w:rPr>
                <w:sz w:val="22"/>
                <w:szCs w:val="22"/>
                <w:lang w:val="en-AU"/>
              </w:rPr>
              <w:t xml:space="preserve"> demand, as the principal driver of costs in these components of the network is customer demand. </w:t>
            </w:r>
          </w:p>
        </w:tc>
      </w:tr>
      <w:tr w:rsidR="00944547" w:rsidRPr="004360BF" w14:paraId="53DB8704" w14:textId="77777777" w:rsidTr="00291387">
        <w:tc>
          <w:tcPr>
            <w:tcW w:w="2717" w:type="dxa"/>
            <w:tcBorders>
              <w:top w:val="single" w:sz="4" w:space="0" w:color="auto"/>
              <w:left w:val="single" w:sz="4" w:space="0" w:color="auto"/>
              <w:bottom w:val="single" w:sz="4" w:space="0" w:color="auto"/>
              <w:right w:val="single" w:sz="4" w:space="0" w:color="auto"/>
            </w:tcBorders>
          </w:tcPr>
          <w:p w14:paraId="788C66F8" w14:textId="77777777" w:rsidR="009874AC" w:rsidRPr="004360BF" w:rsidRDefault="00B05A84" w:rsidP="00E71941">
            <w:pPr>
              <w:keepNext/>
              <w:spacing w:before="40" w:after="40"/>
              <w:rPr>
                <w:sz w:val="22"/>
                <w:szCs w:val="22"/>
                <w:lang w:val="en-AU"/>
              </w:rPr>
            </w:pPr>
            <w:r w:rsidRPr="004360BF">
              <w:rPr>
                <w:sz w:val="22"/>
                <w:szCs w:val="22"/>
                <w:lang w:val="en-AU"/>
              </w:rPr>
              <w:t>Zone S</w:t>
            </w:r>
            <w:r w:rsidR="009874AC" w:rsidRPr="004360BF">
              <w:rPr>
                <w:sz w:val="22"/>
                <w:szCs w:val="22"/>
                <w:lang w:val="en-AU"/>
              </w:rPr>
              <w:t>ubstations</w:t>
            </w:r>
          </w:p>
        </w:tc>
        <w:tc>
          <w:tcPr>
            <w:tcW w:w="6417" w:type="dxa"/>
            <w:vMerge/>
            <w:tcBorders>
              <w:top w:val="single" w:sz="4" w:space="0" w:color="auto"/>
              <w:left w:val="single" w:sz="4" w:space="0" w:color="auto"/>
              <w:bottom w:val="single" w:sz="4" w:space="0" w:color="auto"/>
              <w:right w:val="single" w:sz="4" w:space="0" w:color="auto"/>
            </w:tcBorders>
            <w:shd w:val="solid" w:color="D6E3BC" w:fill="auto"/>
          </w:tcPr>
          <w:p w14:paraId="3D572963" w14:textId="77777777" w:rsidR="009874AC" w:rsidRPr="004360BF" w:rsidRDefault="009874AC" w:rsidP="00E71941">
            <w:pPr>
              <w:keepNext/>
              <w:spacing w:before="40" w:after="40"/>
              <w:rPr>
                <w:sz w:val="22"/>
                <w:szCs w:val="22"/>
                <w:lang w:val="en-AU"/>
              </w:rPr>
            </w:pPr>
          </w:p>
        </w:tc>
      </w:tr>
      <w:tr w:rsidR="00944547" w:rsidRPr="004360BF" w14:paraId="74A86E50" w14:textId="77777777" w:rsidTr="00291387">
        <w:tc>
          <w:tcPr>
            <w:tcW w:w="2717" w:type="dxa"/>
            <w:tcBorders>
              <w:top w:val="single" w:sz="4" w:space="0" w:color="auto"/>
              <w:left w:val="single" w:sz="4" w:space="0" w:color="auto"/>
              <w:bottom w:val="single" w:sz="4" w:space="0" w:color="auto"/>
              <w:right w:val="single" w:sz="4" w:space="0" w:color="auto"/>
            </w:tcBorders>
          </w:tcPr>
          <w:p w14:paraId="27D78C4E" w14:textId="77777777" w:rsidR="009874AC" w:rsidRPr="004360BF" w:rsidRDefault="009874AC" w:rsidP="00E71941">
            <w:pPr>
              <w:keepNext/>
              <w:spacing w:before="40" w:after="40"/>
              <w:rPr>
                <w:sz w:val="22"/>
                <w:szCs w:val="22"/>
                <w:lang w:val="en-AU"/>
              </w:rPr>
            </w:pPr>
            <w:r w:rsidRPr="004360BF">
              <w:rPr>
                <w:sz w:val="22"/>
                <w:szCs w:val="22"/>
                <w:lang w:val="en-AU"/>
              </w:rPr>
              <w:t xml:space="preserve">High Voltage </w:t>
            </w:r>
            <w:r w:rsidR="00944547" w:rsidRPr="004360BF">
              <w:rPr>
                <w:sz w:val="22"/>
                <w:szCs w:val="22"/>
                <w:lang w:val="en-AU"/>
              </w:rPr>
              <w:t>Distribution</w:t>
            </w:r>
          </w:p>
        </w:tc>
        <w:tc>
          <w:tcPr>
            <w:tcW w:w="6417" w:type="dxa"/>
            <w:vMerge/>
            <w:tcBorders>
              <w:top w:val="single" w:sz="4" w:space="0" w:color="auto"/>
              <w:left w:val="single" w:sz="4" w:space="0" w:color="auto"/>
              <w:bottom w:val="single" w:sz="4" w:space="0" w:color="auto"/>
              <w:right w:val="single" w:sz="4" w:space="0" w:color="auto"/>
            </w:tcBorders>
            <w:shd w:val="solid" w:color="D6E3BC" w:fill="auto"/>
          </w:tcPr>
          <w:p w14:paraId="132E5CBD" w14:textId="77777777" w:rsidR="009874AC" w:rsidRPr="004360BF" w:rsidRDefault="009874AC" w:rsidP="00E71941">
            <w:pPr>
              <w:keepNext/>
              <w:spacing w:before="40" w:after="40"/>
              <w:rPr>
                <w:sz w:val="22"/>
                <w:szCs w:val="22"/>
                <w:lang w:val="en-AU"/>
              </w:rPr>
            </w:pPr>
          </w:p>
        </w:tc>
      </w:tr>
      <w:tr w:rsidR="00944547" w:rsidRPr="004360BF" w14:paraId="454AB3E3" w14:textId="77777777" w:rsidTr="00291387">
        <w:tc>
          <w:tcPr>
            <w:tcW w:w="2717" w:type="dxa"/>
            <w:tcBorders>
              <w:top w:val="single" w:sz="4" w:space="0" w:color="auto"/>
              <w:left w:val="single" w:sz="4" w:space="0" w:color="auto"/>
              <w:bottom w:val="single" w:sz="4" w:space="0" w:color="auto"/>
              <w:right w:val="single" w:sz="4" w:space="0" w:color="auto"/>
            </w:tcBorders>
          </w:tcPr>
          <w:p w14:paraId="7C9CE0FB" w14:textId="77777777" w:rsidR="009874AC" w:rsidRPr="004360BF" w:rsidRDefault="009874AC" w:rsidP="00E71941">
            <w:pPr>
              <w:keepNext/>
              <w:spacing w:before="40" w:after="40"/>
              <w:rPr>
                <w:sz w:val="22"/>
                <w:szCs w:val="22"/>
                <w:lang w:val="en-AU"/>
              </w:rPr>
            </w:pPr>
            <w:r w:rsidRPr="004360BF">
              <w:rPr>
                <w:sz w:val="22"/>
                <w:szCs w:val="22"/>
                <w:lang w:val="en-AU"/>
              </w:rPr>
              <w:t xml:space="preserve">Distribution </w:t>
            </w:r>
            <w:r w:rsidR="00B05A84" w:rsidRPr="004360BF">
              <w:rPr>
                <w:sz w:val="22"/>
                <w:szCs w:val="22"/>
                <w:lang w:val="en-AU"/>
              </w:rPr>
              <w:t>S</w:t>
            </w:r>
            <w:r w:rsidRPr="004360BF">
              <w:rPr>
                <w:sz w:val="22"/>
                <w:szCs w:val="22"/>
                <w:lang w:val="en-AU"/>
              </w:rPr>
              <w:t>ubstations</w:t>
            </w:r>
          </w:p>
        </w:tc>
        <w:tc>
          <w:tcPr>
            <w:tcW w:w="6417" w:type="dxa"/>
            <w:vMerge/>
            <w:tcBorders>
              <w:top w:val="single" w:sz="4" w:space="0" w:color="auto"/>
              <w:left w:val="single" w:sz="4" w:space="0" w:color="auto"/>
              <w:bottom w:val="single" w:sz="4" w:space="0" w:color="auto"/>
              <w:right w:val="single" w:sz="4" w:space="0" w:color="auto"/>
            </w:tcBorders>
            <w:shd w:val="solid" w:color="D6E3BC" w:fill="auto"/>
          </w:tcPr>
          <w:p w14:paraId="296FE902" w14:textId="77777777" w:rsidR="009874AC" w:rsidRPr="004360BF" w:rsidRDefault="009874AC" w:rsidP="00E71941">
            <w:pPr>
              <w:keepNext/>
              <w:spacing w:before="40" w:after="40"/>
              <w:rPr>
                <w:sz w:val="22"/>
                <w:szCs w:val="22"/>
                <w:lang w:val="en-AU"/>
              </w:rPr>
            </w:pPr>
          </w:p>
        </w:tc>
      </w:tr>
      <w:tr w:rsidR="00944547" w:rsidRPr="004360BF" w14:paraId="21FC7D5C" w14:textId="77777777" w:rsidTr="00291387">
        <w:tc>
          <w:tcPr>
            <w:tcW w:w="2717" w:type="dxa"/>
            <w:tcBorders>
              <w:top w:val="single" w:sz="4" w:space="0" w:color="auto"/>
              <w:left w:val="single" w:sz="4" w:space="0" w:color="auto"/>
              <w:bottom w:val="single" w:sz="4" w:space="0" w:color="auto"/>
              <w:right w:val="single" w:sz="4" w:space="0" w:color="auto"/>
            </w:tcBorders>
          </w:tcPr>
          <w:p w14:paraId="5DE3F437" w14:textId="77777777" w:rsidR="009874AC" w:rsidRPr="004360BF" w:rsidRDefault="009874AC" w:rsidP="00E71941">
            <w:pPr>
              <w:keepNext/>
              <w:spacing w:before="40" w:after="40"/>
              <w:rPr>
                <w:sz w:val="22"/>
                <w:szCs w:val="22"/>
                <w:lang w:val="en-AU"/>
              </w:rPr>
            </w:pPr>
            <w:r w:rsidRPr="004360BF">
              <w:rPr>
                <w:sz w:val="22"/>
                <w:szCs w:val="22"/>
                <w:lang w:val="en-AU"/>
              </w:rPr>
              <w:t xml:space="preserve">Low Voltage </w:t>
            </w:r>
            <w:r w:rsidR="00944547" w:rsidRPr="004360BF">
              <w:rPr>
                <w:sz w:val="22"/>
                <w:szCs w:val="22"/>
                <w:lang w:val="en-AU"/>
              </w:rPr>
              <w:t>Distribution</w:t>
            </w:r>
          </w:p>
        </w:tc>
        <w:tc>
          <w:tcPr>
            <w:tcW w:w="6417" w:type="dxa"/>
            <w:tcBorders>
              <w:top w:val="single" w:sz="4" w:space="0" w:color="auto"/>
              <w:left w:val="single" w:sz="4" w:space="0" w:color="auto"/>
              <w:bottom w:val="single" w:sz="4" w:space="0" w:color="auto"/>
              <w:right w:val="single" w:sz="4" w:space="0" w:color="auto"/>
            </w:tcBorders>
            <w:shd w:val="solid" w:color="CCC0D9" w:fill="auto"/>
          </w:tcPr>
          <w:p w14:paraId="0D1CB946" w14:textId="77777777" w:rsidR="009874AC" w:rsidRPr="004360BF" w:rsidRDefault="009874AC" w:rsidP="00E71941">
            <w:pPr>
              <w:keepNext/>
              <w:spacing w:before="40" w:after="40"/>
              <w:rPr>
                <w:sz w:val="22"/>
                <w:szCs w:val="22"/>
                <w:lang w:val="en-AU"/>
              </w:rPr>
            </w:pPr>
            <w:r w:rsidRPr="004360BF">
              <w:rPr>
                <w:sz w:val="22"/>
                <w:szCs w:val="22"/>
                <w:lang w:val="en-AU"/>
              </w:rPr>
              <w:t xml:space="preserve">Per-customer </w:t>
            </w:r>
            <w:r w:rsidR="00944547" w:rsidRPr="004360BF">
              <w:rPr>
                <w:sz w:val="22"/>
                <w:szCs w:val="22"/>
                <w:lang w:val="en-AU"/>
              </w:rPr>
              <w:t xml:space="preserve">connection </w:t>
            </w:r>
            <w:r w:rsidRPr="004360BF">
              <w:rPr>
                <w:sz w:val="22"/>
                <w:szCs w:val="22"/>
                <w:lang w:val="en-AU"/>
              </w:rPr>
              <w:t>allocation</w:t>
            </w:r>
            <w:r w:rsidR="00944547" w:rsidRPr="004360BF">
              <w:rPr>
                <w:sz w:val="22"/>
                <w:szCs w:val="22"/>
                <w:lang w:val="en-AU"/>
              </w:rPr>
              <w:t>, weighted for the number of phases</w:t>
            </w:r>
            <w:r w:rsidRPr="004360BF">
              <w:rPr>
                <w:sz w:val="22"/>
                <w:szCs w:val="22"/>
                <w:lang w:val="en-AU"/>
              </w:rPr>
              <w:t xml:space="preserve"> (the costs of the LV network and services are relatively independent of demand).</w:t>
            </w:r>
          </w:p>
        </w:tc>
      </w:tr>
      <w:tr w:rsidR="00944547" w:rsidRPr="004360BF" w14:paraId="163E88C0" w14:textId="77777777" w:rsidTr="00291387">
        <w:tc>
          <w:tcPr>
            <w:tcW w:w="2717" w:type="dxa"/>
            <w:tcBorders>
              <w:top w:val="single" w:sz="4" w:space="0" w:color="auto"/>
              <w:left w:val="single" w:sz="4" w:space="0" w:color="auto"/>
              <w:bottom w:val="single" w:sz="4" w:space="0" w:color="auto"/>
              <w:right w:val="single" w:sz="4" w:space="0" w:color="auto"/>
            </w:tcBorders>
          </w:tcPr>
          <w:p w14:paraId="6E61FE79" w14:textId="77777777" w:rsidR="009874AC" w:rsidRPr="004360BF" w:rsidRDefault="009874AC" w:rsidP="00E71941">
            <w:pPr>
              <w:keepNext/>
              <w:spacing w:before="40" w:after="40"/>
              <w:rPr>
                <w:sz w:val="22"/>
                <w:szCs w:val="22"/>
                <w:lang w:val="en-AU"/>
              </w:rPr>
            </w:pPr>
            <w:r w:rsidRPr="004360BF">
              <w:rPr>
                <w:sz w:val="22"/>
                <w:szCs w:val="22"/>
                <w:lang w:val="en-AU"/>
              </w:rPr>
              <w:t>Metering</w:t>
            </w:r>
          </w:p>
        </w:tc>
        <w:tc>
          <w:tcPr>
            <w:tcW w:w="6417" w:type="dxa"/>
            <w:tcBorders>
              <w:top w:val="single" w:sz="4" w:space="0" w:color="auto"/>
              <w:left w:val="single" w:sz="4" w:space="0" w:color="auto"/>
              <w:bottom w:val="single" w:sz="4" w:space="0" w:color="auto"/>
              <w:right w:val="single" w:sz="4" w:space="0" w:color="auto"/>
            </w:tcBorders>
            <w:shd w:val="solid" w:color="CCC0D9" w:fill="auto"/>
          </w:tcPr>
          <w:p w14:paraId="406C4FCF" w14:textId="77777777" w:rsidR="009874AC" w:rsidRPr="004360BF" w:rsidRDefault="009874AC" w:rsidP="00E71941">
            <w:pPr>
              <w:keepNext/>
              <w:spacing w:before="40" w:after="40"/>
              <w:rPr>
                <w:sz w:val="22"/>
                <w:szCs w:val="22"/>
                <w:lang w:val="en-AU"/>
              </w:rPr>
            </w:pPr>
            <w:r w:rsidRPr="004360BF">
              <w:rPr>
                <w:sz w:val="22"/>
                <w:szCs w:val="22"/>
                <w:lang w:val="en-AU"/>
              </w:rPr>
              <w:t xml:space="preserve">Per-customer </w:t>
            </w:r>
            <w:r w:rsidR="00944547" w:rsidRPr="004360BF">
              <w:rPr>
                <w:sz w:val="22"/>
                <w:szCs w:val="22"/>
                <w:lang w:val="en-AU"/>
              </w:rPr>
              <w:t xml:space="preserve">connection </w:t>
            </w:r>
            <w:r w:rsidRPr="004360BF">
              <w:rPr>
                <w:sz w:val="22"/>
                <w:szCs w:val="22"/>
                <w:lang w:val="en-AU"/>
              </w:rPr>
              <w:t>allocation</w:t>
            </w:r>
            <w:r w:rsidR="00944547" w:rsidRPr="004360BF">
              <w:rPr>
                <w:sz w:val="22"/>
                <w:szCs w:val="22"/>
                <w:lang w:val="en-AU"/>
              </w:rPr>
              <w:t>, weighted for relative cost.</w:t>
            </w:r>
          </w:p>
        </w:tc>
      </w:tr>
      <w:tr w:rsidR="00944547" w:rsidRPr="004360BF" w14:paraId="64C50CBA" w14:textId="77777777" w:rsidTr="00291387">
        <w:tc>
          <w:tcPr>
            <w:tcW w:w="2717" w:type="dxa"/>
            <w:tcBorders>
              <w:top w:val="single" w:sz="4" w:space="0" w:color="auto"/>
              <w:left w:val="single" w:sz="4" w:space="0" w:color="auto"/>
              <w:bottom w:val="single" w:sz="4" w:space="0" w:color="auto"/>
              <w:right w:val="single" w:sz="4" w:space="0" w:color="auto"/>
            </w:tcBorders>
          </w:tcPr>
          <w:p w14:paraId="7810EB57" w14:textId="77777777" w:rsidR="009874AC" w:rsidRPr="004360BF" w:rsidRDefault="009874AC" w:rsidP="00E71941">
            <w:pPr>
              <w:keepNext/>
              <w:spacing w:before="40" w:after="40"/>
              <w:rPr>
                <w:sz w:val="22"/>
                <w:szCs w:val="22"/>
                <w:lang w:val="en-AU"/>
              </w:rPr>
            </w:pPr>
            <w:r w:rsidRPr="004360BF">
              <w:rPr>
                <w:sz w:val="22"/>
                <w:szCs w:val="22"/>
                <w:lang w:val="en-AU"/>
              </w:rPr>
              <w:t>Common Service</w:t>
            </w:r>
          </w:p>
        </w:tc>
        <w:tc>
          <w:tcPr>
            <w:tcW w:w="6417" w:type="dxa"/>
            <w:tcBorders>
              <w:top w:val="single" w:sz="4" w:space="0" w:color="auto"/>
              <w:left w:val="single" w:sz="4" w:space="0" w:color="auto"/>
              <w:bottom w:val="single" w:sz="4" w:space="0" w:color="auto"/>
              <w:right w:val="single" w:sz="4" w:space="0" w:color="auto"/>
            </w:tcBorders>
            <w:shd w:val="solid" w:color="E5B8B7" w:fill="auto"/>
          </w:tcPr>
          <w:p w14:paraId="3C214E49" w14:textId="77777777" w:rsidR="009874AC" w:rsidRPr="004360BF" w:rsidRDefault="009874AC" w:rsidP="00E71941">
            <w:pPr>
              <w:keepNext/>
              <w:spacing w:before="40" w:after="40"/>
              <w:rPr>
                <w:sz w:val="22"/>
                <w:szCs w:val="22"/>
                <w:lang w:val="en-AU"/>
              </w:rPr>
            </w:pPr>
            <w:r w:rsidRPr="004360BF">
              <w:rPr>
                <w:sz w:val="22"/>
                <w:szCs w:val="22"/>
                <w:lang w:val="en-AU"/>
              </w:rPr>
              <w:t>Energy consumption</w:t>
            </w:r>
          </w:p>
        </w:tc>
      </w:tr>
    </w:tbl>
    <w:p w14:paraId="76861CF9" w14:textId="77777777" w:rsidR="009874AC" w:rsidRPr="004360BF" w:rsidRDefault="009874AC" w:rsidP="00E77375">
      <w:pPr>
        <w:spacing w:after="0"/>
        <w:rPr>
          <w:lang w:val="en-AU"/>
        </w:rPr>
      </w:pPr>
    </w:p>
    <w:p w14:paraId="121281C2" w14:textId="4C8FF23C" w:rsidR="009874AC" w:rsidRPr="004360BF" w:rsidRDefault="009874AC" w:rsidP="00773F88">
      <w:pPr>
        <w:keepNext/>
        <w:rPr>
          <w:lang w:val="en-AU"/>
        </w:rPr>
      </w:pPr>
      <w:r w:rsidRPr="004360BF">
        <w:rPr>
          <w:lang w:val="en-AU"/>
        </w:rPr>
        <w:t xml:space="preserve">The </w:t>
      </w:r>
      <w:r w:rsidR="00263D11" w:rsidRPr="004360BF">
        <w:rPr>
          <w:lang w:val="en-AU"/>
        </w:rPr>
        <w:t>tariff classes</w:t>
      </w:r>
      <w:r w:rsidRPr="004360BF">
        <w:rPr>
          <w:lang w:val="en-AU"/>
        </w:rPr>
        <w:t xml:space="preserve">, constituent tariffs and the allocation process in the Cost of Supply </w:t>
      </w:r>
      <w:r w:rsidR="00FF0979" w:rsidRPr="004360BF">
        <w:rPr>
          <w:lang w:val="en-AU"/>
        </w:rPr>
        <w:t>M</w:t>
      </w:r>
      <w:r w:rsidRPr="004360BF">
        <w:rPr>
          <w:lang w:val="en-AU"/>
        </w:rPr>
        <w:t xml:space="preserve">odel are illustrated in </w:t>
      </w:r>
      <w:r w:rsidR="00CC1083" w:rsidRPr="004360BF">
        <w:rPr>
          <w:lang w:val="en-AU"/>
        </w:rPr>
        <w:fldChar w:fldCharType="begin"/>
      </w:r>
      <w:r w:rsidR="00CC1083" w:rsidRPr="004360BF">
        <w:rPr>
          <w:lang w:val="en-AU"/>
        </w:rPr>
        <w:instrText xml:space="preserve"> REF _Ref235180110 \h </w:instrText>
      </w:r>
      <w:r w:rsidR="00CC1083" w:rsidRPr="004360BF">
        <w:rPr>
          <w:lang w:val="en-AU"/>
        </w:rPr>
      </w:r>
      <w:r w:rsidR="00CC1083" w:rsidRPr="004360BF">
        <w:rPr>
          <w:lang w:val="en-AU"/>
        </w:rPr>
        <w:fldChar w:fldCharType="separate"/>
      </w:r>
      <w:r w:rsidR="008D3215" w:rsidRPr="004360BF">
        <w:rPr>
          <w:lang w:val="en-AU"/>
        </w:rPr>
        <w:t xml:space="preserve">Figure </w:t>
      </w:r>
      <w:r w:rsidR="008D3215">
        <w:rPr>
          <w:noProof/>
          <w:lang w:val="en-AU"/>
        </w:rPr>
        <w:t>8</w:t>
      </w:r>
      <w:r w:rsidR="00CC1083" w:rsidRPr="004360BF">
        <w:rPr>
          <w:lang w:val="en-AU"/>
        </w:rPr>
        <w:fldChar w:fldCharType="end"/>
      </w:r>
      <w:r w:rsidRPr="004360BF">
        <w:rPr>
          <w:lang w:val="en-AU"/>
        </w:rPr>
        <w:t xml:space="preserve">. </w:t>
      </w:r>
    </w:p>
    <w:p w14:paraId="6B08A858" w14:textId="5EFD5E60" w:rsidR="009874AC" w:rsidRPr="004360BF" w:rsidRDefault="009874AC" w:rsidP="00255026">
      <w:pPr>
        <w:pStyle w:val="Caption"/>
        <w:rPr>
          <w:lang w:val="en-AU"/>
        </w:rPr>
      </w:pPr>
      <w:bookmarkStart w:id="511" w:name="_Ref235180110"/>
      <w:r w:rsidRPr="004360BF">
        <w:rPr>
          <w:lang w:val="en-AU"/>
        </w:rPr>
        <w:t xml:space="preserve">Figure </w:t>
      </w:r>
      <w:r w:rsidR="00EA0F43" w:rsidRPr="004360BF">
        <w:rPr>
          <w:lang w:val="en-AU"/>
        </w:rPr>
        <w:fldChar w:fldCharType="begin"/>
      </w:r>
      <w:r w:rsidR="00EA0F43" w:rsidRPr="004360BF">
        <w:rPr>
          <w:lang w:val="en-AU"/>
        </w:rPr>
        <w:instrText xml:space="preserve"> SEQ Figure \* ARABIC </w:instrText>
      </w:r>
      <w:r w:rsidR="00EA0F43" w:rsidRPr="004360BF">
        <w:rPr>
          <w:lang w:val="en-AU"/>
        </w:rPr>
        <w:fldChar w:fldCharType="separate"/>
      </w:r>
      <w:r w:rsidR="008D3215">
        <w:rPr>
          <w:noProof/>
          <w:lang w:val="en-AU"/>
        </w:rPr>
        <w:t>8</w:t>
      </w:r>
      <w:r w:rsidR="00EA0F43" w:rsidRPr="004360BF">
        <w:rPr>
          <w:lang w:val="en-AU"/>
        </w:rPr>
        <w:fldChar w:fldCharType="end"/>
      </w:r>
      <w:bookmarkEnd w:id="511"/>
      <w:r w:rsidRPr="004360BF">
        <w:rPr>
          <w:lang w:val="en-AU"/>
        </w:rPr>
        <w:t xml:space="preserve"> – Structure of the Cost of Supply </w:t>
      </w:r>
      <w:r w:rsidR="00FF0979" w:rsidRPr="004360BF">
        <w:rPr>
          <w:lang w:val="en-AU"/>
        </w:rPr>
        <w:t>M</w:t>
      </w:r>
      <w:r w:rsidRPr="004360BF">
        <w:rPr>
          <w:lang w:val="en-AU"/>
        </w:rPr>
        <w:t>odel</w:t>
      </w:r>
      <w:r w:rsidR="00075986" w:rsidRPr="004360BF">
        <w:rPr>
          <w:lang w:val="en-AU"/>
        </w:rPr>
        <w:t xml:space="preserve"> </w:t>
      </w:r>
      <w:r w:rsidR="00075986" w:rsidRPr="004360BF">
        <w:rPr>
          <w:noProof/>
          <w:lang w:val="en-AU" w:eastAsia="en-AU"/>
        </w:rPr>
        <w:drawing>
          <wp:inline distT="0" distB="0" distL="0" distR="0" wp14:anchorId="264F084E" wp14:editId="40FE600B">
            <wp:extent cx="6126480" cy="1951323"/>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33" cy="1947677"/>
                    </a:xfrm>
                    <a:prstGeom prst="rect">
                      <a:avLst/>
                    </a:prstGeom>
                    <a:noFill/>
                    <a:ln>
                      <a:noFill/>
                    </a:ln>
                  </pic:spPr>
                </pic:pic>
              </a:graphicData>
            </a:graphic>
          </wp:inline>
        </w:drawing>
      </w:r>
    </w:p>
    <w:p w14:paraId="462F3300" w14:textId="77777777" w:rsidR="004D2F3A" w:rsidRPr="004360BF" w:rsidRDefault="009874AC" w:rsidP="00E71941">
      <w:pPr>
        <w:rPr>
          <w:lang w:val="en-AU"/>
        </w:rPr>
      </w:pPr>
      <w:r w:rsidRPr="004360BF">
        <w:rPr>
          <w:lang w:val="en-AU"/>
        </w:rPr>
        <w:t xml:space="preserve">The outcomes from the Cost of Supply </w:t>
      </w:r>
      <w:r w:rsidR="00FF0979" w:rsidRPr="004360BF">
        <w:rPr>
          <w:lang w:val="en-AU"/>
        </w:rPr>
        <w:t>M</w:t>
      </w:r>
      <w:r w:rsidRPr="004360BF">
        <w:rPr>
          <w:lang w:val="en-AU"/>
        </w:rPr>
        <w:t xml:space="preserve">odel are discussed </w:t>
      </w:r>
      <w:r w:rsidR="00D87D4A" w:rsidRPr="004360BF">
        <w:rPr>
          <w:lang w:val="en-AU"/>
        </w:rPr>
        <w:t>below</w:t>
      </w:r>
      <w:r w:rsidRPr="004360BF">
        <w:rPr>
          <w:lang w:val="en-AU"/>
        </w:rPr>
        <w:t>.</w:t>
      </w:r>
    </w:p>
    <w:p w14:paraId="1BC46ABB" w14:textId="77777777" w:rsidR="004D2F3A" w:rsidRPr="004360BF" w:rsidRDefault="00983E11" w:rsidP="00EE7AA1">
      <w:pPr>
        <w:pStyle w:val="Heading3"/>
        <w:numPr>
          <w:ilvl w:val="0"/>
          <w:numId w:val="0"/>
        </w:numPr>
      </w:pPr>
      <w:bookmarkStart w:id="512" w:name="_Ref235263207"/>
      <w:bookmarkStart w:id="513" w:name="_Toc417291791"/>
      <w:bookmarkStart w:id="514" w:name="_Toc417292559"/>
      <w:bookmarkStart w:id="515" w:name="_Toc291262277"/>
      <w:r w:rsidRPr="004360BF">
        <w:t>A</w:t>
      </w:r>
      <w:r w:rsidR="00A14042" w:rsidRPr="004360BF">
        <w:t>2</w:t>
      </w:r>
      <w:r w:rsidRPr="004360BF">
        <w:t>.3</w:t>
      </w:r>
      <w:r w:rsidRPr="004360BF">
        <w:tab/>
      </w:r>
      <w:r w:rsidR="004D2F3A" w:rsidRPr="004360BF">
        <w:t>Cost of Supply outcomes</w:t>
      </w:r>
      <w:bookmarkEnd w:id="512"/>
      <w:bookmarkEnd w:id="513"/>
      <w:bookmarkEnd w:id="514"/>
      <w:bookmarkEnd w:id="515"/>
    </w:p>
    <w:p w14:paraId="593F58B5" w14:textId="20C17AFC" w:rsidR="004D2F3A" w:rsidRPr="004360BF" w:rsidRDefault="004D2F3A" w:rsidP="004D2F3A">
      <w:pPr>
        <w:keepNext/>
        <w:rPr>
          <w:lang w:val="en-AU"/>
        </w:rPr>
      </w:pPr>
      <w:r w:rsidRPr="004360BF">
        <w:rPr>
          <w:lang w:val="en-AU"/>
        </w:rPr>
        <w:t xml:space="preserve">The outcome of the Cost of Supply </w:t>
      </w:r>
      <w:r w:rsidR="00FF0979" w:rsidRPr="004360BF">
        <w:rPr>
          <w:lang w:val="en-AU"/>
        </w:rPr>
        <w:t>M</w:t>
      </w:r>
      <w:r w:rsidRPr="004360BF">
        <w:rPr>
          <w:lang w:val="en-AU"/>
        </w:rPr>
        <w:t xml:space="preserve">odel cost allocation to tariffs and </w:t>
      </w:r>
      <w:r w:rsidR="00263D11" w:rsidRPr="004360BF">
        <w:rPr>
          <w:lang w:val="en-AU"/>
        </w:rPr>
        <w:t>tariff classes</w:t>
      </w:r>
      <w:r w:rsidRPr="004360BF">
        <w:rPr>
          <w:lang w:val="en-AU"/>
        </w:rPr>
        <w:t xml:space="preserve"> is shown in </w:t>
      </w:r>
      <w:r w:rsidR="00CC1083" w:rsidRPr="004360BF">
        <w:rPr>
          <w:lang w:val="en-AU"/>
        </w:rPr>
        <w:fldChar w:fldCharType="begin"/>
      </w:r>
      <w:r w:rsidR="00CC1083" w:rsidRPr="004360BF">
        <w:rPr>
          <w:lang w:val="en-AU"/>
        </w:rPr>
        <w:instrText xml:space="preserve"> REF _Ref235185724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21</w:t>
      </w:r>
      <w:r w:rsidR="00CC1083" w:rsidRPr="004360BF">
        <w:rPr>
          <w:lang w:val="en-AU"/>
        </w:rPr>
        <w:fldChar w:fldCharType="end"/>
      </w:r>
      <w:r w:rsidRPr="004360BF">
        <w:rPr>
          <w:lang w:val="en-AU"/>
        </w:rPr>
        <w:t>.</w:t>
      </w:r>
    </w:p>
    <w:p w14:paraId="6E3AEA3F" w14:textId="77777777" w:rsidR="004D2F3A" w:rsidRPr="004360BF" w:rsidRDefault="004D2F3A" w:rsidP="004D2F3A">
      <w:pPr>
        <w:pStyle w:val="Caption"/>
        <w:rPr>
          <w:lang w:val="en-AU"/>
        </w:rPr>
      </w:pPr>
      <w:bookmarkStart w:id="516" w:name="_Ref235185724"/>
      <w:bookmarkStart w:id="517" w:name="_Ref235693261"/>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21</w:t>
      </w:r>
      <w:r w:rsidR="00517DD9" w:rsidRPr="004360BF">
        <w:rPr>
          <w:lang w:val="en-AU"/>
        </w:rPr>
        <w:fldChar w:fldCharType="end"/>
      </w:r>
      <w:bookmarkEnd w:id="516"/>
      <w:r w:rsidRPr="004360BF">
        <w:rPr>
          <w:lang w:val="en-AU"/>
        </w:rPr>
        <w:t xml:space="preserve"> - Cost of Supply </w:t>
      </w:r>
      <w:r w:rsidR="00FF0979" w:rsidRPr="004360BF">
        <w:rPr>
          <w:lang w:val="en-AU"/>
        </w:rPr>
        <w:t>M</w:t>
      </w:r>
      <w:r w:rsidRPr="004360BF">
        <w:rPr>
          <w:lang w:val="en-AU"/>
        </w:rPr>
        <w:t>odel allocations</w:t>
      </w:r>
      <w:bookmarkEnd w:id="517"/>
    </w:p>
    <w:p w14:paraId="65397290" w14:textId="4E6ACB38" w:rsidR="00255026" w:rsidRPr="004360BF" w:rsidRDefault="008A11F4" w:rsidP="00255026">
      <w:pPr>
        <w:rPr>
          <w:highlight w:val="yellow"/>
          <w:lang w:val="en-AU"/>
        </w:rPr>
      </w:pPr>
      <w:r w:rsidRPr="008A11F4">
        <w:rPr>
          <w:noProof/>
          <w:lang w:val="en-AU" w:eastAsia="en-AU"/>
        </w:rPr>
        <w:drawing>
          <wp:inline distT="0" distB="0" distL="0" distR="0" wp14:anchorId="77FBE2EB" wp14:editId="516F01A5">
            <wp:extent cx="5731510" cy="124532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245327"/>
                    </a:xfrm>
                    <a:prstGeom prst="rect">
                      <a:avLst/>
                    </a:prstGeom>
                    <a:noFill/>
                    <a:ln>
                      <a:noFill/>
                    </a:ln>
                  </pic:spPr>
                </pic:pic>
              </a:graphicData>
            </a:graphic>
          </wp:inline>
        </w:drawing>
      </w:r>
    </w:p>
    <w:p w14:paraId="67ECEBEE" w14:textId="10638D35" w:rsidR="004D2F3A" w:rsidRPr="004360BF" w:rsidRDefault="004D2F3A" w:rsidP="00E71941">
      <w:pPr>
        <w:keepNext/>
        <w:rPr>
          <w:lang w:val="en-AU"/>
        </w:rPr>
      </w:pPr>
      <w:r w:rsidRPr="004360BF">
        <w:rPr>
          <w:lang w:val="en-AU"/>
        </w:rPr>
        <w:lastRenderedPageBreak/>
        <w:t>This allocated cost is compared with the cost reco</w:t>
      </w:r>
      <w:r w:rsidR="00B05A84" w:rsidRPr="004360BF">
        <w:rPr>
          <w:lang w:val="en-AU"/>
        </w:rPr>
        <w:t>very through tariffs in 201</w:t>
      </w:r>
      <w:r w:rsidR="00E958C7" w:rsidRPr="004360BF">
        <w:rPr>
          <w:lang w:val="en-AU"/>
        </w:rPr>
        <w:t>5</w:t>
      </w:r>
      <w:r w:rsidR="00B05A84" w:rsidRPr="004360BF">
        <w:rPr>
          <w:lang w:val="en-AU"/>
        </w:rPr>
        <w:t>/1</w:t>
      </w:r>
      <w:r w:rsidR="00E958C7" w:rsidRPr="004360BF">
        <w:rPr>
          <w:lang w:val="en-AU"/>
        </w:rPr>
        <w:t>6</w:t>
      </w:r>
      <w:r w:rsidR="00B05A84" w:rsidRPr="004360BF">
        <w:rPr>
          <w:lang w:val="en-AU"/>
        </w:rPr>
        <w:t xml:space="preserve">, which is </w:t>
      </w:r>
      <w:r w:rsidRPr="004360BF">
        <w:rPr>
          <w:lang w:val="en-AU"/>
        </w:rPr>
        <w:t xml:space="preserve">shown in </w:t>
      </w:r>
      <w:r w:rsidR="00CC1083" w:rsidRPr="004360BF">
        <w:rPr>
          <w:lang w:val="en-AU"/>
        </w:rPr>
        <w:fldChar w:fldCharType="begin"/>
      </w:r>
      <w:r w:rsidR="00CC1083" w:rsidRPr="004360BF">
        <w:rPr>
          <w:lang w:val="en-AU"/>
        </w:rPr>
        <w:instrText xml:space="preserve"> REF _Ref235185739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22</w:t>
      </w:r>
      <w:r w:rsidR="00CC1083" w:rsidRPr="004360BF">
        <w:rPr>
          <w:lang w:val="en-AU"/>
        </w:rPr>
        <w:fldChar w:fldCharType="end"/>
      </w:r>
      <w:r w:rsidRPr="004360BF">
        <w:rPr>
          <w:lang w:val="en-AU"/>
        </w:rPr>
        <w:t>.</w:t>
      </w:r>
      <w:r w:rsidR="00D9617E" w:rsidRPr="004360BF">
        <w:rPr>
          <w:lang w:val="en-AU"/>
        </w:rPr>
        <w:t xml:space="preserve"> </w:t>
      </w:r>
    </w:p>
    <w:p w14:paraId="0723FFB4" w14:textId="652A3161" w:rsidR="004D2F3A" w:rsidRPr="004360BF" w:rsidRDefault="004D2F3A" w:rsidP="004D2F3A">
      <w:pPr>
        <w:pStyle w:val="Caption"/>
        <w:rPr>
          <w:lang w:val="en-AU"/>
        </w:rPr>
      </w:pPr>
      <w:bookmarkStart w:id="518" w:name="_Ref235185739"/>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22</w:t>
      </w:r>
      <w:r w:rsidR="00517DD9" w:rsidRPr="004360BF">
        <w:rPr>
          <w:lang w:val="en-AU"/>
        </w:rPr>
        <w:fldChar w:fldCharType="end"/>
      </w:r>
      <w:bookmarkEnd w:id="518"/>
      <w:r w:rsidRPr="004360BF">
        <w:rPr>
          <w:lang w:val="en-AU"/>
        </w:rPr>
        <w:t xml:space="preserve"> - Cost of Supply </w:t>
      </w:r>
      <w:r w:rsidR="00FF0979" w:rsidRPr="004360BF">
        <w:rPr>
          <w:lang w:val="en-AU"/>
        </w:rPr>
        <w:t>M</w:t>
      </w:r>
      <w:r w:rsidRPr="004360BF">
        <w:rPr>
          <w:lang w:val="en-AU"/>
        </w:rPr>
        <w:t>odel</w:t>
      </w:r>
      <w:r w:rsidR="008202A5" w:rsidRPr="004360BF">
        <w:rPr>
          <w:lang w:val="en-AU"/>
        </w:rPr>
        <w:t xml:space="preserve"> comparison with 201</w:t>
      </w:r>
      <w:r w:rsidR="00E958C7" w:rsidRPr="004360BF">
        <w:rPr>
          <w:lang w:val="en-AU"/>
        </w:rPr>
        <w:t>5</w:t>
      </w:r>
      <w:r w:rsidR="008202A5" w:rsidRPr="004360BF">
        <w:rPr>
          <w:lang w:val="en-AU"/>
        </w:rPr>
        <w:t>/1</w:t>
      </w:r>
      <w:r w:rsidR="00E958C7" w:rsidRPr="004360BF">
        <w:rPr>
          <w:lang w:val="en-AU"/>
        </w:rPr>
        <w:t>6</w:t>
      </w:r>
      <w:r w:rsidR="008202A5" w:rsidRPr="004360BF">
        <w:rPr>
          <w:lang w:val="en-AU"/>
        </w:rPr>
        <w:t xml:space="preserve"> tariff revenue</w:t>
      </w:r>
      <w:r w:rsidR="00D9617E" w:rsidRPr="004360BF">
        <w:rPr>
          <w:lang w:val="en-AU"/>
        </w:rPr>
        <w:t xml:space="preserve"> </w:t>
      </w:r>
    </w:p>
    <w:p w14:paraId="0B1541A2" w14:textId="7986A69C" w:rsidR="00EE2029" w:rsidRPr="004360BF" w:rsidRDefault="008A11F4" w:rsidP="00EE2029">
      <w:pPr>
        <w:rPr>
          <w:lang w:val="en-AU"/>
        </w:rPr>
      </w:pPr>
      <w:r w:rsidRPr="008A11F4">
        <w:rPr>
          <w:noProof/>
          <w:lang w:val="en-AU" w:eastAsia="en-AU"/>
        </w:rPr>
        <w:drawing>
          <wp:inline distT="0" distB="0" distL="0" distR="0" wp14:anchorId="38953B59" wp14:editId="65E146C3">
            <wp:extent cx="3024000" cy="1586996"/>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4048" cy="1587021"/>
                    </a:xfrm>
                    <a:prstGeom prst="rect">
                      <a:avLst/>
                    </a:prstGeom>
                    <a:noFill/>
                    <a:ln>
                      <a:noFill/>
                    </a:ln>
                  </pic:spPr>
                </pic:pic>
              </a:graphicData>
            </a:graphic>
          </wp:inline>
        </w:drawing>
      </w:r>
      <w:r w:rsidR="007469EB" w:rsidRPr="004360BF">
        <w:rPr>
          <w:rStyle w:val="CommentReference"/>
          <w:sz w:val="24"/>
          <w:szCs w:val="24"/>
          <w:lang w:val="en-AU"/>
        </w:rPr>
        <w:t xml:space="preserve"> </w:t>
      </w:r>
    </w:p>
    <w:p w14:paraId="4983A1E4" w14:textId="1234C141" w:rsidR="004D2F3A" w:rsidRPr="004360BF" w:rsidRDefault="004D2F3A" w:rsidP="00E71941">
      <w:pPr>
        <w:pStyle w:val="Dottop"/>
        <w:rPr>
          <w:lang w:val="en-AU"/>
        </w:rPr>
      </w:pPr>
      <w:r w:rsidRPr="004360BF">
        <w:rPr>
          <w:lang w:val="en-AU"/>
        </w:rPr>
        <w:t xml:space="preserve">It </w:t>
      </w:r>
      <w:r w:rsidR="00EE2029" w:rsidRPr="004360BF">
        <w:rPr>
          <w:lang w:val="en-AU"/>
        </w:rPr>
        <w:t>is</w:t>
      </w:r>
      <w:r w:rsidRPr="004360BF">
        <w:rPr>
          <w:lang w:val="en-AU"/>
        </w:rPr>
        <w:t xml:space="preserve"> observed from the comparison in </w:t>
      </w:r>
      <w:r w:rsidR="00CC1083" w:rsidRPr="004360BF">
        <w:rPr>
          <w:lang w:val="en-AU"/>
        </w:rPr>
        <w:fldChar w:fldCharType="begin"/>
      </w:r>
      <w:r w:rsidR="00CC1083" w:rsidRPr="004360BF">
        <w:rPr>
          <w:lang w:val="en-AU"/>
        </w:rPr>
        <w:instrText xml:space="preserve"> REF _Ref235185739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22</w:t>
      </w:r>
      <w:r w:rsidR="00CC1083" w:rsidRPr="004360BF">
        <w:rPr>
          <w:lang w:val="en-AU"/>
        </w:rPr>
        <w:fldChar w:fldCharType="end"/>
      </w:r>
      <w:r w:rsidRPr="004360BF">
        <w:rPr>
          <w:lang w:val="en-AU"/>
        </w:rPr>
        <w:t xml:space="preserve"> that:</w:t>
      </w:r>
    </w:p>
    <w:p w14:paraId="1478870C" w14:textId="364F0939" w:rsidR="00FC6BD5" w:rsidRPr="004360BF" w:rsidRDefault="00FC6BD5" w:rsidP="00E71941">
      <w:pPr>
        <w:pStyle w:val="Dot"/>
        <w:rPr>
          <w:lang w:val="en-AU"/>
        </w:rPr>
      </w:pPr>
      <w:r w:rsidRPr="004360BF">
        <w:rPr>
          <w:lang w:val="en-AU"/>
        </w:rPr>
        <w:t xml:space="preserve">The 2015/16 tariffs under-recover </w:t>
      </w:r>
      <w:r w:rsidR="009E2A12" w:rsidRPr="004360BF">
        <w:rPr>
          <w:lang w:val="en-AU"/>
        </w:rPr>
        <w:t xml:space="preserve">total </w:t>
      </w:r>
      <w:r w:rsidRPr="004360BF">
        <w:rPr>
          <w:lang w:val="en-AU"/>
        </w:rPr>
        <w:t xml:space="preserve">costs (99%) due to the side constraint on tariff class price movements constraining the revenue through tariffs.  </w:t>
      </w:r>
    </w:p>
    <w:p w14:paraId="59E690F4" w14:textId="6EE1A44F" w:rsidR="004D2F3A" w:rsidRPr="004360BF" w:rsidRDefault="004D2F3A" w:rsidP="00E71941">
      <w:pPr>
        <w:pStyle w:val="Dot"/>
        <w:rPr>
          <w:lang w:val="en-AU"/>
        </w:rPr>
      </w:pPr>
      <w:r w:rsidRPr="004360BF">
        <w:rPr>
          <w:lang w:val="en-AU"/>
        </w:rPr>
        <w:t xml:space="preserve">The domestic tariff </w:t>
      </w:r>
      <w:r w:rsidR="00B3127B" w:rsidRPr="004360BF">
        <w:rPr>
          <w:lang w:val="en-AU"/>
        </w:rPr>
        <w:t xml:space="preserve">class </w:t>
      </w:r>
      <w:r w:rsidRPr="004360BF">
        <w:rPr>
          <w:lang w:val="en-AU"/>
        </w:rPr>
        <w:t xml:space="preserve">and </w:t>
      </w:r>
      <w:r w:rsidR="00263D11" w:rsidRPr="004360BF">
        <w:rPr>
          <w:lang w:val="en-AU"/>
        </w:rPr>
        <w:t xml:space="preserve">tariff </w:t>
      </w:r>
      <w:r w:rsidRPr="004360BF">
        <w:rPr>
          <w:lang w:val="en-AU"/>
        </w:rPr>
        <w:t>revenue is above the network cost;</w:t>
      </w:r>
    </w:p>
    <w:p w14:paraId="7D53B468" w14:textId="77777777" w:rsidR="004D2F3A" w:rsidRPr="004360BF" w:rsidRDefault="004D2F3A" w:rsidP="00E71941">
      <w:pPr>
        <w:pStyle w:val="Dot"/>
        <w:rPr>
          <w:lang w:val="en-AU"/>
        </w:rPr>
      </w:pPr>
      <w:r w:rsidRPr="004360BF">
        <w:rPr>
          <w:lang w:val="en-AU"/>
        </w:rPr>
        <w:t xml:space="preserve">The </w:t>
      </w:r>
      <w:r w:rsidR="00EE2029" w:rsidRPr="004360BF">
        <w:rPr>
          <w:lang w:val="en-AU"/>
        </w:rPr>
        <w:t>&lt;750</w:t>
      </w:r>
      <w:r w:rsidR="004C78C6" w:rsidRPr="004360BF">
        <w:rPr>
          <w:lang w:val="en-AU"/>
        </w:rPr>
        <w:t> </w:t>
      </w:r>
      <w:proofErr w:type="spellStart"/>
      <w:r w:rsidR="00EE2029" w:rsidRPr="004360BF">
        <w:rPr>
          <w:lang w:val="en-AU"/>
        </w:rPr>
        <w:t>MWh</w:t>
      </w:r>
      <w:proofErr w:type="spellEnd"/>
      <w:r w:rsidR="00EE2029" w:rsidRPr="004360BF">
        <w:rPr>
          <w:lang w:val="en-AU"/>
        </w:rPr>
        <w:t xml:space="preserve"> per annum </w:t>
      </w:r>
      <w:r w:rsidRPr="004360BF">
        <w:rPr>
          <w:lang w:val="en-AU"/>
        </w:rPr>
        <w:t xml:space="preserve">commercial tariff </w:t>
      </w:r>
      <w:r w:rsidR="00B3127B" w:rsidRPr="004360BF">
        <w:rPr>
          <w:lang w:val="en-AU"/>
        </w:rPr>
        <w:t xml:space="preserve">revenue </w:t>
      </w:r>
      <w:r w:rsidRPr="004360BF">
        <w:rPr>
          <w:lang w:val="en-AU"/>
        </w:rPr>
        <w:t>for customers</w:t>
      </w:r>
      <w:r w:rsidR="00EE2029" w:rsidRPr="004360BF">
        <w:rPr>
          <w:lang w:val="en-AU"/>
        </w:rPr>
        <w:t xml:space="preserve"> with an annual consumption less than 750</w:t>
      </w:r>
      <w:r w:rsidR="004C78C6" w:rsidRPr="004360BF">
        <w:rPr>
          <w:lang w:val="en-AU"/>
        </w:rPr>
        <w:t> </w:t>
      </w:r>
      <w:proofErr w:type="spellStart"/>
      <w:r w:rsidR="00EE2029" w:rsidRPr="004360BF">
        <w:rPr>
          <w:lang w:val="en-AU"/>
        </w:rPr>
        <w:t>MWh</w:t>
      </w:r>
      <w:proofErr w:type="spellEnd"/>
      <w:r w:rsidRPr="004360BF">
        <w:rPr>
          <w:lang w:val="en-AU"/>
        </w:rPr>
        <w:t xml:space="preserve"> is </w:t>
      </w:r>
      <w:r w:rsidR="00EE2029" w:rsidRPr="004360BF">
        <w:rPr>
          <w:lang w:val="en-AU"/>
        </w:rPr>
        <w:t>less than the network cost</w:t>
      </w:r>
      <w:r w:rsidRPr="004360BF">
        <w:rPr>
          <w:lang w:val="en-AU"/>
        </w:rPr>
        <w:t>;</w:t>
      </w:r>
    </w:p>
    <w:p w14:paraId="0F3CFCD6" w14:textId="47317C03" w:rsidR="004D2F3A" w:rsidRPr="004360BF" w:rsidRDefault="00E958C7" w:rsidP="00E71941">
      <w:pPr>
        <w:pStyle w:val="Dot"/>
        <w:rPr>
          <w:lang w:val="en-AU"/>
        </w:rPr>
      </w:pPr>
      <w:r w:rsidRPr="004360BF">
        <w:rPr>
          <w:lang w:val="en-AU"/>
        </w:rPr>
        <w:t>For unmetered usage t</w:t>
      </w:r>
      <w:r w:rsidR="004D2F3A" w:rsidRPr="004360BF">
        <w:rPr>
          <w:lang w:val="en-AU"/>
        </w:rPr>
        <w:t xml:space="preserve">he street light tariff is over recovering and the traffic light tariff is </w:t>
      </w:r>
      <w:r w:rsidR="00093A8E" w:rsidRPr="004360BF">
        <w:rPr>
          <w:lang w:val="en-AU"/>
        </w:rPr>
        <w:t>under recovering</w:t>
      </w:r>
      <w:r w:rsidR="00FC6BD5" w:rsidRPr="004360BF">
        <w:rPr>
          <w:lang w:val="en-AU"/>
        </w:rPr>
        <w:t xml:space="preserve"> (note that Power </w:t>
      </w:r>
      <w:r w:rsidR="00F631E2" w:rsidRPr="004360BF">
        <w:rPr>
          <w:lang w:val="en-AU"/>
        </w:rPr>
        <w:t>Networks proposes</w:t>
      </w:r>
      <w:r w:rsidR="00FC6BD5" w:rsidRPr="004360BF">
        <w:rPr>
          <w:lang w:val="en-AU"/>
        </w:rPr>
        <w:t xml:space="preserve"> to confirm </w:t>
      </w:r>
      <w:r w:rsidR="00F631E2" w:rsidRPr="004360BF">
        <w:rPr>
          <w:lang w:val="en-AU"/>
        </w:rPr>
        <w:t>the estimated consumption patterns)</w:t>
      </w:r>
      <w:r w:rsidR="004D2F3A" w:rsidRPr="004360BF">
        <w:rPr>
          <w:lang w:val="en-AU"/>
        </w:rPr>
        <w:t>;</w:t>
      </w:r>
    </w:p>
    <w:p w14:paraId="31BC4561" w14:textId="5D9ED282" w:rsidR="004D2F3A" w:rsidRPr="004360BF" w:rsidRDefault="004D2F3A" w:rsidP="00E71941">
      <w:pPr>
        <w:pStyle w:val="Dot"/>
        <w:rPr>
          <w:lang w:val="en-AU"/>
        </w:rPr>
      </w:pPr>
      <w:r w:rsidRPr="004360BF">
        <w:rPr>
          <w:lang w:val="en-AU"/>
        </w:rPr>
        <w:t xml:space="preserve">The </w:t>
      </w:r>
      <w:r w:rsidR="00EE2029" w:rsidRPr="004360BF">
        <w:rPr>
          <w:lang w:val="en-AU"/>
        </w:rPr>
        <w:t>&gt;750</w:t>
      </w:r>
      <w:r w:rsidR="004C78C6" w:rsidRPr="004360BF">
        <w:rPr>
          <w:lang w:val="en-AU"/>
        </w:rPr>
        <w:t> </w:t>
      </w:r>
      <w:proofErr w:type="spellStart"/>
      <w:r w:rsidR="00EE2029" w:rsidRPr="004360BF">
        <w:rPr>
          <w:lang w:val="en-AU"/>
        </w:rPr>
        <w:t>MWh</w:t>
      </w:r>
      <w:proofErr w:type="spellEnd"/>
      <w:r w:rsidR="00EE2029" w:rsidRPr="004360BF">
        <w:rPr>
          <w:lang w:val="en-AU"/>
        </w:rPr>
        <w:t xml:space="preserve"> per annum LV </w:t>
      </w:r>
      <w:r w:rsidRPr="004360BF">
        <w:rPr>
          <w:lang w:val="en-AU"/>
        </w:rPr>
        <w:t xml:space="preserve">Commercial tariff for customers </w:t>
      </w:r>
      <w:r w:rsidR="00EE2029" w:rsidRPr="004360BF">
        <w:rPr>
          <w:lang w:val="en-AU"/>
        </w:rPr>
        <w:t>with an annual consumption more than 750</w:t>
      </w:r>
      <w:r w:rsidR="004C78C6" w:rsidRPr="004360BF">
        <w:rPr>
          <w:lang w:val="en-AU"/>
        </w:rPr>
        <w:t> </w:t>
      </w:r>
      <w:proofErr w:type="spellStart"/>
      <w:r w:rsidR="00EE2029" w:rsidRPr="004360BF">
        <w:rPr>
          <w:lang w:val="en-AU"/>
        </w:rPr>
        <w:t>MWh</w:t>
      </w:r>
      <w:proofErr w:type="spellEnd"/>
      <w:r w:rsidR="00EE2029" w:rsidRPr="004360BF">
        <w:rPr>
          <w:lang w:val="en-AU"/>
        </w:rPr>
        <w:t xml:space="preserve"> </w:t>
      </w:r>
      <w:r w:rsidRPr="004360BF">
        <w:rPr>
          <w:lang w:val="en-AU"/>
        </w:rPr>
        <w:t xml:space="preserve">connected to the </w:t>
      </w:r>
      <w:r w:rsidR="00B3127B" w:rsidRPr="004360BF">
        <w:rPr>
          <w:lang w:val="en-AU"/>
        </w:rPr>
        <w:t>low voltage</w:t>
      </w:r>
      <w:r w:rsidRPr="004360BF">
        <w:rPr>
          <w:lang w:val="en-AU"/>
        </w:rPr>
        <w:t xml:space="preserve"> network under recovers revenue;</w:t>
      </w:r>
    </w:p>
    <w:p w14:paraId="1EBE7774" w14:textId="77777777" w:rsidR="004D2F3A" w:rsidRPr="004360BF" w:rsidRDefault="004D2F3A" w:rsidP="00E71941">
      <w:pPr>
        <w:pStyle w:val="Dot"/>
        <w:rPr>
          <w:lang w:val="en-AU"/>
        </w:rPr>
      </w:pPr>
      <w:r w:rsidRPr="004360BF">
        <w:rPr>
          <w:lang w:val="en-AU"/>
        </w:rPr>
        <w:t xml:space="preserve">Overall, revenue is under recovered for the proposed Commercial </w:t>
      </w:r>
      <w:r w:rsidR="00263D11" w:rsidRPr="004360BF">
        <w:rPr>
          <w:lang w:val="en-AU"/>
        </w:rPr>
        <w:t>tariff class</w:t>
      </w:r>
      <w:r w:rsidRPr="004360BF">
        <w:rPr>
          <w:lang w:val="en-AU"/>
        </w:rPr>
        <w:t xml:space="preserve"> containing the </w:t>
      </w:r>
      <w:r w:rsidR="00EE2029" w:rsidRPr="004360BF">
        <w:rPr>
          <w:lang w:val="en-AU"/>
        </w:rPr>
        <w:t xml:space="preserve">&lt;750 </w:t>
      </w:r>
      <w:proofErr w:type="spellStart"/>
      <w:r w:rsidR="00EE2029" w:rsidRPr="004360BF">
        <w:rPr>
          <w:lang w:val="en-AU"/>
        </w:rPr>
        <w:t>MWh</w:t>
      </w:r>
      <w:proofErr w:type="spellEnd"/>
      <w:r w:rsidR="00EE2029" w:rsidRPr="004360BF">
        <w:rPr>
          <w:lang w:val="en-AU"/>
        </w:rPr>
        <w:t xml:space="preserve"> per annum </w:t>
      </w:r>
      <w:r w:rsidRPr="004360BF">
        <w:rPr>
          <w:lang w:val="en-AU"/>
        </w:rPr>
        <w:t xml:space="preserve">Commercial, </w:t>
      </w:r>
      <w:r w:rsidR="00EE2029" w:rsidRPr="004360BF">
        <w:rPr>
          <w:lang w:val="en-AU"/>
        </w:rPr>
        <w:t>Unmetered</w:t>
      </w:r>
      <w:r w:rsidRPr="004360BF">
        <w:rPr>
          <w:lang w:val="en-AU"/>
        </w:rPr>
        <w:t xml:space="preserve"> and </w:t>
      </w:r>
      <w:r w:rsidR="00B3127B" w:rsidRPr="004360BF">
        <w:rPr>
          <w:lang w:val="en-AU"/>
        </w:rPr>
        <w:t>&gt;</w:t>
      </w:r>
      <w:r w:rsidR="00EE2029" w:rsidRPr="004360BF">
        <w:rPr>
          <w:lang w:val="en-AU"/>
        </w:rPr>
        <w:t>750</w:t>
      </w:r>
      <w:r w:rsidR="004C78C6" w:rsidRPr="004360BF">
        <w:rPr>
          <w:lang w:val="en-AU"/>
        </w:rPr>
        <w:t> </w:t>
      </w:r>
      <w:proofErr w:type="spellStart"/>
      <w:r w:rsidR="00EE2029" w:rsidRPr="004360BF">
        <w:rPr>
          <w:lang w:val="en-AU"/>
        </w:rPr>
        <w:t>MWh</w:t>
      </w:r>
      <w:proofErr w:type="spellEnd"/>
      <w:r w:rsidR="00EE2029" w:rsidRPr="004360BF">
        <w:rPr>
          <w:lang w:val="en-AU"/>
        </w:rPr>
        <w:t xml:space="preserve"> per annum LV Commercial</w:t>
      </w:r>
      <w:r w:rsidRPr="004360BF">
        <w:rPr>
          <w:lang w:val="en-AU"/>
        </w:rPr>
        <w:t xml:space="preserve"> tariffs; and</w:t>
      </w:r>
    </w:p>
    <w:p w14:paraId="0BF94F1F" w14:textId="77777777" w:rsidR="00B3127B" w:rsidRPr="004360BF" w:rsidRDefault="00B3127B" w:rsidP="00E71941">
      <w:pPr>
        <w:pStyle w:val="Dotbot"/>
        <w:rPr>
          <w:lang w:val="en-AU"/>
        </w:rPr>
      </w:pPr>
      <w:r w:rsidRPr="004360BF">
        <w:rPr>
          <w:lang w:val="en-AU"/>
        </w:rPr>
        <w:t>The Commercial HV tariff class and the &gt;750</w:t>
      </w:r>
      <w:r w:rsidR="004C78C6" w:rsidRPr="004360BF">
        <w:rPr>
          <w:lang w:val="en-AU"/>
        </w:rPr>
        <w:t> </w:t>
      </w:r>
      <w:proofErr w:type="spellStart"/>
      <w:r w:rsidRPr="004360BF">
        <w:rPr>
          <w:lang w:val="en-AU"/>
        </w:rPr>
        <w:t>MWh</w:t>
      </w:r>
      <w:proofErr w:type="spellEnd"/>
      <w:r w:rsidRPr="004360BF">
        <w:rPr>
          <w:lang w:val="en-AU"/>
        </w:rPr>
        <w:t xml:space="preserve"> per annum HV Commercial tariff for customers with an annual consumption more than 750</w:t>
      </w:r>
      <w:r w:rsidR="004C78C6" w:rsidRPr="004360BF">
        <w:rPr>
          <w:lang w:val="en-AU"/>
        </w:rPr>
        <w:t> </w:t>
      </w:r>
      <w:proofErr w:type="spellStart"/>
      <w:r w:rsidRPr="004360BF">
        <w:rPr>
          <w:lang w:val="en-AU"/>
        </w:rPr>
        <w:t>MWh</w:t>
      </w:r>
      <w:proofErr w:type="spellEnd"/>
      <w:r w:rsidRPr="004360BF">
        <w:rPr>
          <w:lang w:val="en-AU"/>
        </w:rPr>
        <w:t xml:space="preserve"> connected to the high voltage network significantly under recovers revenue.</w:t>
      </w:r>
    </w:p>
    <w:p w14:paraId="765D11A7" w14:textId="77777777" w:rsidR="008D2EC1" w:rsidRPr="004360BF" w:rsidRDefault="008D2EC1" w:rsidP="00E71941">
      <w:pPr>
        <w:rPr>
          <w:lang w:val="en-AU"/>
        </w:rPr>
      </w:pPr>
      <w:r w:rsidRPr="004360BF">
        <w:rPr>
          <w:lang w:val="en-AU"/>
        </w:rPr>
        <w:t>A network pricing strategy that seeks to improve equity between customers would align network tariffs and tariff classes with their cost of supply outcomes.</w:t>
      </w:r>
    </w:p>
    <w:p w14:paraId="6B7B391D" w14:textId="77777777" w:rsidR="004D2F3A" w:rsidRPr="004360BF" w:rsidRDefault="00FF0979" w:rsidP="00E71941">
      <w:pPr>
        <w:rPr>
          <w:lang w:val="en-AU"/>
        </w:rPr>
      </w:pPr>
      <w:r w:rsidRPr="004360BF">
        <w:rPr>
          <w:lang w:val="en-AU"/>
        </w:rPr>
        <w:t>The Cost of Supply M</w:t>
      </w:r>
      <w:r w:rsidR="004D2F3A" w:rsidRPr="004360BF">
        <w:rPr>
          <w:lang w:val="en-AU"/>
        </w:rPr>
        <w:t xml:space="preserve">odel also calculates the stand-alone and avoidable costs for </w:t>
      </w:r>
      <w:r w:rsidR="00263D11" w:rsidRPr="004360BF">
        <w:rPr>
          <w:lang w:val="en-AU"/>
        </w:rPr>
        <w:t>tariff classes</w:t>
      </w:r>
      <w:r w:rsidR="004D2F3A" w:rsidRPr="004360BF">
        <w:rPr>
          <w:lang w:val="en-AU"/>
        </w:rPr>
        <w:t>, as required by clause 6.18.5(a) of the Rules. The stand-alone and avoida</w:t>
      </w:r>
      <w:r w:rsidRPr="004360BF">
        <w:rPr>
          <w:lang w:val="en-AU"/>
        </w:rPr>
        <w:t>ble costs are derived from the C</w:t>
      </w:r>
      <w:r w:rsidR="004D2F3A" w:rsidRPr="004360BF">
        <w:rPr>
          <w:lang w:val="en-AU"/>
        </w:rPr>
        <w:t xml:space="preserve">ost of </w:t>
      </w:r>
      <w:r w:rsidRPr="004360BF">
        <w:rPr>
          <w:lang w:val="en-AU"/>
        </w:rPr>
        <w:t>S</w:t>
      </w:r>
      <w:r w:rsidR="004D2F3A" w:rsidRPr="004360BF">
        <w:rPr>
          <w:lang w:val="en-AU"/>
        </w:rPr>
        <w:t xml:space="preserve">upply </w:t>
      </w:r>
      <w:r w:rsidRPr="004360BF">
        <w:rPr>
          <w:lang w:val="en-AU"/>
        </w:rPr>
        <w:t>M</w:t>
      </w:r>
      <w:r w:rsidR="004D2F3A" w:rsidRPr="004360BF">
        <w:rPr>
          <w:lang w:val="en-AU"/>
        </w:rPr>
        <w:t>odel.</w:t>
      </w:r>
      <w:r w:rsidR="00CC6CF8" w:rsidRPr="004360BF">
        <w:rPr>
          <w:lang w:val="en-AU"/>
        </w:rPr>
        <w:t xml:space="preserve"> </w:t>
      </w:r>
      <w:r w:rsidR="004D2F3A" w:rsidRPr="004360BF">
        <w:rPr>
          <w:lang w:val="en-AU"/>
        </w:rPr>
        <w:t xml:space="preserve">To do this, a hypothetical network is effectively developed for each </w:t>
      </w:r>
      <w:r w:rsidR="00263D11" w:rsidRPr="004360BF">
        <w:rPr>
          <w:lang w:val="en-AU"/>
        </w:rPr>
        <w:t>tariff class</w:t>
      </w:r>
      <w:r w:rsidR="004D2F3A" w:rsidRPr="004360BF">
        <w:rPr>
          <w:lang w:val="en-AU"/>
        </w:rPr>
        <w:t>, by answering two hypothetical questions.</w:t>
      </w:r>
    </w:p>
    <w:p w14:paraId="714AFAB4" w14:textId="77777777" w:rsidR="00983E11" w:rsidRPr="004360BF" w:rsidRDefault="00983E11" w:rsidP="00EE7AA1">
      <w:pPr>
        <w:pStyle w:val="Heading3"/>
        <w:numPr>
          <w:ilvl w:val="0"/>
          <w:numId w:val="0"/>
        </w:numPr>
      </w:pPr>
      <w:bookmarkStart w:id="519" w:name="_Ref240611214"/>
      <w:bookmarkStart w:id="520" w:name="_Toc417291792"/>
      <w:bookmarkStart w:id="521" w:name="_Toc417292560"/>
      <w:bookmarkStart w:id="522" w:name="_Toc291262278"/>
      <w:bookmarkStart w:id="523" w:name="_Ref240611211"/>
      <w:r w:rsidRPr="004360BF">
        <w:lastRenderedPageBreak/>
        <w:t>A</w:t>
      </w:r>
      <w:r w:rsidR="00A14042" w:rsidRPr="004360BF">
        <w:t>2</w:t>
      </w:r>
      <w:r w:rsidRPr="004360BF">
        <w:t>.4</w:t>
      </w:r>
      <w:r w:rsidRPr="004360BF">
        <w:tab/>
        <w:t>Avoidable cost</w:t>
      </w:r>
      <w:bookmarkEnd w:id="519"/>
      <w:bookmarkEnd w:id="520"/>
      <w:bookmarkEnd w:id="521"/>
      <w:bookmarkEnd w:id="522"/>
    </w:p>
    <w:p w14:paraId="6480BE41" w14:textId="77777777" w:rsidR="00983E11" w:rsidRPr="004360BF" w:rsidRDefault="00983E11" w:rsidP="00603EFF">
      <w:pPr>
        <w:pStyle w:val="Dottop"/>
        <w:rPr>
          <w:lang w:val="en-AU"/>
        </w:rPr>
      </w:pPr>
      <w:r w:rsidRPr="004360BF">
        <w:rPr>
          <w:lang w:val="en-AU"/>
        </w:rPr>
        <w:t>This is formulated by responding to this hypothetical question:</w:t>
      </w:r>
    </w:p>
    <w:p w14:paraId="3A0FAEFC" w14:textId="77777777" w:rsidR="00B3127B" w:rsidRPr="004360BF" w:rsidRDefault="00983E11" w:rsidP="00983E11">
      <w:pPr>
        <w:ind w:left="720"/>
        <w:rPr>
          <w:lang w:val="en-AU"/>
        </w:rPr>
      </w:pPr>
      <w:r w:rsidRPr="004360BF">
        <w:rPr>
          <w:lang w:val="en-AU"/>
        </w:rPr>
        <w:t xml:space="preserve"> “</w:t>
      </w:r>
      <w:r w:rsidR="003061BC" w:rsidRPr="004360BF">
        <w:rPr>
          <w:lang w:val="en-AU"/>
        </w:rPr>
        <w:t>If XX tariff class were not supplied from the network, what percentage reduction in the value of existing assets employed in category YY could be made but still enable the same standard of network service to be provided to all remaining tariff classes</w:t>
      </w:r>
      <w:r w:rsidRPr="004360BF">
        <w:rPr>
          <w:lang w:val="en-AU"/>
        </w:rPr>
        <w:t>?”</w:t>
      </w:r>
    </w:p>
    <w:p w14:paraId="06B8DE8E" w14:textId="5DD54098" w:rsidR="00983E11" w:rsidRPr="004360BF" w:rsidRDefault="00983E11" w:rsidP="00603EFF">
      <w:pPr>
        <w:keepNext/>
        <w:rPr>
          <w:lang w:val="en-AU"/>
        </w:rPr>
      </w:pPr>
      <w:r w:rsidRPr="004360BF">
        <w:rPr>
          <w:lang w:val="en-AU"/>
        </w:rPr>
        <w:t xml:space="preserve">The outcome of this network optimisation is shown in </w:t>
      </w:r>
      <w:r w:rsidR="00CC1083" w:rsidRPr="004360BF">
        <w:rPr>
          <w:lang w:val="en-AU"/>
        </w:rPr>
        <w:fldChar w:fldCharType="begin"/>
      </w:r>
      <w:r w:rsidR="00CC1083" w:rsidRPr="004360BF">
        <w:rPr>
          <w:lang w:val="en-AU"/>
        </w:rPr>
        <w:instrText xml:space="preserve"> REF _Ref235188189 \h </w:instrText>
      </w:r>
      <w:r w:rsidR="00CC1083" w:rsidRPr="004360BF">
        <w:rPr>
          <w:lang w:val="en-AU"/>
        </w:rPr>
      </w:r>
      <w:r w:rsidR="00CC1083" w:rsidRPr="004360BF">
        <w:rPr>
          <w:lang w:val="en-AU"/>
        </w:rPr>
        <w:fldChar w:fldCharType="separate"/>
      </w:r>
      <w:r w:rsidR="008D3215" w:rsidRPr="004360BF">
        <w:rPr>
          <w:lang w:val="en-AU"/>
        </w:rPr>
        <w:t xml:space="preserve">Table </w:t>
      </w:r>
      <w:r w:rsidR="008D3215">
        <w:rPr>
          <w:noProof/>
          <w:lang w:val="en-AU"/>
        </w:rPr>
        <w:t>23</w:t>
      </w:r>
      <w:r w:rsidR="00CC1083" w:rsidRPr="004360BF">
        <w:rPr>
          <w:lang w:val="en-AU"/>
        </w:rPr>
        <w:fldChar w:fldCharType="end"/>
      </w:r>
      <w:r w:rsidRPr="004360BF">
        <w:rPr>
          <w:lang w:val="en-AU"/>
        </w:rPr>
        <w:t xml:space="preserve">, with similar consideration of the planning and capacity implications for the network as in </w:t>
      </w:r>
      <w:r w:rsidR="00EE7AA1" w:rsidRPr="004360BF">
        <w:rPr>
          <w:lang w:val="en-AU"/>
        </w:rPr>
        <w:fldChar w:fldCharType="begin"/>
      </w:r>
      <w:r w:rsidR="00EE7AA1" w:rsidRPr="004360BF">
        <w:rPr>
          <w:lang w:val="en-AU"/>
        </w:rPr>
        <w:instrText xml:space="preserve"> REF _Ref235188128 \h </w:instrText>
      </w:r>
      <w:r w:rsidR="00EE7AA1" w:rsidRPr="004360BF">
        <w:rPr>
          <w:lang w:val="en-AU"/>
        </w:rPr>
      </w:r>
      <w:r w:rsidR="00EE7AA1" w:rsidRPr="004360BF">
        <w:rPr>
          <w:lang w:val="en-AU"/>
        </w:rPr>
        <w:fldChar w:fldCharType="separate"/>
      </w:r>
      <w:r w:rsidR="008D3215" w:rsidRPr="004360BF">
        <w:rPr>
          <w:lang w:val="en-AU"/>
        </w:rPr>
        <w:t xml:space="preserve">Table </w:t>
      </w:r>
      <w:r w:rsidR="008D3215">
        <w:rPr>
          <w:noProof/>
          <w:lang w:val="en-AU"/>
        </w:rPr>
        <w:t>24</w:t>
      </w:r>
      <w:r w:rsidR="00EE7AA1" w:rsidRPr="004360BF">
        <w:rPr>
          <w:lang w:val="en-AU"/>
        </w:rPr>
        <w:fldChar w:fldCharType="end"/>
      </w:r>
      <w:r w:rsidRPr="004360BF">
        <w:rPr>
          <w:lang w:val="en-AU"/>
        </w:rPr>
        <w:t>.</w:t>
      </w:r>
    </w:p>
    <w:p w14:paraId="7D3E9B5D" w14:textId="77777777" w:rsidR="00983E11" w:rsidRPr="004360BF" w:rsidRDefault="00983E11" w:rsidP="00983E11">
      <w:pPr>
        <w:pStyle w:val="Caption"/>
        <w:rPr>
          <w:lang w:val="en-AU"/>
        </w:rPr>
      </w:pPr>
      <w:bookmarkStart w:id="524" w:name="_Ref235188189"/>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23</w:t>
      </w:r>
      <w:r w:rsidR="00517DD9" w:rsidRPr="004360BF">
        <w:rPr>
          <w:lang w:val="en-AU"/>
        </w:rPr>
        <w:fldChar w:fldCharType="end"/>
      </w:r>
      <w:bookmarkEnd w:id="524"/>
      <w:r w:rsidRPr="004360BF">
        <w:rPr>
          <w:lang w:val="en-AU"/>
        </w:rPr>
        <w:t xml:space="preserve"> – Stand-alone network costs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5"/>
        <w:gridCol w:w="1906"/>
        <w:gridCol w:w="1579"/>
        <w:gridCol w:w="1567"/>
      </w:tblGrid>
      <w:tr w:rsidR="003061BC" w:rsidRPr="004360BF" w14:paraId="5FBB9455" w14:textId="77777777" w:rsidTr="00F106D9">
        <w:tc>
          <w:tcPr>
            <w:tcW w:w="0" w:type="auto"/>
            <w:tcBorders>
              <w:top w:val="single" w:sz="4" w:space="0" w:color="auto"/>
              <w:left w:val="single" w:sz="4" w:space="0" w:color="auto"/>
              <w:bottom w:val="nil"/>
              <w:right w:val="single" w:sz="4" w:space="0" w:color="auto"/>
            </w:tcBorders>
            <w:shd w:val="solid" w:color="C6D9F1" w:fill="auto"/>
            <w:vAlign w:val="bottom"/>
          </w:tcPr>
          <w:p w14:paraId="65DB3E50" w14:textId="77777777" w:rsidR="00983E11" w:rsidRPr="004360BF" w:rsidRDefault="00983E11" w:rsidP="00F106D9">
            <w:pPr>
              <w:keepNext/>
              <w:spacing w:before="40" w:after="40"/>
              <w:rPr>
                <w:rFonts w:eastAsia="Times New Roman" w:cs="Tahoma"/>
                <w:sz w:val="22"/>
                <w:szCs w:val="22"/>
                <w:lang w:val="en-AU"/>
              </w:rPr>
            </w:pPr>
            <w:r w:rsidRPr="004360BF">
              <w:rPr>
                <w:rFonts w:eastAsia="Times New Roman" w:cs="Tahoma"/>
                <w:b/>
                <w:bCs/>
                <w:sz w:val="22"/>
                <w:szCs w:val="22"/>
                <w:lang w:val="en-AU"/>
              </w:rPr>
              <w:t>Network level</w:t>
            </w:r>
          </w:p>
        </w:tc>
        <w:tc>
          <w:tcPr>
            <w:tcW w:w="0" w:type="auto"/>
            <w:tcBorders>
              <w:top w:val="single" w:sz="4" w:space="0" w:color="auto"/>
              <w:left w:val="single" w:sz="4" w:space="0" w:color="auto"/>
              <w:bottom w:val="nil"/>
              <w:right w:val="nil"/>
            </w:tcBorders>
            <w:shd w:val="solid" w:color="C6D9F1" w:fill="auto"/>
          </w:tcPr>
          <w:p w14:paraId="26F262E6" w14:textId="77777777" w:rsidR="00983E11" w:rsidRPr="004360BF" w:rsidRDefault="00983E11" w:rsidP="00F106D9">
            <w:pPr>
              <w:keepNext/>
              <w:spacing w:before="40" w:after="40"/>
              <w:jc w:val="center"/>
              <w:rPr>
                <w:sz w:val="22"/>
                <w:szCs w:val="22"/>
                <w:lang w:val="en-AU"/>
              </w:rPr>
            </w:pPr>
          </w:p>
        </w:tc>
        <w:tc>
          <w:tcPr>
            <w:tcW w:w="0" w:type="auto"/>
            <w:tcBorders>
              <w:top w:val="single" w:sz="4" w:space="0" w:color="auto"/>
              <w:left w:val="nil"/>
              <w:bottom w:val="nil"/>
              <w:right w:val="nil"/>
            </w:tcBorders>
            <w:shd w:val="solid" w:color="C6D9F1" w:fill="auto"/>
          </w:tcPr>
          <w:p w14:paraId="3BC8D13F" w14:textId="77777777" w:rsidR="00983E11" w:rsidRPr="004360BF" w:rsidRDefault="00263D11" w:rsidP="00F106D9">
            <w:pPr>
              <w:keepNext/>
              <w:spacing w:before="40" w:after="40"/>
              <w:jc w:val="center"/>
              <w:rPr>
                <w:b/>
                <w:sz w:val="22"/>
                <w:szCs w:val="22"/>
                <w:lang w:val="en-AU"/>
              </w:rPr>
            </w:pPr>
            <w:r w:rsidRPr="004360BF">
              <w:rPr>
                <w:b/>
                <w:bCs/>
                <w:sz w:val="22"/>
                <w:szCs w:val="22"/>
                <w:lang w:val="en-AU"/>
              </w:rPr>
              <w:t>Tariff class</w:t>
            </w:r>
          </w:p>
        </w:tc>
        <w:tc>
          <w:tcPr>
            <w:tcW w:w="0" w:type="auto"/>
            <w:tcBorders>
              <w:top w:val="single" w:sz="4" w:space="0" w:color="auto"/>
              <w:left w:val="nil"/>
              <w:bottom w:val="nil"/>
              <w:right w:val="single" w:sz="4" w:space="0" w:color="auto"/>
            </w:tcBorders>
            <w:shd w:val="solid" w:color="C6D9F1" w:fill="auto"/>
          </w:tcPr>
          <w:p w14:paraId="22102080" w14:textId="77777777" w:rsidR="00983E11" w:rsidRPr="004360BF" w:rsidRDefault="00983E11" w:rsidP="00F106D9">
            <w:pPr>
              <w:keepNext/>
              <w:spacing w:before="40" w:after="40"/>
              <w:jc w:val="center"/>
              <w:rPr>
                <w:sz w:val="22"/>
                <w:szCs w:val="22"/>
                <w:lang w:val="en-AU"/>
              </w:rPr>
            </w:pPr>
          </w:p>
        </w:tc>
      </w:tr>
      <w:tr w:rsidR="003061BC" w:rsidRPr="004360BF" w14:paraId="4D30E987" w14:textId="77777777" w:rsidTr="00F106D9">
        <w:tc>
          <w:tcPr>
            <w:tcW w:w="0" w:type="auto"/>
            <w:tcBorders>
              <w:top w:val="nil"/>
              <w:left w:val="single" w:sz="4" w:space="0" w:color="auto"/>
              <w:bottom w:val="single" w:sz="4" w:space="0" w:color="auto"/>
              <w:right w:val="single" w:sz="4" w:space="0" w:color="auto"/>
            </w:tcBorders>
            <w:shd w:val="solid" w:color="C6D9F1" w:fill="auto"/>
            <w:vAlign w:val="bottom"/>
          </w:tcPr>
          <w:p w14:paraId="3A3665CF" w14:textId="77777777" w:rsidR="00983E11" w:rsidRPr="004360BF" w:rsidRDefault="00983E11" w:rsidP="00F106D9">
            <w:pPr>
              <w:keepNext/>
              <w:spacing w:before="40" w:after="40"/>
              <w:rPr>
                <w:rFonts w:eastAsia="Times New Roman" w:cs="Tahoma"/>
                <w:sz w:val="22"/>
                <w:szCs w:val="22"/>
                <w:lang w:val="en-AU"/>
              </w:rPr>
            </w:pPr>
          </w:p>
        </w:tc>
        <w:tc>
          <w:tcPr>
            <w:tcW w:w="0" w:type="auto"/>
            <w:tcBorders>
              <w:top w:val="nil"/>
              <w:left w:val="single" w:sz="4" w:space="0" w:color="auto"/>
              <w:bottom w:val="single" w:sz="4" w:space="0" w:color="auto"/>
              <w:right w:val="single" w:sz="4" w:space="0" w:color="auto"/>
            </w:tcBorders>
            <w:shd w:val="solid" w:color="C6D9F1" w:fill="auto"/>
            <w:vAlign w:val="center"/>
          </w:tcPr>
          <w:p w14:paraId="53EC8360" w14:textId="77777777" w:rsidR="00983E11" w:rsidRPr="004360BF" w:rsidRDefault="00983E11" w:rsidP="00F106D9">
            <w:pPr>
              <w:keepNext/>
              <w:spacing w:before="40" w:after="40"/>
              <w:jc w:val="center"/>
              <w:rPr>
                <w:sz w:val="22"/>
                <w:szCs w:val="22"/>
                <w:lang w:val="en-AU"/>
              </w:rPr>
            </w:pPr>
            <w:r w:rsidRPr="004360BF">
              <w:rPr>
                <w:rFonts w:eastAsia="Times New Roman" w:cs="Tahoma"/>
                <w:b/>
                <w:bCs/>
                <w:sz w:val="22"/>
                <w:szCs w:val="22"/>
                <w:lang w:val="en-AU"/>
              </w:rPr>
              <w:t>Commercial HV</w:t>
            </w:r>
          </w:p>
        </w:tc>
        <w:tc>
          <w:tcPr>
            <w:tcW w:w="0" w:type="auto"/>
            <w:tcBorders>
              <w:top w:val="nil"/>
              <w:left w:val="single" w:sz="4" w:space="0" w:color="auto"/>
              <w:bottom w:val="single" w:sz="4" w:space="0" w:color="auto"/>
              <w:right w:val="single" w:sz="4" w:space="0" w:color="auto"/>
            </w:tcBorders>
            <w:shd w:val="solid" w:color="C6D9F1" w:fill="auto"/>
            <w:vAlign w:val="center"/>
          </w:tcPr>
          <w:p w14:paraId="3378D729" w14:textId="77777777" w:rsidR="00983E11" w:rsidRPr="004360BF" w:rsidRDefault="00983E11" w:rsidP="00F106D9">
            <w:pPr>
              <w:keepNext/>
              <w:spacing w:before="40" w:after="40"/>
              <w:jc w:val="center"/>
              <w:rPr>
                <w:sz w:val="22"/>
                <w:szCs w:val="22"/>
                <w:lang w:val="en-AU"/>
              </w:rPr>
            </w:pPr>
            <w:r w:rsidRPr="004360BF">
              <w:rPr>
                <w:rFonts w:eastAsia="Times New Roman" w:cs="Tahoma"/>
                <w:b/>
                <w:bCs/>
                <w:sz w:val="22"/>
                <w:szCs w:val="22"/>
                <w:lang w:val="en-AU"/>
              </w:rPr>
              <w:t>Commercial</w:t>
            </w:r>
          </w:p>
        </w:tc>
        <w:tc>
          <w:tcPr>
            <w:tcW w:w="0" w:type="auto"/>
            <w:tcBorders>
              <w:top w:val="nil"/>
              <w:left w:val="single" w:sz="4" w:space="0" w:color="auto"/>
              <w:bottom w:val="single" w:sz="4" w:space="0" w:color="auto"/>
              <w:right w:val="single" w:sz="4" w:space="0" w:color="auto"/>
            </w:tcBorders>
            <w:shd w:val="solid" w:color="C6D9F1" w:fill="auto"/>
            <w:vAlign w:val="center"/>
          </w:tcPr>
          <w:p w14:paraId="3DE31F34" w14:textId="77777777" w:rsidR="00983E11" w:rsidRPr="004360BF" w:rsidRDefault="00983E11" w:rsidP="00F106D9">
            <w:pPr>
              <w:keepNext/>
              <w:spacing w:before="40" w:after="40"/>
              <w:jc w:val="center"/>
              <w:rPr>
                <w:sz w:val="22"/>
                <w:szCs w:val="22"/>
                <w:lang w:val="en-AU"/>
              </w:rPr>
            </w:pPr>
            <w:r w:rsidRPr="004360BF">
              <w:rPr>
                <w:rFonts w:eastAsia="Times New Roman" w:cs="Tahoma"/>
                <w:b/>
                <w:bCs/>
                <w:sz w:val="22"/>
                <w:szCs w:val="22"/>
                <w:lang w:val="en-AU"/>
              </w:rPr>
              <w:t>Domestic</w:t>
            </w:r>
          </w:p>
        </w:tc>
      </w:tr>
      <w:tr w:rsidR="003061BC" w:rsidRPr="004360BF" w14:paraId="038016E2"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687BBF80"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Transmission</w:t>
            </w:r>
          </w:p>
        </w:tc>
        <w:tc>
          <w:tcPr>
            <w:tcW w:w="0" w:type="auto"/>
            <w:tcBorders>
              <w:top w:val="single" w:sz="4" w:space="0" w:color="auto"/>
              <w:left w:val="single" w:sz="4" w:space="0" w:color="auto"/>
              <w:bottom w:val="single" w:sz="4" w:space="0" w:color="auto"/>
              <w:right w:val="single" w:sz="4" w:space="0" w:color="auto"/>
            </w:tcBorders>
            <w:vAlign w:val="bottom"/>
          </w:tcPr>
          <w:p w14:paraId="6E6E7B12" w14:textId="77777777" w:rsidR="00983E11" w:rsidRPr="004360BF" w:rsidRDefault="00983E11" w:rsidP="00F106D9">
            <w:pPr>
              <w:keepNext/>
              <w:tabs>
                <w:tab w:val="decimal" w:pos="1115"/>
              </w:tabs>
              <w:spacing w:before="40" w:after="40"/>
              <w:rPr>
                <w:rFonts w:eastAsia="Times New Roman" w:cs="Tahoma"/>
                <w:sz w:val="22"/>
                <w:szCs w:val="22"/>
                <w:lang w:val="en-AU"/>
              </w:rPr>
            </w:pPr>
            <w:r w:rsidRPr="004360BF">
              <w:rPr>
                <w:rFonts w:eastAsia="Times New Roman" w:cs="Tahoma"/>
                <w:sz w:val="22"/>
                <w:szCs w:val="22"/>
                <w:lang w:val="en-AU"/>
              </w:rPr>
              <w:t>-5.0%</w:t>
            </w:r>
          </w:p>
        </w:tc>
        <w:tc>
          <w:tcPr>
            <w:tcW w:w="0" w:type="auto"/>
            <w:tcBorders>
              <w:top w:val="single" w:sz="4" w:space="0" w:color="auto"/>
              <w:left w:val="single" w:sz="4" w:space="0" w:color="auto"/>
              <w:bottom w:val="single" w:sz="4" w:space="0" w:color="auto"/>
              <w:right w:val="single" w:sz="4" w:space="0" w:color="auto"/>
            </w:tcBorders>
            <w:vAlign w:val="bottom"/>
          </w:tcPr>
          <w:p w14:paraId="1F745F1F" w14:textId="77777777" w:rsidR="00983E11" w:rsidRPr="004360BF" w:rsidRDefault="00983E11" w:rsidP="00F106D9">
            <w:pPr>
              <w:keepNext/>
              <w:tabs>
                <w:tab w:val="decimal" w:pos="961"/>
              </w:tabs>
              <w:spacing w:before="40" w:after="40"/>
              <w:rPr>
                <w:rFonts w:eastAsia="Times New Roman" w:cs="Tahoma"/>
                <w:sz w:val="22"/>
                <w:szCs w:val="22"/>
                <w:lang w:val="en-AU"/>
              </w:rPr>
            </w:pPr>
            <w:r w:rsidRPr="004360BF">
              <w:rPr>
                <w:rFonts w:eastAsia="Times New Roman" w:cs="Tahoma"/>
                <w:sz w:val="22"/>
                <w:szCs w:val="22"/>
                <w:lang w:val="en-AU"/>
              </w:rPr>
              <w:t>-3.0%</w:t>
            </w:r>
          </w:p>
        </w:tc>
        <w:tc>
          <w:tcPr>
            <w:tcW w:w="0" w:type="auto"/>
            <w:tcBorders>
              <w:top w:val="single" w:sz="4" w:space="0" w:color="auto"/>
              <w:left w:val="single" w:sz="4" w:space="0" w:color="auto"/>
              <w:bottom w:val="single" w:sz="4" w:space="0" w:color="auto"/>
              <w:right w:val="single" w:sz="4" w:space="0" w:color="auto"/>
            </w:tcBorders>
            <w:vAlign w:val="bottom"/>
          </w:tcPr>
          <w:p w14:paraId="4E71EC39" w14:textId="77777777" w:rsidR="00983E11" w:rsidRPr="004360BF" w:rsidRDefault="00983E11" w:rsidP="00F106D9">
            <w:pPr>
              <w:keepNext/>
              <w:tabs>
                <w:tab w:val="decimal" w:pos="949"/>
              </w:tabs>
              <w:spacing w:before="40" w:after="40"/>
              <w:rPr>
                <w:rFonts w:eastAsia="Times New Roman" w:cs="Tahoma"/>
                <w:sz w:val="22"/>
                <w:szCs w:val="22"/>
                <w:lang w:val="en-AU"/>
              </w:rPr>
            </w:pPr>
            <w:r w:rsidRPr="004360BF">
              <w:rPr>
                <w:rFonts w:eastAsia="Times New Roman" w:cs="Tahoma"/>
                <w:sz w:val="22"/>
                <w:szCs w:val="22"/>
                <w:lang w:val="en-AU"/>
              </w:rPr>
              <w:t>-5.0%</w:t>
            </w:r>
          </w:p>
        </w:tc>
      </w:tr>
      <w:tr w:rsidR="003061BC" w:rsidRPr="004360BF" w14:paraId="62812FAE"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63FA9D36"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Zone substations</w:t>
            </w:r>
          </w:p>
        </w:tc>
        <w:tc>
          <w:tcPr>
            <w:tcW w:w="0" w:type="auto"/>
            <w:tcBorders>
              <w:top w:val="single" w:sz="4" w:space="0" w:color="auto"/>
              <w:left w:val="single" w:sz="4" w:space="0" w:color="auto"/>
              <w:bottom w:val="single" w:sz="4" w:space="0" w:color="auto"/>
              <w:right w:val="single" w:sz="4" w:space="0" w:color="auto"/>
            </w:tcBorders>
            <w:vAlign w:val="bottom"/>
          </w:tcPr>
          <w:p w14:paraId="206E1AE7" w14:textId="77777777" w:rsidR="00983E11" w:rsidRPr="004360BF" w:rsidRDefault="00983E11" w:rsidP="00F106D9">
            <w:pPr>
              <w:keepNext/>
              <w:tabs>
                <w:tab w:val="decimal" w:pos="1115"/>
              </w:tabs>
              <w:spacing w:before="40" w:after="40"/>
              <w:rPr>
                <w:rFonts w:eastAsia="Times New Roman" w:cs="Tahoma"/>
                <w:sz w:val="22"/>
                <w:szCs w:val="22"/>
                <w:lang w:val="en-AU"/>
              </w:rPr>
            </w:pPr>
            <w:r w:rsidRPr="004360BF">
              <w:rPr>
                <w:rFonts w:eastAsia="Times New Roman" w:cs="Tahoma"/>
                <w:sz w:val="22"/>
                <w:szCs w:val="22"/>
                <w:lang w:val="en-AU"/>
              </w:rPr>
              <w:t>-5.0%</w:t>
            </w:r>
          </w:p>
        </w:tc>
        <w:tc>
          <w:tcPr>
            <w:tcW w:w="0" w:type="auto"/>
            <w:tcBorders>
              <w:top w:val="single" w:sz="4" w:space="0" w:color="auto"/>
              <w:left w:val="single" w:sz="4" w:space="0" w:color="auto"/>
              <w:bottom w:val="single" w:sz="4" w:space="0" w:color="auto"/>
              <w:right w:val="single" w:sz="4" w:space="0" w:color="auto"/>
            </w:tcBorders>
            <w:vAlign w:val="bottom"/>
          </w:tcPr>
          <w:p w14:paraId="3B0AD42E" w14:textId="77777777" w:rsidR="00983E11" w:rsidRPr="004360BF" w:rsidRDefault="00983E11" w:rsidP="00F106D9">
            <w:pPr>
              <w:keepNext/>
              <w:tabs>
                <w:tab w:val="decimal" w:pos="961"/>
              </w:tabs>
              <w:spacing w:before="40" w:after="40"/>
              <w:rPr>
                <w:rFonts w:eastAsia="Times New Roman" w:cs="Tahoma"/>
                <w:sz w:val="22"/>
                <w:szCs w:val="22"/>
                <w:lang w:val="en-AU"/>
              </w:rPr>
            </w:pPr>
            <w:r w:rsidRPr="004360BF">
              <w:rPr>
                <w:rFonts w:eastAsia="Times New Roman" w:cs="Tahoma"/>
                <w:sz w:val="22"/>
                <w:szCs w:val="22"/>
                <w:lang w:val="en-AU"/>
              </w:rPr>
              <w:t>-</w:t>
            </w:r>
            <w:r w:rsidR="00B3127B" w:rsidRPr="004360BF">
              <w:rPr>
                <w:rFonts w:eastAsia="Times New Roman" w:cs="Tahoma"/>
                <w:sz w:val="22"/>
                <w:szCs w:val="22"/>
                <w:lang w:val="en-AU"/>
              </w:rPr>
              <w:t>5</w:t>
            </w:r>
            <w:r w:rsidRPr="004360BF">
              <w:rPr>
                <w:rFonts w:eastAsia="Times New Roman" w:cs="Tahoma"/>
                <w:sz w:val="22"/>
                <w:szCs w:val="22"/>
                <w:lang w:val="en-AU"/>
              </w:rPr>
              <w:t>.0%</w:t>
            </w:r>
          </w:p>
        </w:tc>
        <w:tc>
          <w:tcPr>
            <w:tcW w:w="0" w:type="auto"/>
            <w:tcBorders>
              <w:top w:val="single" w:sz="4" w:space="0" w:color="auto"/>
              <w:left w:val="single" w:sz="4" w:space="0" w:color="auto"/>
              <w:bottom w:val="single" w:sz="4" w:space="0" w:color="auto"/>
              <w:right w:val="single" w:sz="4" w:space="0" w:color="auto"/>
            </w:tcBorders>
            <w:vAlign w:val="bottom"/>
          </w:tcPr>
          <w:p w14:paraId="297AAE65" w14:textId="77777777" w:rsidR="00983E11" w:rsidRPr="004360BF" w:rsidRDefault="00983E11" w:rsidP="00F106D9">
            <w:pPr>
              <w:keepNext/>
              <w:tabs>
                <w:tab w:val="decimal" w:pos="949"/>
              </w:tabs>
              <w:spacing w:before="40" w:after="40"/>
              <w:rPr>
                <w:rFonts w:eastAsia="Times New Roman" w:cs="Tahoma"/>
                <w:sz w:val="22"/>
                <w:szCs w:val="22"/>
                <w:lang w:val="en-AU"/>
              </w:rPr>
            </w:pPr>
            <w:r w:rsidRPr="004360BF">
              <w:rPr>
                <w:rFonts w:eastAsia="Times New Roman" w:cs="Tahoma"/>
                <w:sz w:val="22"/>
                <w:szCs w:val="22"/>
                <w:lang w:val="en-AU"/>
              </w:rPr>
              <w:t>-5.0%</w:t>
            </w:r>
          </w:p>
        </w:tc>
      </w:tr>
      <w:tr w:rsidR="003061BC" w:rsidRPr="004360BF" w14:paraId="1155AE78"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110F21FF"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HV network</w:t>
            </w:r>
          </w:p>
        </w:tc>
        <w:tc>
          <w:tcPr>
            <w:tcW w:w="0" w:type="auto"/>
            <w:tcBorders>
              <w:top w:val="single" w:sz="4" w:space="0" w:color="auto"/>
              <w:left w:val="single" w:sz="4" w:space="0" w:color="auto"/>
              <w:bottom w:val="single" w:sz="4" w:space="0" w:color="auto"/>
              <w:right w:val="single" w:sz="4" w:space="0" w:color="auto"/>
            </w:tcBorders>
            <w:vAlign w:val="bottom"/>
          </w:tcPr>
          <w:p w14:paraId="0C97E9D0" w14:textId="77777777" w:rsidR="00983E11" w:rsidRPr="004360BF" w:rsidRDefault="00983E11" w:rsidP="00F106D9">
            <w:pPr>
              <w:keepNext/>
              <w:tabs>
                <w:tab w:val="decimal" w:pos="1115"/>
              </w:tabs>
              <w:spacing w:before="40" w:after="40"/>
              <w:rPr>
                <w:rFonts w:eastAsia="Times New Roman" w:cs="Tahoma"/>
                <w:sz w:val="22"/>
                <w:szCs w:val="22"/>
                <w:lang w:val="en-AU"/>
              </w:rPr>
            </w:pPr>
            <w:r w:rsidRPr="004360BF">
              <w:rPr>
                <w:rFonts w:eastAsia="Times New Roman" w:cs="Tahoma"/>
                <w:sz w:val="22"/>
                <w:szCs w:val="22"/>
                <w:lang w:val="en-AU"/>
              </w:rPr>
              <w:t>-5.0%</w:t>
            </w:r>
          </w:p>
        </w:tc>
        <w:tc>
          <w:tcPr>
            <w:tcW w:w="0" w:type="auto"/>
            <w:tcBorders>
              <w:top w:val="single" w:sz="4" w:space="0" w:color="auto"/>
              <w:left w:val="single" w:sz="4" w:space="0" w:color="auto"/>
              <w:bottom w:val="single" w:sz="4" w:space="0" w:color="auto"/>
              <w:right w:val="single" w:sz="4" w:space="0" w:color="auto"/>
            </w:tcBorders>
            <w:vAlign w:val="bottom"/>
          </w:tcPr>
          <w:p w14:paraId="3AF1908D" w14:textId="77777777" w:rsidR="00983E11" w:rsidRPr="004360BF" w:rsidRDefault="00983E11" w:rsidP="00F106D9">
            <w:pPr>
              <w:keepNext/>
              <w:tabs>
                <w:tab w:val="decimal" w:pos="961"/>
              </w:tabs>
              <w:spacing w:before="40" w:after="40"/>
              <w:rPr>
                <w:rFonts w:eastAsia="Times New Roman" w:cs="Tahoma"/>
                <w:sz w:val="22"/>
                <w:szCs w:val="22"/>
                <w:lang w:val="en-AU"/>
              </w:rPr>
            </w:pPr>
            <w:r w:rsidRPr="004360BF">
              <w:rPr>
                <w:rFonts w:eastAsia="Times New Roman" w:cs="Tahoma"/>
                <w:sz w:val="22"/>
                <w:szCs w:val="22"/>
                <w:lang w:val="en-AU"/>
              </w:rPr>
              <w:t>-10.0%</w:t>
            </w:r>
          </w:p>
        </w:tc>
        <w:tc>
          <w:tcPr>
            <w:tcW w:w="0" w:type="auto"/>
            <w:tcBorders>
              <w:top w:val="single" w:sz="4" w:space="0" w:color="auto"/>
              <w:left w:val="single" w:sz="4" w:space="0" w:color="auto"/>
              <w:bottom w:val="single" w:sz="4" w:space="0" w:color="auto"/>
              <w:right w:val="single" w:sz="4" w:space="0" w:color="auto"/>
            </w:tcBorders>
            <w:vAlign w:val="bottom"/>
          </w:tcPr>
          <w:p w14:paraId="60434FB5" w14:textId="77777777" w:rsidR="00983E11" w:rsidRPr="004360BF" w:rsidRDefault="00983E11" w:rsidP="0050740F">
            <w:pPr>
              <w:keepNext/>
              <w:tabs>
                <w:tab w:val="decimal" w:pos="949"/>
              </w:tabs>
              <w:spacing w:before="40" w:after="40"/>
              <w:rPr>
                <w:rFonts w:eastAsia="Times New Roman" w:cs="Tahoma"/>
                <w:sz w:val="22"/>
                <w:szCs w:val="22"/>
                <w:lang w:val="en-AU"/>
              </w:rPr>
            </w:pPr>
            <w:r w:rsidRPr="004360BF">
              <w:rPr>
                <w:rFonts w:eastAsia="Times New Roman" w:cs="Tahoma"/>
                <w:sz w:val="22"/>
                <w:szCs w:val="22"/>
                <w:lang w:val="en-AU"/>
              </w:rPr>
              <w:t>-</w:t>
            </w:r>
            <w:r w:rsidR="0050740F" w:rsidRPr="004360BF">
              <w:rPr>
                <w:rFonts w:eastAsia="Times New Roman" w:cs="Tahoma"/>
                <w:sz w:val="22"/>
                <w:szCs w:val="22"/>
                <w:lang w:val="en-AU"/>
              </w:rPr>
              <w:t>5</w:t>
            </w:r>
            <w:r w:rsidRPr="004360BF">
              <w:rPr>
                <w:rFonts w:eastAsia="Times New Roman" w:cs="Tahoma"/>
                <w:sz w:val="22"/>
                <w:szCs w:val="22"/>
                <w:lang w:val="en-AU"/>
              </w:rPr>
              <w:t>.0%</w:t>
            </w:r>
          </w:p>
        </w:tc>
      </w:tr>
      <w:tr w:rsidR="003061BC" w:rsidRPr="004360BF" w14:paraId="4DB8E662"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1F12F1A9"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Distribution substations</w:t>
            </w:r>
          </w:p>
        </w:tc>
        <w:tc>
          <w:tcPr>
            <w:tcW w:w="0" w:type="auto"/>
            <w:tcBorders>
              <w:top w:val="single" w:sz="4" w:space="0" w:color="auto"/>
              <w:left w:val="single" w:sz="4" w:space="0" w:color="auto"/>
              <w:bottom w:val="single" w:sz="4" w:space="0" w:color="auto"/>
              <w:right w:val="single" w:sz="4" w:space="0" w:color="auto"/>
            </w:tcBorders>
            <w:vAlign w:val="bottom"/>
          </w:tcPr>
          <w:p w14:paraId="34CD9F7C" w14:textId="77777777" w:rsidR="00983E11" w:rsidRPr="004360BF" w:rsidRDefault="00B3127B" w:rsidP="00F106D9">
            <w:pPr>
              <w:keepNext/>
              <w:tabs>
                <w:tab w:val="decimal" w:pos="1115"/>
              </w:tabs>
              <w:spacing w:before="40" w:after="40"/>
              <w:rPr>
                <w:rFonts w:eastAsia="Times New Roman" w:cs="Tahoma"/>
                <w:sz w:val="22"/>
                <w:szCs w:val="22"/>
                <w:lang w:val="en-AU"/>
              </w:rPr>
            </w:pPr>
            <w:r w:rsidRPr="004360BF">
              <w:rPr>
                <w:rFonts w:eastAsia="Times New Roman" w:cs="Tahoma"/>
                <w:sz w:val="22"/>
                <w:szCs w:val="22"/>
                <w:lang w:val="en-AU"/>
              </w:rPr>
              <w:t>0.0%</w:t>
            </w:r>
          </w:p>
        </w:tc>
        <w:tc>
          <w:tcPr>
            <w:tcW w:w="0" w:type="auto"/>
            <w:tcBorders>
              <w:top w:val="single" w:sz="4" w:space="0" w:color="auto"/>
              <w:left w:val="single" w:sz="4" w:space="0" w:color="auto"/>
              <w:bottom w:val="single" w:sz="4" w:space="0" w:color="auto"/>
              <w:right w:val="single" w:sz="4" w:space="0" w:color="auto"/>
            </w:tcBorders>
            <w:vAlign w:val="bottom"/>
          </w:tcPr>
          <w:p w14:paraId="4F6C2FA3" w14:textId="77777777" w:rsidR="00983E11" w:rsidRPr="004360BF" w:rsidRDefault="00983E11" w:rsidP="00F106D9">
            <w:pPr>
              <w:keepNext/>
              <w:tabs>
                <w:tab w:val="decimal" w:pos="961"/>
              </w:tabs>
              <w:spacing w:before="40" w:after="40"/>
              <w:rPr>
                <w:rFonts w:eastAsia="Times New Roman" w:cs="Tahoma"/>
                <w:sz w:val="22"/>
                <w:szCs w:val="22"/>
                <w:lang w:val="en-AU"/>
              </w:rPr>
            </w:pPr>
            <w:r w:rsidRPr="004360BF">
              <w:rPr>
                <w:rFonts w:eastAsia="Times New Roman" w:cs="Tahoma"/>
                <w:sz w:val="22"/>
                <w:szCs w:val="22"/>
                <w:lang w:val="en-AU"/>
              </w:rPr>
              <w:t>-10.0%</w:t>
            </w:r>
          </w:p>
        </w:tc>
        <w:tc>
          <w:tcPr>
            <w:tcW w:w="0" w:type="auto"/>
            <w:tcBorders>
              <w:top w:val="single" w:sz="4" w:space="0" w:color="auto"/>
              <w:left w:val="single" w:sz="4" w:space="0" w:color="auto"/>
              <w:bottom w:val="single" w:sz="4" w:space="0" w:color="auto"/>
              <w:right w:val="single" w:sz="4" w:space="0" w:color="auto"/>
            </w:tcBorders>
            <w:vAlign w:val="bottom"/>
          </w:tcPr>
          <w:p w14:paraId="046C6705" w14:textId="77777777" w:rsidR="00983E11" w:rsidRPr="004360BF" w:rsidRDefault="00983E11" w:rsidP="00F106D9">
            <w:pPr>
              <w:keepNext/>
              <w:tabs>
                <w:tab w:val="decimal" w:pos="949"/>
              </w:tabs>
              <w:spacing w:before="40" w:after="40"/>
              <w:rPr>
                <w:rFonts w:eastAsia="Times New Roman" w:cs="Tahoma"/>
                <w:sz w:val="22"/>
                <w:szCs w:val="22"/>
                <w:lang w:val="en-AU"/>
              </w:rPr>
            </w:pPr>
            <w:r w:rsidRPr="004360BF">
              <w:rPr>
                <w:rFonts w:eastAsia="Times New Roman" w:cs="Tahoma"/>
                <w:sz w:val="22"/>
                <w:szCs w:val="22"/>
                <w:lang w:val="en-AU"/>
              </w:rPr>
              <w:t>-30.0%</w:t>
            </w:r>
          </w:p>
        </w:tc>
      </w:tr>
      <w:tr w:rsidR="003061BC" w:rsidRPr="004360BF" w14:paraId="41DF0E56"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496B26F3"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LV network and services</w:t>
            </w:r>
          </w:p>
        </w:tc>
        <w:tc>
          <w:tcPr>
            <w:tcW w:w="0" w:type="auto"/>
            <w:tcBorders>
              <w:top w:val="single" w:sz="4" w:space="0" w:color="auto"/>
              <w:left w:val="single" w:sz="4" w:space="0" w:color="auto"/>
              <w:bottom w:val="single" w:sz="4" w:space="0" w:color="auto"/>
              <w:right w:val="single" w:sz="4" w:space="0" w:color="auto"/>
            </w:tcBorders>
            <w:vAlign w:val="bottom"/>
          </w:tcPr>
          <w:p w14:paraId="2EC220F4" w14:textId="77777777" w:rsidR="00983E11" w:rsidRPr="004360BF" w:rsidRDefault="00B3127B" w:rsidP="00F106D9">
            <w:pPr>
              <w:keepNext/>
              <w:tabs>
                <w:tab w:val="decimal" w:pos="1115"/>
              </w:tabs>
              <w:spacing w:before="40" w:after="40"/>
              <w:rPr>
                <w:rFonts w:eastAsia="Times New Roman" w:cs="Tahoma"/>
                <w:sz w:val="22"/>
                <w:szCs w:val="22"/>
                <w:lang w:val="en-AU"/>
              </w:rPr>
            </w:pPr>
            <w:r w:rsidRPr="004360BF">
              <w:rPr>
                <w:rFonts w:eastAsia="Times New Roman" w:cs="Tahoma"/>
                <w:sz w:val="22"/>
                <w:szCs w:val="22"/>
                <w:lang w:val="en-AU"/>
              </w:rPr>
              <w:t>0.0%</w:t>
            </w:r>
          </w:p>
        </w:tc>
        <w:tc>
          <w:tcPr>
            <w:tcW w:w="0" w:type="auto"/>
            <w:tcBorders>
              <w:top w:val="single" w:sz="4" w:space="0" w:color="auto"/>
              <w:left w:val="single" w:sz="4" w:space="0" w:color="auto"/>
              <w:bottom w:val="single" w:sz="4" w:space="0" w:color="auto"/>
              <w:right w:val="single" w:sz="4" w:space="0" w:color="auto"/>
            </w:tcBorders>
            <w:vAlign w:val="bottom"/>
          </w:tcPr>
          <w:p w14:paraId="687700F6" w14:textId="77777777" w:rsidR="00983E11" w:rsidRPr="004360BF" w:rsidRDefault="00983E11" w:rsidP="00F106D9">
            <w:pPr>
              <w:keepNext/>
              <w:tabs>
                <w:tab w:val="decimal" w:pos="961"/>
              </w:tabs>
              <w:spacing w:before="40" w:after="40"/>
              <w:rPr>
                <w:rFonts w:eastAsia="Times New Roman" w:cs="Tahoma"/>
                <w:sz w:val="22"/>
                <w:szCs w:val="22"/>
                <w:lang w:val="en-AU"/>
              </w:rPr>
            </w:pPr>
            <w:r w:rsidRPr="004360BF">
              <w:rPr>
                <w:rFonts w:eastAsia="Times New Roman" w:cs="Tahoma"/>
                <w:sz w:val="22"/>
                <w:szCs w:val="22"/>
                <w:lang w:val="en-AU"/>
              </w:rPr>
              <w:t>-15.0%</w:t>
            </w:r>
          </w:p>
        </w:tc>
        <w:tc>
          <w:tcPr>
            <w:tcW w:w="0" w:type="auto"/>
            <w:tcBorders>
              <w:top w:val="single" w:sz="4" w:space="0" w:color="auto"/>
              <w:left w:val="single" w:sz="4" w:space="0" w:color="auto"/>
              <w:bottom w:val="single" w:sz="4" w:space="0" w:color="auto"/>
              <w:right w:val="single" w:sz="4" w:space="0" w:color="auto"/>
            </w:tcBorders>
            <w:vAlign w:val="bottom"/>
          </w:tcPr>
          <w:p w14:paraId="386CD2C8" w14:textId="77777777" w:rsidR="00983E11" w:rsidRPr="004360BF" w:rsidRDefault="00983E11" w:rsidP="00F106D9">
            <w:pPr>
              <w:keepNext/>
              <w:tabs>
                <w:tab w:val="decimal" w:pos="949"/>
              </w:tabs>
              <w:spacing w:before="40" w:after="40"/>
              <w:rPr>
                <w:rFonts w:eastAsia="Times New Roman" w:cs="Tahoma"/>
                <w:sz w:val="22"/>
                <w:szCs w:val="22"/>
                <w:lang w:val="en-AU"/>
              </w:rPr>
            </w:pPr>
            <w:r w:rsidRPr="004360BF">
              <w:rPr>
                <w:rFonts w:eastAsia="Times New Roman" w:cs="Tahoma"/>
                <w:sz w:val="22"/>
                <w:szCs w:val="22"/>
                <w:lang w:val="en-AU"/>
              </w:rPr>
              <w:t>-50.0%</w:t>
            </w:r>
          </w:p>
        </w:tc>
      </w:tr>
      <w:tr w:rsidR="003061BC" w:rsidRPr="004360BF" w14:paraId="5BA93569"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2535BE41"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Metering</w:t>
            </w:r>
          </w:p>
        </w:tc>
        <w:tc>
          <w:tcPr>
            <w:tcW w:w="0" w:type="auto"/>
            <w:tcBorders>
              <w:top w:val="single" w:sz="4" w:space="0" w:color="auto"/>
              <w:left w:val="single" w:sz="4" w:space="0" w:color="auto"/>
              <w:bottom w:val="single" w:sz="4" w:space="0" w:color="auto"/>
              <w:right w:val="single" w:sz="4" w:space="0" w:color="auto"/>
            </w:tcBorders>
            <w:vAlign w:val="bottom"/>
          </w:tcPr>
          <w:p w14:paraId="19D08242" w14:textId="77777777" w:rsidR="00983E11" w:rsidRPr="004360BF" w:rsidRDefault="00696BBE" w:rsidP="00F106D9">
            <w:pPr>
              <w:keepNext/>
              <w:tabs>
                <w:tab w:val="decimal" w:pos="1115"/>
              </w:tabs>
              <w:spacing w:before="40" w:after="40"/>
              <w:rPr>
                <w:rFonts w:eastAsia="Times New Roman" w:cs="Tahoma"/>
                <w:sz w:val="22"/>
                <w:szCs w:val="22"/>
                <w:lang w:val="en-AU"/>
              </w:rPr>
            </w:pPr>
            <w:r w:rsidRPr="004360BF">
              <w:rPr>
                <w:rFonts w:eastAsia="Times New Roman" w:cs="Tahoma"/>
                <w:sz w:val="22"/>
                <w:szCs w:val="22"/>
                <w:lang w:val="en-AU"/>
              </w:rPr>
              <w:t>-0.3%</w:t>
            </w:r>
          </w:p>
        </w:tc>
        <w:tc>
          <w:tcPr>
            <w:tcW w:w="0" w:type="auto"/>
            <w:tcBorders>
              <w:top w:val="single" w:sz="4" w:space="0" w:color="auto"/>
              <w:left w:val="single" w:sz="4" w:space="0" w:color="auto"/>
              <w:bottom w:val="single" w:sz="4" w:space="0" w:color="auto"/>
              <w:right w:val="single" w:sz="4" w:space="0" w:color="auto"/>
            </w:tcBorders>
            <w:vAlign w:val="bottom"/>
          </w:tcPr>
          <w:p w14:paraId="6F21CBC1" w14:textId="77777777" w:rsidR="00983E11" w:rsidRPr="004360BF" w:rsidRDefault="005136ED" w:rsidP="00F106D9">
            <w:pPr>
              <w:keepNext/>
              <w:tabs>
                <w:tab w:val="decimal" w:pos="961"/>
              </w:tabs>
              <w:spacing w:before="40" w:after="40"/>
              <w:rPr>
                <w:rFonts w:eastAsia="Times New Roman" w:cs="Tahoma"/>
                <w:sz w:val="22"/>
                <w:szCs w:val="22"/>
                <w:lang w:val="en-AU"/>
              </w:rPr>
            </w:pPr>
            <w:r w:rsidRPr="004360BF">
              <w:rPr>
                <w:rFonts w:eastAsia="Times New Roman" w:cs="Tahoma"/>
                <w:sz w:val="22"/>
                <w:szCs w:val="22"/>
                <w:lang w:val="en-AU"/>
              </w:rPr>
              <w:t>-16.3</w:t>
            </w:r>
            <w:r w:rsidR="00983E11" w:rsidRPr="004360BF">
              <w:rPr>
                <w:rFonts w:eastAsia="Times New Roman" w:cs="Tahoma"/>
                <w:sz w:val="22"/>
                <w:szCs w:val="22"/>
                <w:lang w:val="en-AU"/>
              </w:rPr>
              <w:t>%</w:t>
            </w:r>
          </w:p>
        </w:tc>
        <w:tc>
          <w:tcPr>
            <w:tcW w:w="0" w:type="auto"/>
            <w:tcBorders>
              <w:top w:val="single" w:sz="4" w:space="0" w:color="auto"/>
              <w:left w:val="single" w:sz="4" w:space="0" w:color="auto"/>
              <w:bottom w:val="single" w:sz="4" w:space="0" w:color="auto"/>
              <w:right w:val="single" w:sz="4" w:space="0" w:color="auto"/>
            </w:tcBorders>
            <w:vAlign w:val="bottom"/>
          </w:tcPr>
          <w:p w14:paraId="7E92AAA3" w14:textId="77777777" w:rsidR="00983E11" w:rsidRPr="004360BF" w:rsidRDefault="00983E11" w:rsidP="005136ED">
            <w:pPr>
              <w:keepNext/>
              <w:tabs>
                <w:tab w:val="decimal" w:pos="949"/>
              </w:tabs>
              <w:spacing w:before="40" w:after="40"/>
              <w:rPr>
                <w:rFonts w:eastAsia="Times New Roman" w:cs="Tahoma"/>
                <w:sz w:val="22"/>
                <w:szCs w:val="22"/>
                <w:lang w:val="en-AU"/>
              </w:rPr>
            </w:pPr>
            <w:r w:rsidRPr="004360BF">
              <w:rPr>
                <w:rFonts w:eastAsia="Times New Roman" w:cs="Tahoma"/>
                <w:sz w:val="22"/>
                <w:szCs w:val="22"/>
                <w:lang w:val="en-AU"/>
              </w:rPr>
              <w:t>-8</w:t>
            </w:r>
            <w:r w:rsidR="005136ED" w:rsidRPr="004360BF">
              <w:rPr>
                <w:rFonts w:eastAsia="Times New Roman" w:cs="Tahoma"/>
                <w:sz w:val="22"/>
                <w:szCs w:val="22"/>
                <w:lang w:val="en-AU"/>
              </w:rPr>
              <w:t>3.5</w:t>
            </w:r>
            <w:r w:rsidRPr="004360BF">
              <w:rPr>
                <w:rFonts w:eastAsia="Times New Roman" w:cs="Tahoma"/>
                <w:sz w:val="22"/>
                <w:szCs w:val="22"/>
                <w:lang w:val="en-AU"/>
              </w:rPr>
              <w:t>%</w:t>
            </w:r>
          </w:p>
        </w:tc>
      </w:tr>
      <w:tr w:rsidR="003061BC" w:rsidRPr="004360BF" w14:paraId="041F2EF4"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0572E347"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Common service costs</w:t>
            </w:r>
          </w:p>
        </w:tc>
        <w:tc>
          <w:tcPr>
            <w:tcW w:w="0" w:type="auto"/>
            <w:tcBorders>
              <w:top w:val="single" w:sz="4" w:space="0" w:color="auto"/>
              <w:left w:val="single" w:sz="4" w:space="0" w:color="auto"/>
              <w:bottom w:val="single" w:sz="4" w:space="0" w:color="auto"/>
              <w:right w:val="single" w:sz="4" w:space="0" w:color="auto"/>
            </w:tcBorders>
            <w:vAlign w:val="bottom"/>
          </w:tcPr>
          <w:p w14:paraId="2385BE03" w14:textId="77777777" w:rsidR="00983E11" w:rsidRPr="004360BF" w:rsidRDefault="00983E11" w:rsidP="00F106D9">
            <w:pPr>
              <w:keepNext/>
              <w:tabs>
                <w:tab w:val="decimal" w:pos="1115"/>
              </w:tabs>
              <w:spacing w:before="40" w:after="40"/>
              <w:rPr>
                <w:rFonts w:eastAsia="Times New Roman" w:cs="Tahoma"/>
                <w:sz w:val="22"/>
                <w:szCs w:val="22"/>
                <w:lang w:val="en-AU"/>
              </w:rPr>
            </w:pPr>
            <w:r w:rsidRPr="004360BF">
              <w:rPr>
                <w:rFonts w:eastAsia="Times New Roman" w:cs="Tahoma"/>
                <w:sz w:val="22"/>
                <w:szCs w:val="22"/>
                <w:lang w:val="en-AU"/>
              </w:rPr>
              <w:t>0.0%</w:t>
            </w:r>
          </w:p>
        </w:tc>
        <w:tc>
          <w:tcPr>
            <w:tcW w:w="0" w:type="auto"/>
            <w:tcBorders>
              <w:top w:val="single" w:sz="4" w:space="0" w:color="auto"/>
              <w:left w:val="single" w:sz="4" w:space="0" w:color="auto"/>
              <w:bottom w:val="single" w:sz="4" w:space="0" w:color="auto"/>
              <w:right w:val="single" w:sz="4" w:space="0" w:color="auto"/>
            </w:tcBorders>
            <w:vAlign w:val="bottom"/>
          </w:tcPr>
          <w:p w14:paraId="5CD73ACD" w14:textId="77777777" w:rsidR="00983E11" w:rsidRPr="004360BF" w:rsidRDefault="00983E11" w:rsidP="00F106D9">
            <w:pPr>
              <w:keepNext/>
              <w:tabs>
                <w:tab w:val="decimal" w:pos="961"/>
              </w:tabs>
              <w:spacing w:before="40" w:after="40"/>
              <w:rPr>
                <w:rFonts w:eastAsia="Times New Roman" w:cs="Tahoma"/>
                <w:sz w:val="22"/>
                <w:szCs w:val="22"/>
                <w:lang w:val="en-AU"/>
              </w:rPr>
            </w:pPr>
            <w:r w:rsidRPr="004360BF">
              <w:rPr>
                <w:rFonts w:eastAsia="Times New Roman" w:cs="Tahoma"/>
                <w:sz w:val="22"/>
                <w:szCs w:val="22"/>
                <w:lang w:val="en-AU"/>
              </w:rPr>
              <w:t>0.0%</w:t>
            </w:r>
          </w:p>
        </w:tc>
        <w:tc>
          <w:tcPr>
            <w:tcW w:w="0" w:type="auto"/>
            <w:tcBorders>
              <w:top w:val="single" w:sz="4" w:space="0" w:color="auto"/>
              <w:left w:val="single" w:sz="4" w:space="0" w:color="auto"/>
              <w:bottom w:val="single" w:sz="4" w:space="0" w:color="auto"/>
              <w:right w:val="single" w:sz="4" w:space="0" w:color="auto"/>
            </w:tcBorders>
            <w:vAlign w:val="bottom"/>
          </w:tcPr>
          <w:p w14:paraId="47F7AFC7" w14:textId="77777777" w:rsidR="00983E11" w:rsidRPr="004360BF" w:rsidRDefault="00983E11" w:rsidP="00F106D9">
            <w:pPr>
              <w:keepNext/>
              <w:tabs>
                <w:tab w:val="decimal" w:pos="949"/>
              </w:tabs>
              <w:spacing w:before="40" w:after="40"/>
              <w:rPr>
                <w:rFonts w:eastAsia="Times New Roman" w:cs="Tahoma"/>
                <w:sz w:val="22"/>
                <w:szCs w:val="22"/>
                <w:lang w:val="en-AU"/>
              </w:rPr>
            </w:pPr>
            <w:r w:rsidRPr="004360BF">
              <w:rPr>
                <w:rFonts w:eastAsia="Times New Roman" w:cs="Tahoma"/>
                <w:sz w:val="22"/>
                <w:szCs w:val="22"/>
                <w:lang w:val="en-AU"/>
              </w:rPr>
              <w:t>0.0%</w:t>
            </w:r>
          </w:p>
        </w:tc>
      </w:tr>
    </w:tbl>
    <w:p w14:paraId="3B58E8F5" w14:textId="77777777" w:rsidR="00B3127B" w:rsidRPr="004360BF" w:rsidRDefault="00B3127B" w:rsidP="00983E11">
      <w:pPr>
        <w:spacing w:after="0"/>
        <w:rPr>
          <w:lang w:val="en-AU"/>
        </w:rPr>
      </w:pPr>
    </w:p>
    <w:p w14:paraId="5CEDE02F" w14:textId="77777777" w:rsidR="00983E11" w:rsidRPr="004360BF" w:rsidRDefault="00983E11" w:rsidP="00EE7AA1">
      <w:pPr>
        <w:pStyle w:val="Heading3"/>
        <w:numPr>
          <w:ilvl w:val="0"/>
          <w:numId w:val="0"/>
        </w:numPr>
      </w:pPr>
      <w:bookmarkStart w:id="525" w:name="_Toc417291793"/>
      <w:bookmarkStart w:id="526" w:name="_Toc417292561"/>
      <w:bookmarkStart w:id="527" w:name="_Toc291262279"/>
      <w:r w:rsidRPr="004360BF">
        <w:t>A</w:t>
      </w:r>
      <w:r w:rsidR="00A14042" w:rsidRPr="004360BF">
        <w:t>2</w:t>
      </w:r>
      <w:r w:rsidR="00897576" w:rsidRPr="004360BF">
        <w:t>.5</w:t>
      </w:r>
      <w:r w:rsidRPr="004360BF">
        <w:tab/>
        <w:t>Stand-alone cost</w:t>
      </w:r>
      <w:bookmarkEnd w:id="523"/>
      <w:bookmarkEnd w:id="525"/>
      <w:bookmarkEnd w:id="526"/>
      <w:bookmarkEnd w:id="527"/>
    </w:p>
    <w:p w14:paraId="2CBE5B78" w14:textId="77777777" w:rsidR="00983E11" w:rsidRPr="004360BF" w:rsidRDefault="00983E11" w:rsidP="00603EFF">
      <w:pPr>
        <w:pStyle w:val="Dottop"/>
        <w:rPr>
          <w:lang w:val="en-AU"/>
        </w:rPr>
      </w:pPr>
      <w:r w:rsidRPr="004360BF">
        <w:rPr>
          <w:lang w:val="en-AU"/>
        </w:rPr>
        <w:t>In this case the hypothetical question is:</w:t>
      </w:r>
    </w:p>
    <w:p w14:paraId="1DC7CFC1" w14:textId="77777777" w:rsidR="00983E11" w:rsidRPr="004360BF" w:rsidRDefault="00983E11" w:rsidP="00983E11">
      <w:pPr>
        <w:ind w:left="720"/>
        <w:rPr>
          <w:lang w:val="en-AU"/>
        </w:rPr>
      </w:pPr>
      <w:r w:rsidRPr="004360BF">
        <w:rPr>
          <w:lang w:val="en-AU"/>
        </w:rPr>
        <w:t xml:space="preserve"> “</w:t>
      </w:r>
      <w:r w:rsidR="003061BC" w:rsidRPr="004360BF">
        <w:rPr>
          <w:lang w:val="en-AU"/>
        </w:rPr>
        <w:t>If XX tariff class were the only one supplied from the network, what percentage value of the existing assets employed in category YY would still be required to enable the same standard of network service to be provided to tariff class XX?</w:t>
      </w:r>
      <w:r w:rsidRPr="004360BF">
        <w:rPr>
          <w:lang w:val="en-AU"/>
        </w:rPr>
        <w:t>”</w:t>
      </w:r>
    </w:p>
    <w:p w14:paraId="1579EBB1" w14:textId="1D3CB222" w:rsidR="00983E11" w:rsidRPr="004360BF" w:rsidRDefault="00983E11" w:rsidP="00983E11">
      <w:pPr>
        <w:keepNext/>
        <w:rPr>
          <w:lang w:val="en-AU"/>
        </w:rPr>
      </w:pPr>
      <w:r w:rsidRPr="004360BF">
        <w:rPr>
          <w:lang w:val="en-AU"/>
        </w:rPr>
        <w:t xml:space="preserve">The outcome in terms of the network optimisation is shown in </w:t>
      </w:r>
      <w:r w:rsidR="00EE7AA1" w:rsidRPr="004360BF">
        <w:rPr>
          <w:lang w:val="en-AU"/>
        </w:rPr>
        <w:fldChar w:fldCharType="begin"/>
      </w:r>
      <w:r w:rsidR="00EE7AA1" w:rsidRPr="004360BF">
        <w:rPr>
          <w:lang w:val="en-AU"/>
        </w:rPr>
        <w:instrText xml:space="preserve"> REF _Ref235188128 \h </w:instrText>
      </w:r>
      <w:r w:rsidR="00EE7AA1" w:rsidRPr="004360BF">
        <w:rPr>
          <w:lang w:val="en-AU"/>
        </w:rPr>
      </w:r>
      <w:r w:rsidR="00EE7AA1" w:rsidRPr="004360BF">
        <w:rPr>
          <w:lang w:val="en-AU"/>
        </w:rPr>
        <w:fldChar w:fldCharType="separate"/>
      </w:r>
      <w:r w:rsidR="008D3215" w:rsidRPr="004360BF">
        <w:rPr>
          <w:lang w:val="en-AU"/>
        </w:rPr>
        <w:t xml:space="preserve">Table </w:t>
      </w:r>
      <w:r w:rsidR="008D3215">
        <w:rPr>
          <w:noProof/>
          <w:lang w:val="en-AU"/>
        </w:rPr>
        <w:t>24</w:t>
      </w:r>
      <w:r w:rsidR="00EE7AA1" w:rsidRPr="004360BF">
        <w:rPr>
          <w:lang w:val="en-AU"/>
        </w:rPr>
        <w:fldChar w:fldCharType="end"/>
      </w:r>
      <w:r w:rsidRPr="004360BF">
        <w:rPr>
          <w:lang w:val="en-AU"/>
        </w:rPr>
        <w:t>.</w:t>
      </w:r>
    </w:p>
    <w:p w14:paraId="0153B135" w14:textId="77777777" w:rsidR="00983E11" w:rsidRPr="004360BF" w:rsidRDefault="00983E11" w:rsidP="00983E11">
      <w:pPr>
        <w:pStyle w:val="Caption"/>
        <w:rPr>
          <w:lang w:val="en-AU"/>
        </w:rPr>
      </w:pPr>
      <w:bookmarkStart w:id="528" w:name="_Ref235188128"/>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24</w:t>
      </w:r>
      <w:r w:rsidR="00517DD9" w:rsidRPr="004360BF">
        <w:rPr>
          <w:lang w:val="en-AU"/>
        </w:rPr>
        <w:fldChar w:fldCharType="end"/>
      </w:r>
      <w:bookmarkEnd w:id="528"/>
      <w:r w:rsidRPr="004360BF">
        <w:rPr>
          <w:lang w:val="en-AU"/>
        </w:rPr>
        <w:t xml:space="preserve"> – Stand-alone network costs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5"/>
        <w:gridCol w:w="1906"/>
        <w:gridCol w:w="1579"/>
        <w:gridCol w:w="1567"/>
      </w:tblGrid>
      <w:tr w:rsidR="003061BC" w:rsidRPr="004360BF" w14:paraId="28353297" w14:textId="77777777" w:rsidTr="00F106D9">
        <w:tc>
          <w:tcPr>
            <w:tcW w:w="0" w:type="auto"/>
            <w:tcBorders>
              <w:top w:val="single" w:sz="4" w:space="0" w:color="auto"/>
              <w:left w:val="single" w:sz="4" w:space="0" w:color="auto"/>
              <w:bottom w:val="nil"/>
              <w:right w:val="single" w:sz="4" w:space="0" w:color="auto"/>
            </w:tcBorders>
            <w:shd w:val="solid" w:color="C6D9F1" w:fill="auto"/>
            <w:vAlign w:val="bottom"/>
          </w:tcPr>
          <w:p w14:paraId="02C1F1CF" w14:textId="77777777" w:rsidR="00983E11" w:rsidRPr="004360BF" w:rsidRDefault="00983E11" w:rsidP="00F106D9">
            <w:pPr>
              <w:keepNext/>
              <w:spacing w:before="40" w:after="40"/>
              <w:rPr>
                <w:rFonts w:eastAsia="Times New Roman" w:cs="Tahoma"/>
                <w:sz w:val="22"/>
                <w:szCs w:val="22"/>
                <w:lang w:val="en-AU"/>
              </w:rPr>
            </w:pPr>
            <w:r w:rsidRPr="004360BF">
              <w:rPr>
                <w:rFonts w:eastAsia="Times New Roman" w:cs="Tahoma"/>
                <w:b/>
                <w:bCs/>
                <w:sz w:val="22"/>
                <w:szCs w:val="22"/>
                <w:lang w:val="en-AU"/>
              </w:rPr>
              <w:t>Network level</w:t>
            </w:r>
          </w:p>
        </w:tc>
        <w:tc>
          <w:tcPr>
            <w:tcW w:w="0" w:type="auto"/>
            <w:tcBorders>
              <w:top w:val="single" w:sz="4" w:space="0" w:color="auto"/>
              <w:left w:val="single" w:sz="4" w:space="0" w:color="auto"/>
              <w:bottom w:val="nil"/>
              <w:right w:val="nil"/>
            </w:tcBorders>
            <w:shd w:val="solid" w:color="C6D9F1" w:fill="auto"/>
          </w:tcPr>
          <w:p w14:paraId="6566447A" w14:textId="77777777" w:rsidR="00983E11" w:rsidRPr="004360BF" w:rsidRDefault="00983E11" w:rsidP="00F106D9">
            <w:pPr>
              <w:keepNext/>
              <w:spacing w:before="40" w:after="40"/>
              <w:jc w:val="center"/>
              <w:rPr>
                <w:sz w:val="22"/>
                <w:szCs w:val="22"/>
                <w:lang w:val="en-AU"/>
              </w:rPr>
            </w:pPr>
          </w:p>
        </w:tc>
        <w:tc>
          <w:tcPr>
            <w:tcW w:w="0" w:type="auto"/>
            <w:tcBorders>
              <w:top w:val="single" w:sz="4" w:space="0" w:color="auto"/>
              <w:left w:val="nil"/>
              <w:bottom w:val="nil"/>
              <w:right w:val="nil"/>
            </w:tcBorders>
            <w:shd w:val="solid" w:color="C6D9F1" w:fill="auto"/>
          </w:tcPr>
          <w:p w14:paraId="1F5DDD17" w14:textId="77777777" w:rsidR="00983E11" w:rsidRPr="004360BF" w:rsidRDefault="00263D11" w:rsidP="00F106D9">
            <w:pPr>
              <w:keepNext/>
              <w:spacing w:before="40" w:after="40"/>
              <w:jc w:val="center"/>
              <w:rPr>
                <w:b/>
                <w:sz w:val="22"/>
                <w:szCs w:val="22"/>
                <w:lang w:val="en-AU"/>
              </w:rPr>
            </w:pPr>
            <w:r w:rsidRPr="004360BF">
              <w:rPr>
                <w:b/>
                <w:bCs/>
                <w:sz w:val="22"/>
                <w:szCs w:val="22"/>
                <w:lang w:val="en-AU"/>
              </w:rPr>
              <w:t>Tariff class</w:t>
            </w:r>
          </w:p>
        </w:tc>
        <w:tc>
          <w:tcPr>
            <w:tcW w:w="0" w:type="auto"/>
            <w:tcBorders>
              <w:top w:val="single" w:sz="4" w:space="0" w:color="auto"/>
              <w:left w:val="nil"/>
              <w:bottom w:val="nil"/>
              <w:right w:val="single" w:sz="4" w:space="0" w:color="auto"/>
            </w:tcBorders>
            <w:shd w:val="solid" w:color="C6D9F1" w:fill="auto"/>
          </w:tcPr>
          <w:p w14:paraId="6EF781A3" w14:textId="77777777" w:rsidR="00983E11" w:rsidRPr="004360BF" w:rsidRDefault="00983E11" w:rsidP="00F106D9">
            <w:pPr>
              <w:keepNext/>
              <w:spacing w:before="40" w:after="40"/>
              <w:jc w:val="center"/>
              <w:rPr>
                <w:sz w:val="22"/>
                <w:szCs w:val="22"/>
                <w:lang w:val="en-AU"/>
              </w:rPr>
            </w:pPr>
          </w:p>
        </w:tc>
      </w:tr>
      <w:tr w:rsidR="003061BC" w:rsidRPr="004360BF" w14:paraId="10AC2956" w14:textId="77777777" w:rsidTr="00F106D9">
        <w:tc>
          <w:tcPr>
            <w:tcW w:w="0" w:type="auto"/>
            <w:tcBorders>
              <w:top w:val="nil"/>
              <w:left w:val="single" w:sz="4" w:space="0" w:color="auto"/>
              <w:bottom w:val="single" w:sz="4" w:space="0" w:color="auto"/>
              <w:right w:val="single" w:sz="4" w:space="0" w:color="auto"/>
            </w:tcBorders>
            <w:shd w:val="solid" w:color="C6D9F1" w:fill="auto"/>
            <w:vAlign w:val="bottom"/>
          </w:tcPr>
          <w:p w14:paraId="1BE2A5BF" w14:textId="77777777" w:rsidR="00983E11" w:rsidRPr="004360BF" w:rsidRDefault="00983E11" w:rsidP="00F106D9">
            <w:pPr>
              <w:keepNext/>
              <w:spacing w:before="40" w:after="40"/>
              <w:rPr>
                <w:rFonts w:eastAsia="Times New Roman" w:cs="Tahoma"/>
                <w:sz w:val="22"/>
                <w:szCs w:val="22"/>
                <w:lang w:val="en-AU"/>
              </w:rPr>
            </w:pPr>
          </w:p>
        </w:tc>
        <w:tc>
          <w:tcPr>
            <w:tcW w:w="0" w:type="auto"/>
            <w:tcBorders>
              <w:top w:val="nil"/>
              <w:left w:val="single" w:sz="4" w:space="0" w:color="auto"/>
              <w:bottom w:val="single" w:sz="4" w:space="0" w:color="auto"/>
              <w:right w:val="single" w:sz="4" w:space="0" w:color="auto"/>
            </w:tcBorders>
            <w:shd w:val="solid" w:color="C6D9F1" w:fill="auto"/>
            <w:vAlign w:val="center"/>
          </w:tcPr>
          <w:p w14:paraId="60FD5086" w14:textId="77777777" w:rsidR="00983E11" w:rsidRPr="004360BF" w:rsidRDefault="00983E11" w:rsidP="00F106D9">
            <w:pPr>
              <w:keepNext/>
              <w:spacing w:before="40" w:after="40"/>
              <w:jc w:val="center"/>
              <w:rPr>
                <w:sz w:val="22"/>
                <w:szCs w:val="22"/>
                <w:lang w:val="en-AU"/>
              </w:rPr>
            </w:pPr>
            <w:r w:rsidRPr="004360BF">
              <w:rPr>
                <w:rFonts w:eastAsia="Times New Roman" w:cs="Tahoma"/>
                <w:b/>
                <w:bCs/>
                <w:sz w:val="22"/>
                <w:szCs w:val="22"/>
                <w:lang w:val="en-AU"/>
              </w:rPr>
              <w:t>Commercial HV</w:t>
            </w:r>
          </w:p>
        </w:tc>
        <w:tc>
          <w:tcPr>
            <w:tcW w:w="0" w:type="auto"/>
            <w:tcBorders>
              <w:top w:val="nil"/>
              <w:left w:val="single" w:sz="4" w:space="0" w:color="auto"/>
              <w:bottom w:val="single" w:sz="4" w:space="0" w:color="auto"/>
              <w:right w:val="single" w:sz="4" w:space="0" w:color="auto"/>
            </w:tcBorders>
            <w:shd w:val="solid" w:color="C6D9F1" w:fill="auto"/>
            <w:vAlign w:val="center"/>
          </w:tcPr>
          <w:p w14:paraId="71071119" w14:textId="77777777" w:rsidR="00983E11" w:rsidRPr="004360BF" w:rsidRDefault="00983E11" w:rsidP="00F106D9">
            <w:pPr>
              <w:keepNext/>
              <w:spacing w:before="40" w:after="40"/>
              <w:jc w:val="center"/>
              <w:rPr>
                <w:sz w:val="22"/>
                <w:szCs w:val="22"/>
                <w:lang w:val="en-AU"/>
              </w:rPr>
            </w:pPr>
            <w:r w:rsidRPr="004360BF">
              <w:rPr>
                <w:rFonts w:eastAsia="Times New Roman" w:cs="Tahoma"/>
                <w:b/>
                <w:bCs/>
                <w:sz w:val="22"/>
                <w:szCs w:val="22"/>
                <w:lang w:val="en-AU"/>
              </w:rPr>
              <w:t>Commercial</w:t>
            </w:r>
          </w:p>
        </w:tc>
        <w:tc>
          <w:tcPr>
            <w:tcW w:w="0" w:type="auto"/>
            <w:tcBorders>
              <w:top w:val="nil"/>
              <w:left w:val="single" w:sz="4" w:space="0" w:color="auto"/>
              <w:bottom w:val="single" w:sz="4" w:space="0" w:color="auto"/>
              <w:right w:val="single" w:sz="4" w:space="0" w:color="auto"/>
            </w:tcBorders>
            <w:shd w:val="solid" w:color="C6D9F1" w:fill="auto"/>
            <w:vAlign w:val="center"/>
          </w:tcPr>
          <w:p w14:paraId="3727E5EB" w14:textId="77777777" w:rsidR="00983E11" w:rsidRPr="004360BF" w:rsidRDefault="00983E11" w:rsidP="00F106D9">
            <w:pPr>
              <w:keepNext/>
              <w:spacing w:before="40" w:after="40"/>
              <w:jc w:val="center"/>
              <w:rPr>
                <w:sz w:val="22"/>
                <w:szCs w:val="22"/>
                <w:lang w:val="en-AU"/>
              </w:rPr>
            </w:pPr>
            <w:r w:rsidRPr="004360BF">
              <w:rPr>
                <w:rFonts w:eastAsia="Times New Roman" w:cs="Tahoma"/>
                <w:b/>
                <w:bCs/>
                <w:sz w:val="22"/>
                <w:szCs w:val="22"/>
                <w:lang w:val="en-AU"/>
              </w:rPr>
              <w:t>Domestic</w:t>
            </w:r>
          </w:p>
        </w:tc>
      </w:tr>
      <w:tr w:rsidR="003061BC" w:rsidRPr="004360BF" w14:paraId="1F8A2410"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37BA8E3A"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Transmission</w:t>
            </w:r>
          </w:p>
        </w:tc>
        <w:tc>
          <w:tcPr>
            <w:tcW w:w="0" w:type="auto"/>
            <w:tcBorders>
              <w:top w:val="single" w:sz="4" w:space="0" w:color="auto"/>
              <w:left w:val="single" w:sz="4" w:space="0" w:color="auto"/>
              <w:bottom w:val="single" w:sz="4" w:space="0" w:color="auto"/>
              <w:right w:val="single" w:sz="4" w:space="0" w:color="auto"/>
            </w:tcBorders>
            <w:vAlign w:val="bottom"/>
          </w:tcPr>
          <w:p w14:paraId="0AEF1393" w14:textId="77777777" w:rsidR="00983E11" w:rsidRPr="004360BF" w:rsidRDefault="00983E11" w:rsidP="00F106D9">
            <w:pPr>
              <w:keepNext/>
              <w:tabs>
                <w:tab w:val="decimal" w:pos="1115"/>
              </w:tabs>
              <w:spacing w:before="40" w:after="40"/>
              <w:rPr>
                <w:sz w:val="22"/>
                <w:szCs w:val="22"/>
                <w:lang w:val="en-AU"/>
              </w:rPr>
            </w:pPr>
            <w:r w:rsidRPr="004360BF">
              <w:rPr>
                <w:rFonts w:eastAsia="Times New Roman" w:cs="Tahoma"/>
                <w:sz w:val="22"/>
                <w:szCs w:val="22"/>
                <w:lang w:val="en-AU"/>
              </w:rPr>
              <w:t>65.0%</w:t>
            </w:r>
          </w:p>
        </w:tc>
        <w:tc>
          <w:tcPr>
            <w:tcW w:w="0" w:type="auto"/>
            <w:tcBorders>
              <w:top w:val="single" w:sz="4" w:space="0" w:color="auto"/>
              <w:left w:val="single" w:sz="4" w:space="0" w:color="auto"/>
              <w:bottom w:val="single" w:sz="4" w:space="0" w:color="auto"/>
              <w:right w:val="single" w:sz="4" w:space="0" w:color="auto"/>
            </w:tcBorders>
            <w:vAlign w:val="bottom"/>
          </w:tcPr>
          <w:p w14:paraId="10CEB357" w14:textId="77777777" w:rsidR="00983E11" w:rsidRPr="004360BF" w:rsidRDefault="00983E11" w:rsidP="00F106D9">
            <w:pPr>
              <w:keepNext/>
              <w:tabs>
                <w:tab w:val="decimal" w:pos="961"/>
              </w:tabs>
              <w:spacing w:before="40" w:after="40"/>
              <w:rPr>
                <w:sz w:val="22"/>
                <w:szCs w:val="22"/>
                <w:lang w:val="en-AU"/>
              </w:rPr>
            </w:pPr>
            <w:r w:rsidRPr="004360BF">
              <w:rPr>
                <w:rFonts w:eastAsia="Times New Roman" w:cs="Tahoma"/>
                <w:sz w:val="22"/>
                <w:szCs w:val="22"/>
                <w:lang w:val="en-AU"/>
              </w:rPr>
              <w:t>98.0%</w:t>
            </w:r>
          </w:p>
        </w:tc>
        <w:tc>
          <w:tcPr>
            <w:tcW w:w="0" w:type="auto"/>
            <w:tcBorders>
              <w:top w:val="single" w:sz="4" w:space="0" w:color="auto"/>
              <w:left w:val="single" w:sz="4" w:space="0" w:color="auto"/>
              <w:bottom w:val="single" w:sz="4" w:space="0" w:color="auto"/>
              <w:right w:val="single" w:sz="4" w:space="0" w:color="auto"/>
            </w:tcBorders>
            <w:vAlign w:val="bottom"/>
          </w:tcPr>
          <w:p w14:paraId="64C2C846" w14:textId="77777777" w:rsidR="00983E11" w:rsidRPr="004360BF" w:rsidRDefault="00983E11" w:rsidP="00F106D9">
            <w:pPr>
              <w:keepNext/>
              <w:tabs>
                <w:tab w:val="decimal" w:pos="949"/>
              </w:tabs>
              <w:spacing w:before="40" w:after="40"/>
              <w:rPr>
                <w:sz w:val="22"/>
                <w:szCs w:val="22"/>
                <w:lang w:val="en-AU"/>
              </w:rPr>
            </w:pPr>
            <w:r w:rsidRPr="004360BF">
              <w:rPr>
                <w:rFonts w:eastAsia="Times New Roman" w:cs="Tahoma"/>
                <w:sz w:val="22"/>
                <w:szCs w:val="22"/>
                <w:lang w:val="en-AU"/>
              </w:rPr>
              <w:t>98.0%</w:t>
            </w:r>
          </w:p>
        </w:tc>
      </w:tr>
      <w:tr w:rsidR="003061BC" w:rsidRPr="004360BF" w14:paraId="499C46F2"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11962C3E"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Zone substations</w:t>
            </w:r>
          </w:p>
        </w:tc>
        <w:tc>
          <w:tcPr>
            <w:tcW w:w="0" w:type="auto"/>
            <w:tcBorders>
              <w:top w:val="single" w:sz="4" w:space="0" w:color="auto"/>
              <w:left w:val="single" w:sz="4" w:space="0" w:color="auto"/>
              <w:bottom w:val="single" w:sz="4" w:space="0" w:color="auto"/>
              <w:right w:val="single" w:sz="4" w:space="0" w:color="auto"/>
            </w:tcBorders>
            <w:vAlign w:val="bottom"/>
          </w:tcPr>
          <w:p w14:paraId="492C035D" w14:textId="77777777" w:rsidR="00983E11" w:rsidRPr="004360BF" w:rsidRDefault="00983E11" w:rsidP="00F106D9">
            <w:pPr>
              <w:keepNext/>
              <w:tabs>
                <w:tab w:val="decimal" w:pos="1115"/>
              </w:tabs>
              <w:spacing w:before="40" w:after="40"/>
              <w:rPr>
                <w:sz w:val="22"/>
                <w:szCs w:val="22"/>
                <w:lang w:val="en-AU"/>
              </w:rPr>
            </w:pPr>
            <w:r w:rsidRPr="004360BF">
              <w:rPr>
                <w:rFonts w:eastAsia="Times New Roman" w:cs="Tahoma"/>
                <w:sz w:val="22"/>
                <w:szCs w:val="22"/>
                <w:lang w:val="en-AU"/>
              </w:rPr>
              <w:t>30.0%</w:t>
            </w:r>
          </w:p>
        </w:tc>
        <w:tc>
          <w:tcPr>
            <w:tcW w:w="0" w:type="auto"/>
            <w:tcBorders>
              <w:top w:val="single" w:sz="4" w:space="0" w:color="auto"/>
              <w:left w:val="single" w:sz="4" w:space="0" w:color="auto"/>
              <w:bottom w:val="single" w:sz="4" w:space="0" w:color="auto"/>
              <w:right w:val="single" w:sz="4" w:space="0" w:color="auto"/>
            </w:tcBorders>
            <w:vAlign w:val="bottom"/>
          </w:tcPr>
          <w:p w14:paraId="3889F382" w14:textId="77777777" w:rsidR="00983E11" w:rsidRPr="004360BF" w:rsidRDefault="00983E11" w:rsidP="00F106D9">
            <w:pPr>
              <w:keepNext/>
              <w:tabs>
                <w:tab w:val="decimal" w:pos="961"/>
              </w:tabs>
              <w:spacing w:before="40" w:after="40"/>
              <w:rPr>
                <w:sz w:val="22"/>
                <w:szCs w:val="22"/>
                <w:lang w:val="en-AU"/>
              </w:rPr>
            </w:pPr>
            <w:r w:rsidRPr="004360BF">
              <w:rPr>
                <w:rFonts w:eastAsia="Times New Roman" w:cs="Tahoma"/>
                <w:sz w:val="22"/>
                <w:szCs w:val="22"/>
                <w:lang w:val="en-AU"/>
              </w:rPr>
              <w:t>90.0%</w:t>
            </w:r>
          </w:p>
        </w:tc>
        <w:tc>
          <w:tcPr>
            <w:tcW w:w="0" w:type="auto"/>
            <w:tcBorders>
              <w:top w:val="single" w:sz="4" w:space="0" w:color="auto"/>
              <w:left w:val="single" w:sz="4" w:space="0" w:color="auto"/>
              <w:bottom w:val="single" w:sz="4" w:space="0" w:color="auto"/>
              <w:right w:val="single" w:sz="4" w:space="0" w:color="auto"/>
            </w:tcBorders>
            <w:vAlign w:val="bottom"/>
          </w:tcPr>
          <w:p w14:paraId="1F4F8B36" w14:textId="77777777" w:rsidR="00983E11" w:rsidRPr="004360BF" w:rsidRDefault="00983E11" w:rsidP="00F106D9">
            <w:pPr>
              <w:keepNext/>
              <w:tabs>
                <w:tab w:val="decimal" w:pos="949"/>
              </w:tabs>
              <w:spacing w:before="40" w:after="40"/>
              <w:rPr>
                <w:sz w:val="22"/>
                <w:szCs w:val="22"/>
                <w:lang w:val="en-AU"/>
              </w:rPr>
            </w:pPr>
            <w:r w:rsidRPr="004360BF">
              <w:rPr>
                <w:rFonts w:eastAsia="Times New Roman" w:cs="Tahoma"/>
                <w:sz w:val="22"/>
                <w:szCs w:val="22"/>
                <w:lang w:val="en-AU"/>
              </w:rPr>
              <w:t>95.0%</w:t>
            </w:r>
          </w:p>
        </w:tc>
      </w:tr>
      <w:tr w:rsidR="003061BC" w:rsidRPr="004360BF" w14:paraId="5CFF3327"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0B5A91D3"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HV network</w:t>
            </w:r>
          </w:p>
        </w:tc>
        <w:tc>
          <w:tcPr>
            <w:tcW w:w="0" w:type="auto"/>
            <w:tcBorders>
              <w:top w:val="single" w:sz="4" w:space="0" w:color="auto"/>
              <w:left w:val="single" w:sz="4" w:space="0" w:color="auto"/>
              <w:bottom w:val="single" w:sz="4" w:space="0" w:color="auto"/>
              <w:right w:val="single" w:sz="4" w:space="0" w:color="auto"/>
            </w:tcBorders>
            <w:vAlign w:val="bottom"/>
          </w:tcPr>
          <w:p w14:paraId="2C991250" w14:textId="77777777" w:rsidR="00983E11" w:rsidRPr="004360BF" w:rsidRDefault="00983E11" w:rsidP="00F106D9">
            <w:pPr>
              <w:keepNext/>
              <w:tabs>
                <w:tab w:val="decimal" w:pos="1115"/>
              </w:tabs>
              <w:spacing w:before="40" w:after="40"/>
              <w:rPr>
                <w:sz w:val="22"/>
                <w:szCs w:val="22"/>
                <w:lang w:val="en-AU"/>
              </w:rPr>
            </w:pPr>
            <w:r w:rsidRPr="004360BF">
              <w:rPr>
                <w:rFonts w:eastAsia="Times New Roman" w:cs="Tahoma"/>
                <w:sz w:val="22"/>
                <w:szCs w:val="22"/>
                <w:lang w:val="en-AU"/>
              </w:rPr>
              <w:t>10.0%</w:t>
            </w:r>
          </w:p>
        </w:tc>
        <w:tc>
          <w:tcPr>
            <w:tcW w:w="0" w:type="auto"/>
            <w:tcBorders>
              <w:top w:val="single" w:sz="4" w:space="0" w:color="auto"/>
              <w:left w:val="single" w:sz="4" w:space="0" w:color="auto"/>
              <w:bottom w:val="single" w:sz="4" w:space="0" w:color="auto"/>
              <w:right w:val="single" w:sz="4" w:space="0" w:color="auto"/>
            </w:tcBorders>
            <w:vAlign w:val="bottom"/>
          </w:tcPr>
          <w:p w14:paraId="0760458E" w14:textId="77777777" w:rsidR="00983E11" w:rsidRPr="004360BF" w:rsidRDefault="0050740F" w:rsidP="00F106D9">
            <w:pPr>
              <w:keepNext/>
              <w:tabs>
                <w:tab w:val="decimal" w:pos="961"/>
              </w:tabs>
              <w:spacing w:before="40" w:after="40"/>
              <w:rPr>
                <w:sz w:val="22"/>
                <w:szCs w:val="22"/>
                <w:lang w:val="en-AU"/>
              </w:rPr>
            </w:pPr>
            <w:r w:rsidRPr="004360BF">
              <w:rPr>
                <w:rFonts w:eastAsia="Times New Roman" w:cs="Tahoma"/>
                <w:sz w:val="22"/>
                <w:szCs w:val="22"/>
                <w:lang w:val="en-AU"/>
              </w:rPr>
              <w:t>80</w:t>
            </w:r>
            <w:r w:rsidR="00983E11" w:rsidRPr="004360BF">
              <w:rPr>
                <w:rFonts w:eastAsia="Times New Roman" w:cs="Tahoma"/>
                <w:sz w:val="22"/>
                <w:szCs w:val="22"/>
                <w:lang w:val="en-AU"/>
              </w:rPr>
              <w:t>.0%</w:t>
            </w:r>
          </w:p>
        </w:tc>
        <w:tc>
          <w:tcPr>
            <w:tcW w:w="0" w:type="auto"/>
            <w:tcBorders>
              <w:top w:val="single" w:sz="4" w:space="0" w:color="auto"/>
              <w:left w:val="single" w:sz="4" w:space="0" w:color="auto"/>
              <w:bottom w:val="single" w:sz="4" w:space="0" w:color="auto"/>
              <w:right w:val="single" w:sz="4" w:space="0" w:color="auto"/>
            </w:tcBorders>
            <w:vAlign w:val="bottom"/>
          </w:tcPr>
          <w:p w14:paraId="13591ECC" w14:textId="77777777" w:rsidR="00983E11" w:rsidRPr="004360BF" w:rsidRDefault="00983E11" w:rsidP="00F106D9">
            <w:pPr>
              <w:keepNext/>
              <w:tabs>
                <w:tab w:val="decimal" w:pos="949"/>
              </w:tabs>
              <w:spacing w:before="40" w:after="40"/>
              <w:rPr>
                <w:sz w:val="22"/>
                <w:szCs w:val="22"/>
                <w:lang w:val="en-AU"/>
              </w:rPr>
            </w:pPr>
            <w:r w:rsidRPr="004360BF">
              <w:rPr>
                <w:rFonts w:eastAsia="Times New Roman" w:cs="Tahoma"/>
                <w:sz w:val="22"/>
                <w:szCs w:val="22"/>
                <w:lang w:val="en-AU"/>
              </w:rPr>
              <w:t>95.0%</w:t>
            </w:r>
          </w:p>
        </w:tc>
      </w:tr>
      <w:tr w:rsidR="003061BC" w:rsidRPr="004360BF" w14:paraId="1FE5DC6D"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455A3E1A"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Distribution substations</w:t>
            </w:r>
          </w:p>
        </w:tc>
        <w:tc>
          <w:tcPr>
            <w:tcW w:w="0" w:type="auto"/>
            <w:tcBorders>
              <w:top w:val="single" w:sz="4" w:space="0" w:color="auto"/>
              <w:left w:val="single" w:sz="4" w:space="0" w:color="auto"/>
              <w:bottom w:val="single" w:sz="4" w:space="0" w:color="auto"/>
              <w:right w:val="single" w:sz="4" w:space="0" w:color="auto"/>
            </w:tcBorders>
            <w:vAlign w:val="bottom"/>
          </w:tcPr>
          <w:p w14:paraId="320D4A9B" w14:textId="77777777" w:rsidR="00983E11" w:rsidRPr="004360BF" w:rsidRDefault="00983E11" w:rsidP="00F106D9">
            <w:pPr>
              <w:keepNext/>
              <w:tabs>
                <w:tab w:val="decimal" w:pos="1115"/>
              </w:tabs>
              <w:spacing w:before="40" w:after="40"/>
              <w:rPr>
                <w:sz w:val="22"/>
                <w:szCs w:val="22"/>
                <w:lang w:val="en-AU"/>
              </w:rPr>
            </w:pPr>
            <w:r w:rsidRPr="004360BF">
              <w:rPr>
                <w:rFonts w:eastAsia="Times New Roman" w:cs="Tahoma"/>
                <w:sz w:val="22"/>
                <w:szCs w:val="22"/>
                <w:lang w:val="en-AU"/>
              </w:rPr>
              <w:t> </w:t>
            </w:r>
            <w:r w:rsidR="00B3127B" w:rsidRPr="004360BF">
              <w:rPr>
                <w:rFonts w:eastAsia="Times New Roman" w:cs="Tahoma"/>
                <w:sz w:val="22"/>
                <w:szCs w:val="22"/>
                <w:lang w:val="en-AU"/>
              </w:rPr>
              <w:t>0.0%</w:t>
            </w:r>
          </w:p>
        </w:tc>
        <w:tc>
          <w:tcPr>
            <w:tcW w:w="0" w:type="auto"/>
            <w:tcBorders>
              <w:top w:val="single" w:sz="4" w:space="0" w:color="auto"/>
              <w:left w:val="single" w:sz="4" w:space="0" w:color="auto"/>
              <w:bottom w:val="single" w:sz="4" w:space="0" w:color="auto"/>
              <w:right w:val="single" w:sz="4" w:space="0" w:color="auto"/>
            </w:tcBorders>
            <w:vAlign w:val="bottom"/>
          </w:tcPr>
          <w:p w14:paraId="42F3EA02" w14:textId="77777777" w:rsidR="00983E11" w:rsidRPr="004360BF" w:rsidRDefault="0050740F" w:rsidP="00F106D9">
            <w:pPr>
              <w:keepNext/>
              <w:tabs>
                <w:tab w:val="decimal" w:pos="961"/>
              </w:tabs>
              <w:spacing w:before="40" w:after="40"/>
              <w:rPr>
                <w:sz w:val="22"/>
                <w:szCs w:val="22"/>
                <w:lang w:val="en-AU"/>
              </w:rPr>
            </w:pPr>
            <w:r w:rsidRPr="004360BF">
              <w:rPr>
                <w:rFonts w:eastAsia="Times New Roman" w:cs="Tahoma"/>
                <w:sz w:val="22"/>
                <w:szCs w:val="22"/>
                <w:lang w:val="en-AU"/>
              </w:rPr>
              <w:t>80</w:t>
            </w:r>
            <w:r w:rsidR="00983E11" w:rsidRPr="004360BF">
              <w:rPr>
                <w:rFonts w:eastAsia="Times New Roman" w:cs="Tahoma"/>
                <w:sz w:val="22"/>
                <w:szCs w:val="22"/>
                <w:lang w:val="en-AU"/>
              </w:rPr>
              <w:t>.0%</w:t>
            </w:r>
          </w:p>
        </w:tc>
        <w:tc>
          <w:tcPr>
            <w:tcW w:w="0" w:type="auto"/>
            <w:tcBorders>
              <w:top w:val="single" w:sz="4" w:space="0" w:color="auto"/>
              <w:left w:val="single" w:sz="4" w:space="0" w:color="auto"/>
              <w:bottom w:val="single" w:sz="4" w:space="0" w:color="auto"/>
              <w:right w:val="single" w:sz="4" w:space="0" w:color="auto"/>
            </w:tcBorders>
            <w:vAlign w:val="bottom"/>
          </w:tcPr>
          <w:p w14:paraId="2265366E" w14:textId="77777777" w:rsidR="00983E11" w:rsidRPr="004360BF" w:rsidRDefault="00983E11" w:rsidP="00F106D9">
            <w:pPr>
              <w:keepNext/>
              <w:tabs>
                <w:tab w:val="decimal" w:pos="949"/>
              </w:tabs>
              <w:spacing w:before="40" w:after="40"/>
              <w:rPr>
                <w:sz w:val="22"/>
                <w:szCs w:val="22"/>
                <w:lang w:val="en-AU"/>
              </w:rPr>
            </w:pPr>
            <w:r w:rsidRPr="004360BF">
              <w:rPr>
                <w:rFonts w:eastAsia="Times New Roman" w:cs="Tahoma"/>
                <w:sz w:val="22"/>
                <w:szCs w:val="22"/>
                <w:lang w:val="en-AU"/>
              </w:rPr>
              <w:t>80.0%</w:t>
            </w:r>
          </w:p>
        </w:tc>
      </w:tr>
      <w:tr w:rsidR="003061BC" w:rsidRPr="004360BF" w14:paraId="49FDAAFB"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5045F97E"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LV network and services</w:t>
            </w:r>
          </w:p>
        </w:tc>
        <w:tc>
          <w:tcPr>
            <w:tcW w:w="0" w:type="auto"/>
            <w:tcBorders>
              <w:top w:val="single" w:sz="4" w:space="0" w:color="auto"/>
              <w:left w:val="single" w:sz="4" w:space="0" w:color="auto"/>
              <w:bottom w:val="single" w:sz="4" w:space="0" w:color="auto"/>
              <w:right w:val="single" w:sz="4" w:space="0" w:color="auto"/>
            </w:tcBorders>
            <w:vAlign w:val="bottom"/>
          </w:tcPr>
          <w:p w14:paraId="278143F2" w14:textId="77777777" w:rsidR="00983E11" w:rsidRPr="004360BF" w:rsidRDefault="00983E11" w:rsidP="00F106D9">
            <w:pPr>
              <w:keepNext/>
              <w:tabs>
                <w:tab w:val="decimal" w:pos="1115"/>
              </w:tabs>
              <w:spacing w:before="40" w:after="40"/>
              <w:rPr>
                <w:sz w:val="22"/>
                <w:szCs w:val="22"/>
                <w:lang w:val="en-AU"/>
              </w:rPr>
            </w:pPr>
            <w:r w:rsidRPr="004360BF">
              <w:rPr>
                <w:rFonts w:eastAsia="Times New Roman" w:cs="Tahoma"/>
                <w:sz w:val="22"/>
                <w:szCs w:val="22"/>
                <w:lang w:val="en-AU"/>
              </w:rPr>
              <w:t> </w:t>
            </w:r>
            <w:r w:rsidR="00B3127B" w:rsidRPr="004360BF">
              <w:rPr>
                <w:rFonts w:eastAsia="Times New Roman" w:cs="Tahoma"/>
                <w:sz w:val="22"/>
                <w:szCs w:val="22"/>
                <w:lang w:val="en-AU"/>
              </w:rPr>
              <w:t>0.0%</w:t>
            </w:r>
          </w:p>
        </w:tc>
        <w:tc>
          <w:tcPr>
            <w:tcW w:w="0" w:type="auto"/>
            <w:tcBorders>
              <w:top w:val="single" w:sz="4" w:space="0" w:color="auto"/>
              <w:left w:val="single" w:sz="4" w:space="0" w:color="auto"/>
              <w:bottom w:val="single" w:sz="4" w:space="0" w:color="auto"/>
              <w:right w:val="single" w:sz="4" w:space="0" w:color="auto"/>
            </w:tcBorders>
            <w:vAlign w:val="bottom"/>
          </w:tcPr>
          <w:p w14:paraId="25186758" w14:textId="77777777" w:rsidR="00983E11" w:rsidRPr="004360BF" w:rsidRDefault="0050740F" w:rsidP="00F106D9">
            <w:pPr>
              <w:keepNext/>
              <w:tabs>
                <w:tab w:val="decimal" w:pos="961"/>
              </w:tabs>
              <w:spacing w:before="40" w:after="40"/>
              <w:rPr>
                <w:sz w:val="22"/>
                <w:szCs w:val="22"/>
                <w:lang w:val="en-AU"/>
              </w:rPr>
            </w:pPr>
            <w:r w:rsidRPr="004360BF">
              <w:rPr>
                <w:rFonts w:eastAsia="Times New Roman" w:cs="Tahoma"/>
                <w:sz w:val="22"/>
                <w:szCs w:val="22"/>
                <w:lang w:val="en-AU"/>
              </w:rPr>
              <w:t>40</w:t>
            </w:r>
            <w:r w:rsidR="00983E11" w:rsidRPr="004360BF">
              <w:rPr>
                <w:rFonts w:eastAsia="Times New Roman" w:cs="Tahoma"/>
                <w:sz w:val="22"/>
                <w:szCs w:val="22"/>
                <w:lang w:val="en-AU"/>
              </w:rPr>
              <w:t>.0%</w:t>
            </w:r>
          </w:p>
        </w:tc>
        <w:tc>
          <w:tcPr>
            <w:tcW w:w="0" w:type="auto"/>
            <w:tcBorders>
              <w:top w:val="single" w:sz="4" w:space="0" w:color="auto"/>
              <w:left w:val="single" w:sz="4" w:space="0" w:color="auto"/>
              <w:bottom w:val="single" w:sz="4" w:space="0" w:color="auto"/>
              <w:right w:val="single" w:sz="4" w:space="0" w:color="auto"/>
            </w:tcBorders>
            <w:vAlign w:val="bottom"/>
          </w:tcPr>
          <w:p w14:paraId="344158EF" w14:textId="77777777" w:rsidR="00983E11" w:rsidRPr="004360BF" w:rsidRDefault="00983E11" w:rsidP="00F106D9">
            <w:pPr>
              <w:keepNext/>
              <w:tabs>
                <w:tab w:val="decimal" w:pos="949"/>
              </w:tabs>
              <w:spacing w:before="40" w:after="40"/>
              <w:rPr>
                <w:sz w:val="22"/>
                <w:szCs w:val="22"/>
                <w:lang w:val="en-AU"/>
              </w:rPr>
            </w:pPr>
            <w:r w:rsidRPr="004360BF">
              <w:rPr>
                <w:rFonts w:eastAsia="Times New Roman" w:cs="Tahoma"/>
                <w:sz w:val="22"/>
                <w:szCs w:val="22"/>
                <w:lang w:val="en-AU"/>
              </w:rPr>
              <w:t>90.0%</w:t>
            </w:r>
          </w:p>
        </w:tc>
      </w:tr>
      <w:tr w:rsidR="003061BC" w:rsidRPr="004360BF" w14:paraId="3E836701"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23953714"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Metering</w:t>
            </w:r>
          </w:p>
        </w:tc>
        <w:tc>
          <w:tcPr>
            <w:tcW w:w="0" w:type="auto"/>
            <w:tcBorders>
              <w:top w:val="single" w:sz="4" w:space="0" w:color="auto"/>
              <w:left w:val="single" w:sz="4" w:space="0" w:color="auto"/>
              <w:bottom w:val="single" w:sz="4" w:space="0" w:color="auto"/>
              <w:right w:val="single" w:sz="4" w:space="0" w:color="auto"/>
            </w:tcBorders>
            <w:vAlign w:val="bottom"/>
          </w:tcPr>
          <w:p w14:paraId="2E6EB037" w14:textId="77777777" w:rsidR="00983E11" w:rsidRPr="004360BF" w:rsidRDefault="00696BBE" w:rsidP="00F106D9">
            <w:pPr>
              <w:keepNext/>
              <w:tabs>
                <w:tab w:val="decimal" w:pos="1115"/>
              </w:tabs>
              <w:spacing w:before="40" w:after="40"/>
              <w:rPr>
                <w:sz w:val="22"/>
                <w:szCs w:val="22"/>
                <w:lang w:val="en-AU"/>
              </w:rPr>
            </w:pPr>
            <w:r w:rsidRPr="004360BF">
              <w:rPr>
                <w:rFonts w:eastAsia="Times New Roman" w:cs="Tahoma"/>
                <w:sz w:val="22"/>
                <w:szCs w:val="22"/>
                <w:lang w:val="en-AU"/>
              </w:rPr>
              <w:t>0.3%</w:t>
            </w:r>
          </w:p>
        </w:tc>
        <w:tc>
          <w:tcPr>
            <w:tcW w:w="0" w:type="auto"/>
            <w:tcBorders>
              <w:top w:val="single" w:sz="4" w:space="0" w:color="auto"/>
              <w:left w:val="single" w:sz="4" w:space="0" w:color="auto"/>
              <w:bottom w:val="single" w:sz="4" w:space="0" w:color="auto"/>
              <w:right w:val="single" w:sz="4" w:space="0" w:color="auto"/>
            </w:tcBorders>
            <w:vAlign w:val="bottom"/>
          </w:tcPr>
          <w:p w14:paraId="676AFF6D" w14:textId="77777777" w:rsidR="00983E11" w:rsidRPr="004360BF" w:rsidRDefault="00983E11" w:rsidP="00696BBE">
            <w:pPr>
              <w:keepNext/>
              <w:tabs>
                <w:tab w:val="decimal" w:pos="961"/>
              </w:tabs>
              <w:spacing w:before="40" w:after="40"/>
              <w:rPr>
                <w:sz w:val="22"/>
                <w:szCs w:val="22"/>
                <w:lang w:val="en-AU"/>
              </w:rPr>
            </w:pPr>
            <w:r w:rsidRPr="004360BF">
              <w:rPr>
                <w:rFonts w:eastAsia="Times New Roman" w:cs="Tahoma"/>
                <w:sz w:val="22"/>
                <w:szCs w:val="22"/>
                <w:lang w:val="en-AU"/>
              </w:rPr>
              <w:t>1</w:t>
            </w:r>
            <w:r w:rsidR="00696BBE" w:rsidRPr="004360BF">
              <w:rPr>
                <w:rFonts w:eastAsia="Times New Roman" w:cs="Tahoma"/>
                <w:sz w:val="22"/>
                <w:szCs w:val="22"/>
                <w:lang w:val="en-AU"/>
              </w:rPr>
              <w:t>6.3</w:t>
            </w:r>
            <w:r w:rsidRPr="004360BF">
              <w:rPr>
                <w:rFonts w:eastAsia="Times New Roman" w:cs="Tahoma"/>
                <w:sz w:val="22"/>
                <w:szCs w:val="22"/>
                <w:lang w:val="en-AU"/>
              </w:rPr>
              <w:t>%</w:t>
            </w:r>
          </w:p>
        </w:tc>
        <w:tc>
          <w:tcPr>
            <w:tcW w:w="0" w:type="auto"/>
            <w:tcBorders>
              <w:top w:val="single" w:sz="4" w:space="0" w:color="auto"/>
              <w:left w:val="single" w:sz="4" w:space="0" w:color="auto"/>
              <w:bottom w:val="single" w:sz="4" w:space="0" w:color="auto"/>
              <w:right w:val="single" w:sz="4" w:space="0" w:color="auto"/>
            </w:tcBorders>
            <w:vAlign w:val="bottom"/>
          </w:tcPr>
          <w:p w14:paraId="0ED5E373" w14:textId="77777777" w:rsidR="00983E11" w:rsidRPr="004360BF" w:rsidRDefault="00983E11" w:rsidP="00696BBE">
            <w:pPr>
              <w:keepNext/>
              <w:tabs>
                <w:tab w:val="decimal" w:pos="949"/>
              </w:tabs>
              <w:spacing w:before="40" w:after="40"/>
              <w:rPr>
                <w:sz w:val="22"/>
                <w:szCs w:val="22"/>
                <w:lang w:val="en-AU"/>
              </w:rPr>
            </w:pPr>
            <w:r w:rsidRPr="004360BF">
              <w:rPr>
                <w:rFonts w:eastAsia="Times New Roman" w:cs="Tahoma"/>
                <w:sz w:val="22"/>
                <w:szCs w:val="22"/>
                <w:lang w:val="en-AU"/>
              </w:rPr>
              <w:t>8</w:t>
            </w:r>
            <w:r w:rsidR="00696BBE" w:rsidRPr="004360BF">
              <w:rPr>
                <w:rFonts w:eastAsia="Times New Roman" w:cs="Tahoma"/>
                <w:sz w:val="22"/>
                <w:szCs w:val="22"/>
                <w:lang w:val="en-AU"/>
              </w:rPr>
              <w:t>3.5</w:t>
            </w:r>
            <w:r w:rsidRPr="004360BF">
              <w:rPr>
                <w:rFonts w:eastAsia="Times New Roman" w:cs="Tahoma"/>
                <w:sz w:val="22"/>
                <w:szCs w:val="22"/>
                <w:lang w:val="en-AU"/>
              </w:rPr>
              <w:t>%</w:t>
            </w:r>
          </w:p>
        </w:tc>
      </w:tr>
      <w:tr w:rsidR="003061BC" w:rsidRPr="004360BF" w14:paraId="1145F83F" w14:textId="77777777" w:rsidTr="00F106D9">
        <w:tc>
          <w:tcPr>
            <w:tcW w:w="0" w:type="auto"/>
            <w:tcBorders>
              <w:top w:val="single" w:sz="4" w:space="0" w:color="auto"/>
              <w:left w:val="single" w:sz="4" w:space="0" w:color="auto"/>
              <w:bottom w:val="single" w:sz="4" w:space="0" w:color="auto"/>
              <w:right w:val="single" w:sz="4" w:space="0" w:color="auto"/>
            </w:tcBorders>
            <w:vAlign w:val="bottom"/>
          </w:tcPr>
          <w:p w14:paraId="52135BFE" w14:textId="77777777" w:rsidR="00983E11" w:rsidRPr="004360BF" w:rsidRDefault="00983E11" w:rsidP="00F106D9">
            <w:pPr>
              <w:keepNext/>
              <w:spacing w:before="40" w:after="40"/>
              <w:rPr>
                <w:sz w:val="22"/>
                <w:szCs w:val="22"/>
                <w:lang w:val="en-AU"/>
              </w:rPr>
            </w:pPr>
            <w:r w:rsidRPr="004360BF">
              <w:rPr>
                <w:rFonts w:eastAsia="Times New Roman" w:cs="Tahoma"/>
                <w:sz w:val="22"/>
                <w:szCs w:val="22"/>
                <w:lang w:val="en-AU"/>
              </w:rPr>
              <w:t>Common service costs</w:t>
            </w:r>
          </w:p>
        </w:tc>
        <w:tc>
          <w:tcPr>
            <w:tcW w:w="0" w:type="auto"/>
            <w:tcBorders>
              <w:top w:val="single" w:sz="4" w:space="0" w:color="auto"/>
              <w:left w:val="single" w:sz="4" w:space="0" w:color="auto"/>
              <w:bottom w:val="single" w:sz="4" w:space="0" w:color="auto"/>
              <w:right w:val="single" w:sz="4" w:space="0" w:color="auto"/>
            </w:tcBorders>
            <w:vAlign w:val="bottom"/>
          </w:tcPr>
          <w:p w14:paraId="4BBCF5D1" w14:textId="77777777" w:rsidR="00983E11" w:rsidRPr="004360BF" w:rsidRDefault="00983E11" w:rsidP="00F106D9">
            <w:pPr>
              <w:keepNext/>
              <w:tabs>
                <w:tab w:val="decimal" w:pos="1115"/>
              </w:tabs>
              <w:spacing w:before="40" w:after="40"/>
              <w:rPr>
                <w:sz w:val="22"/>
                <w:szCs w:val="22"/>
                <w:lang w:val="en-AU"/>
              </w:rPr>
            </w:pPr>
            <w:r w:rsidRPr="004360BF">
              <w:rPr>
                <w:rFonts w:eastAsia="Times New Roman" w:cs="Tahoma"/>
                <w:sz w:val="22"/>
                <w:szCs w:val="22"/>
                <w:lang w:val="en-AU"/>
              </w:rPr>
              <w:t>100.0%</w:t>
            </w:r>
          </w:p>
        </w:tc>
        <w:tc>
          <w:tcPr>
            <w:tcW w:w="0" w:type="auto"/>
            <w:tcBorders>
              <w:top w:val="single" w:sz="4" w:space="0" w:color="auto"/>
              <w:left w:val="single" w:sz="4" w:space="0" w:color="auto"/>
              <w:bottom w:val="single" w:sz="4" w:space="0" w:color="auto"/>
              <w:right w:val="single" w:sz="4" w:space="0" w:color="auto"/>
            </w:tcBorders>
            <w:vAlign w:val="bottom"/>
          </w:tcPr>
          <w:p w14:paraId="2B2F24E6" w14:textId="77777777" w:rsidR="00983E11" w:rsidRPr="004360BF" w:rsidRDefault="00983E11" w:rsidP="00F106D9">
            <w:pPr>
              <w:keepNext/>
              <w:tabs>
                <w:tab w:val="decimal" w:pos="961"/>
              </w:tabs>
              <w:spacing w:before="40" w:after="40"/>
              <w:rPr>
                <w:sz w:val="22"/>
                <w:szCs w:val="22"/>
                <w:lang w:val="en-AU"/>
              </w:rPr>
            </w:pPr>
            <w:r w:rsidRPr="004360BF">
              <w:rPr>
                <w:rFonts w:eastAsia="Times New Roman" w:cs="Tahoma"/>
                <w:sz w:val="22"/>
                <w:szCs w:val="22"/>
                <w:lang w:val="en-AU"/>
              </w:rPr>
              <w:t>100.0%</w:t>
            </w:r>
          </w:p>
        </w:tc>
        <w:tc>
          <w:tcPr>
            <w:tcW w:w="0" w:type="auto"/>
            <w:tcBorders>
              <w:top w:val="single" w:sz="4" w:space="0" w:color="auto"/>
              <w:left w:val="single" w:sz="4" w:space="0" w:color="auto"/>
              <w:bottom w:val="single" w:sz="4" w:space="0" w:color="auto"/>
              <w:right w:val="single" w:sz="4" w:space="0" w:color="auto"/>
            </w:tcBorders>
            <w:vAlign w:val="bottom"/>
          </w:tcPr>
          <w:p w14:paraId="4AA75A74" w14:textId="77777777" w:rsidR="00983E11" w:rsidRPr="004360BF" w:rsidRDefault="00983E11" w:rsidP="00F106D9">
            <w:pPr>
              <w:keepNext/>
              <w:tabs>
                <w:tab w:val="decimal" w:pos="949"/>
              </w:tabs>
              <w:spacing w:before="40" w:after="40"/>
              <w:rPr>
                <w:sz w:val="22"/>
                <w:szCs w:val="22"/>
                <w:lang w:val="en-AU"/>
              </w:rPr>
            </w:pPr>
            <w:r w:rsidRPr="004360BF">
              <w:rPr>
                <w:rFonts w:eastAsia="Times New Roman" w:cs="Tahoma"/>
                <w:sz w:val="22"/>
                <w:szCs w:val="22"/>
                <w:lang w:val="en-AU"/>
              </w:rPr>
              <w:t>100.0%</w:t>
            </w:r>
          </w:p>
        </w:tc>
      </w:tr>
    </w:tbl>
    <w:p w14:paraId="44515623" w14:textId="77777777" w:rsidR="00983E11" w:rsidRPr="004360BF" w:rsidRDefault="00983E11" w:rsidP="00983E11">
      <w:pPr>
        <w:spacing w:after="0"/>
        <w:rPr>
          <w:lang w:val="en-AU"/>
        </w:rPr>
      </w:pPr>
    </w:p>
    <w:p w14:paraId="7F6260F7" w14:textId="28ABA29C" w:rsidR="00983E11" w:rsidRPr="004360BF" w:rsidRDefault="00983E11" w:rsidP="00603EFF">
      <w:pPr>
        <w:rPr>
          <w:lang w:val="en-AU"/>
        </w:rPr>
      </w:pPr>
      <w:r w:rsidRPr="004360BF">
        <w:rPr>
          <w:lang w:val="en-AU"/>
        </w:rPr>
        <w:lastRenderedPageBreak/>
        <w:t xml:space="preserve">The costs in </w:t>
      </w:r>
      <w:r w:rsidR="00EE7AA1" w:rsidRPr="004360BF">
        <w:rPr>
          <w:lang w:val="en-AU"/>
        </w:rPr>
        <w:fldChar w:fldCharType="begin"/>
      </w:r>
      <w:r w:rsidR="00EE7AA1" w:rsidRPr="004360BF">
        <w:rPr>
          <w:lang w:val="en-AU"/>
        </w:rPr>
        <w:instrText xml:space="preserve"> REF _Ref235188128 \h </w:instrText>
      </w:r>
      <w:r w:rsidR="00EE7AA1" w:rsidRPr="004360BF">
        <w:rPr>
          <w:lang w:val="en-AU"/>
        </w:rPr>
      </w:r>
      <w:r w:rsidR="00EE7AA1" w:rsidRPr="004360BF">
        <w:rPr>
          <w:lang w:val="en-AU"/>
        </w:rPr>
        <w:fldChar w:fldCharType="separate"/>
      </w:r>
      <w:r w:rsidR="008D3215" w:rsidRPr="004360BF">
        <w:rPr>
          <w:lang w:val="en-AU"/>
        </w:rPr>
        <w:t xml:space="preserve">Table </w:t>
      </w:r>
      <w:r w:rsidR="008D3215">
        <w:rPr>
          <w:noProof/>
          <w:lang w:val="en-AU"/>
        </w:rPr>
        <w:t>24</w:t>
      </w:r>
      <w:r w:rsidR="00EE7AA1" w:rsidRPr="004360BF">
        <w:rPr>
          <w:lang w:val="en-AU"/>
        </w:rPr>
        <w:fldChar w:fldCharType="end"/>
      </w:r>
      <w:r w:rsidR="00EE7AA1" w:rsidRPr="004360BF">
        <w:rPr>
          <w:lang w:val="en-AU"/>
        </w:rPr>
        <w:t xml:space="preserve"> </w:t>
      </w:r>
      <w:r w:rsidRPr="004360BF">
        <w:rPr>
          <w:lang w:val="en-AU"/>
        </w:rPr>
        <w:t>have been derived by consideration of the planning and capacity implications for the network.</w:t>
      </w:r>
      <w:r w:rsidR="00CC6CF8" w:rsidRPr="004360BF">
        <w:rPr>
          <w:lang w:val="en-AU"/>
        </w:rPr>
        <w:t xml:space="preserve"> </w:t>
      </w:r>
      <w:r w:rsidRPr="004360BF">
        <w:rPr>
          <w:lang w:val="en-AU"/>
        </w:rPr>
        <w:t>For example, in the case of the HV network, only 10</w:t>
      </w:r>
      <w:r w:rsidR="00B3127B" w:rsidRPr="004360BF">
        <w:rPr>
          <w:lang w:val="en-AU"/>
        </w:rPr>
        <w:t> per cent</w:t>
      </w:r>
      <w:r w:rsidRPr="004360BF">
        <w:rPr>
          <w:lang w:val="en-AU"/>
        </w:rPr>
        <w:t xml:space="preserve"> is utilised for the supply of </w:t>
      </w:r>
      <w:r w:rsidR="00F97A58" w:rsidRPr="004360BF">
        <w:rPr>
          <w:lang w:val="en-AU"/>
        </w:rPr>
        <w:t xml:space="preserve">customers in the </w:t>
      </w:r>
      <w:r w:rsidR="00B3127B" w:rsidRPr="004360BF">
        <w:rPr>
          <w:lang w:val="en-AU"/>
        </w:rPr>
        <w:t xml:space="preserve">Commercial </w:t>
      </w:r>
      <w:r w:rsidRPr="004360BF">
        <w:rPr>
          <w:lang w:val="en-AU"/>
        </w:rPr>
        <w:t xml:space="preserve">HV </w:t>
      </w:r>
      <w:r w:rsidR="00F97A58" w:rsidRPr="004360BF">
        <w:rPr>
          <w:lang w:val="en-AU"/>
        </w:rPr>
        <w:t xml:space="preserve">tariff class </w:t>
      </w:r>
      <w:r w:rsidRPr="004360BF">
        <w:rPr>
          <w:lang w:val="en-AU"/>
        </w:rPr>
        <w:t xml:space="preserve">and would need to be retained if that </w:t>
      </w:r>
      <w:r w:rsidR="00F97A58" w:rsidRPr="004360BF">
        <w:rPr>
          <w:lang w:val="en-AU"/>
        </w:rPr>
        <w:t xml:space="preserve">tariff </w:t>
      </w:r>
      <w:r w:rsidRPr="004360BF">
        <w:rPr>
          <w:lang w:val="en-AU"/>
        </w:rPr>
        <w:t>class alone remained connected to the network.</w:t>
      </w:r>
      <w:r w:rsidR="00CC6CF8" w:rsidRPr="004360BF">
        <w:rPr>
          <w:lang w:val="en-AU"/>
        </w:rPr>
        <w:t xml:space="preserve"> </w:t>
      </w:r>
    </w:p>
    <w:p w14:paraId="7C2EE547" w14:textId="77777777" w:rsidR="00983E11" w:rsidRPr="004360BF" w:rsidRDefault="00983E11" w:rsidP="00EE7AA1">
      <w:pPr>
        <w:pStyle w:val="Heading3"/>
        <w:numPr>
          <w:ilvl w:val="0"/>
          <w:numId w:val="0"/>
        </w:numPr>
      </w:pPr>
      <w:bookmarkStart w:id="529" w:name="_Ref258684599"/>
      <w:bookmarkStart w:id="530" w:name="_Toc417291794"/>
      <w:bookmarkStart w:id="531" w:name="_Toc417292562"/>
      <w:bookmarkStart w:id="532" w:name="_Toc291262280"/>
      <w:r w:rsidRPr="004360BF">
        <w:t>A</w:t>
      </w:r>
      <w:r w:rsidR="00A14042" w:rsidRPr="004360BF">
        <w:t>2</w:t>
      </w:r>
      <w:r w:rsidR="00897576" w:rsidRPr="004360BF">
        <w:t>.6</w:t>
      </w:r>
      <w:r w:rsidRPr="004360BF">
        <w:tab/>
        <w:t>Long run marginal cost</w:t>
      </w:r>
      <w:bookmarkEnd w:id="529"/>
      <w:bookmarkEnd w:id="530"/>
      <w:bookmarkEnd w:id="531"/>
      <w:bookmarkEnd w:id="532"/>
    </w:p>
    <w:p w14:paraId="2E1ED73F" w14:textId="77777777" w:rsidR="00983E11" w:rsidRPr="004360BF" w:rsidRDefault="007453C0" w:rsidP="00603EFF">
      <w:pPr>
        <w:pStyle w:val="Dottop"/>
        <w:rPr>
          <w:lang w:val="en-AU"/>
        </w:rPr>
      </w:pPr>
      <w:r w:rsidRPr="004360BF">
        <w:rPr>
          <w:lang w:val="en-AU"/>
        </w:rPr>
        <w:t>T</w:t>
      </w:r>
      <w:r w:rsidR="00FF34F3" w:rsidRPr="004360BF">
        <w:rPr>
          <w:lang w:val="en-AU"/>
        </w:rPr>
        <w:t xml:space="preserve">he LRMC for the network </w:t>
      </w:r>
      <w:r w:rsidRPr="004360BF">
        <w:rPr>
          <w:lang w:val="en-AU"/>
        </w:rPr>
        <w:t xml:space="preserve">has been calculated </w:t>
      </w:r>
      <w:r w:rsidR="00FF34F3" w:rsidRPr="004360BF">
        <w:rPr>
          <w:lang w:val="en-AU"/>
        </w:rPr>
        <w:t>using an Average Incremental Cost approach.</w:t>
      </w:r>
      <w:r w:rsidR="00CC6CF8" w:rsidRPr="004360BF">
        <w:rPr>
          <w:lang w:val="en-AU"/>
        </w:rPr>
        <w:t xml:space="preserve"> </w:t>
      </w:r>
      <w:r w:rsidR="00FF34F3" w:rsidRPr="004360BF">
        <w:rPr>
          <w:lang w:val="en-AU"/>
        </w:rPr>
        <w:t xml:space="preserve">The inputs to this calculation are </w:t>
      </w:r>
      <w:r w:rsidR="00983E11" w:rsidRPr="004360BF">
        <w:rPr>
          <w:lang w:val="en-AU"/>
        </w:rPr>
        <w:t>the following components:</w:t>
      </w:r>
    </w:p>
    <w:p w14:paraId="70344880" w14:textId="77777777" w:rsidR="00983E11" w:rsidRPr="004360BF" w:rsidRDefault="00983E11" w:rsidP="00603EFF">
      <w:pPr>
        <w:pStyle w:val="Dot"/>
        <w:rPr>
          <w:lang w:val="en-AU"/>
        </w:rPr>
      </w:pPr>
      <w:r w:rsidRPr="004360BF">
        <w:rPr>
          <w:lang w:val="en-AU"/>
        </w:rPr>
        <w:t xml:space="preserve">Network </w:t>
      </w:r>
      <w:r w:rsidR="003061BC" w:rsidRPr="004360BF">
        <w:rPr>
          <w:lang w:val="en-AU"/>
        </w:rPr>
        <w:t xml:space="preserve">demand </w:t>
      </w:r>
      <w:r w:rsidRPr="004360BF">
        <w:rPr>
          <w:lang w:val="en-AU"/>
        </w:rPr>
        <w:t>related costs.</w:t>
      </w:r>
      <w:r w:rsidR="00CC6CF8" w:rsidRPr="004360BF">
        <w:rPr>
          <w:lang w:val="en-AU"/>
        </w:rPr>
        <w:t xml:space="preserve"> </w:t>
      </w:r>
      <w:r w:rsidRPr="004360BF">
        <w:rPr>
          <w:lang w:val="en-AU"/>
        </w:rPr>
        <w:t xml:space="preserve">This is a subset of the </w:t>
      </w:r>
      <w:r w:rsidR="00FF34F3" w:rsidRPr="004360BF">
        <w:rPr>
          <w:lang w:val="en-AU"/>
        </w:rPr>
        <w:t>capital expenditure approved by the Commission</w:t>
      </w:r>
      <w:r w:rsidR="003061BC" w:rsidRPr="004360BF">
        <w:rPr>
          <w:lang w:val="en-AU"/>
        </w:rPr>
        <w:t xml:space="preserve"> in the 2014 NPD Final Determination</w:t>
      </w:r>
      <w:r w:rsidRPr="004360BF">
        <w:rPr>
          <w:lang w:val="en-AU"/>
        </w:rPr>
        <w:t>.</w:t>
      </w:r>
      <w:r w:rsidR="00CC6CF8" w:rsidRPr="004360BF">
        <w:rPr>
          <w:lang w:val="en-AU"/>
        </w:rPr>
        <w:t xml:space="preserve"> </w:t>
      </w:r>
      <w:r w:rsidRPr="004360BF">
        <w:rPr>
          <w:lang w:val="en-AU"/>
        </w:rPr>
        <w:t xml:space="preserve">Capital </w:t>
      </w:r>
      <w:r w:rsidR="00093A8E" w:rsidRPr="004360BF">
        <w:rPr>
          <w:lang w:val="en-AU"/>
        </w:rPr>
        <w:t>expenditure</w:t>
      </w:r>
      <w:r w:rsidRPr="004360BF">
        <w:rPr>
          <w:lang w:val="en-AU"/>
        </w:rPr>
        <w:t xml:space="preserve"> associated with new connections and demand growth fall into the category of </w:t>
      </w:r>
      <w:r w:rsidR="00256A5E" w:rsidRPr="004360BF">
        <w:rPr>
          <w:lang w:val="en-AU"/>
        </w:rPr>
        <w:t>‘</w:t>
      </w:r>
      <w:r w:rsidR="003061BC" w:rsidRPr="004360BF">
        <w:rPr>
          <w:lang w:val="en-AU"/>
        </w:rPr>
        <w:t xml:space="preserve">demand </w:t>
      </w:r>
      <w:r w:rsidRPr="004360BF">
        <w:rPr>
          <w:lang w:val="en-AU"/>
        </w:rPr>
        <w:t>related</w:t>
      </w:r>
      <w:r w:rsidR="00256A5E" w:rsidRPr="004360BF">
        <w:rPr>
          <w:lang w:val="en-AU"/>
        </w:rPr>
        <w:t>’, plus an allowance for incremental operating and maintenance expenditure</w:t>
      </w:r>
      <w:r w:rsidRPr="004360BF">
        <w:rPr>
          <w:lang w:val="en-AU"/>
        </w:rPr>
        <w:t>.</w:t>
      </w:r>
      <w:r w:rsidR="00CC6CF8" w:rsidRPr="004360BF">
        <w:rPr>
          <w:lang w:val="en-AU"/>
        </w:rPr>
        <w:t xml:space="preserve"> </w:t>
      </w:r>
      <w:r w:rsidRPr="004360BF">
        <w:rPr>
          <w:lang w:val="en-AU"/>
        </w:rPr>
        <w:t>This forecast is extrapolated over a period of 10 years</w:t>
      </w:r>
      <w:r w:rsidR="00FF34F3" w:rsidRPr="004360BF">
        <w:rPr>
          <w:lang w:val="en-AU"/>
        </w:rPr>
        <w:t>, which is still relatively short for a long run calculation</w:t>
      </w:r>
      <w:r w:rsidR="000718EB" w:rsidRPr="004360BF">
        <w:rPr>
          <w:lang w:val="en-AU"/>
        </w:rPr>
        <w:t>; and</w:t>
      </w:r>
    </w:p>
    <w:p w14:paraId="20CE54AE" w14:textId="77777777" w:rsidR="00983E11" w:rsidRPr="004360BF" w:rsidRDefault="00983E11" w:rsidP="00603EFF">
      <w:pPr>
        <w:pStyle w:val="Dotbot"/>
        <w:rPr>
          <w:lang w:val="en-AU"/>
        </w:rPr>
      </w:pPr>
      <w:r w:rsidRPr="004360BF">
        <w:rPr>
          <w:lang w:val="en-AU"/>
        </w:rPr>
        <w:t xml:space="preserve">The demand (in kVA) for the respective </w:t>
      </w:r>
      <w:r w:rsidR="00263D11" w:rsidRPr="004360BF">
        <w:rPr>
          <w:lang w:val="en-AU"/>
        </w:rPr>
        <w:t>tariff classes</w:t>
      </w:r>
      <w:r w:rsidRPr="004360BF">
        <w:rPr>
          <w:lang w:val="en-AU"/>
        </w:rPr>
        <w:t>, forecast over the same period as the cap</w:t>
      </w:r>
      <w:r w:rsidR="003061BC" w:rsidRPr="004360BF">
        <w:rPr>
          <w:lang w:val="en-AU"/>
        </w:rPr>
        <w:t>ital expenditure</w:t>
      </w:r>
      <w:r w:rsidRPr="004360BF">
        <w:rPr>
          <w:lang w:val="en-AU"/>
        </w:rPr>
        <w:t>.</w:t>
      </w:r>
    </w:p>
    <w:p w14:paraId="26936C8E" w14:textId="77777777" w:rsidR="00983E11" w:rsidRPr="004360BF" w:rsidRDefault="00FF34F3" w:rsidP="00603EFF">
      <w:pPr>
        <w:rPr>
          <w:lang w:val="en-AU"/>
        </w:rPr>
      </w:pPr>
      <w:r w:rsidRPr="004360BF">
        <w:rPr>
          <w:lang w:val="en-AU"/>
        </w:rPr>
        <w:t xml:space="preserve">Because of the limited forecast period used in this approach, and the cyclical nature of network growth, Power Networks is concerned that the resulting LRMC values </w:t>
      </w:r>
      <w:r w:rsidR="00983E11" w:rsidRPr="004360BF">
        <w:rPr>
          <w:lang w:val="en-AU"/>
        </w:rPr>
        <w:t>underestimate the marginal cost per kVA of connecting load.</w:t>
      </w:r>
      <w:r w:rsidR="00CC6CF8" w:rsidRPr="004360BF">
        <w:rPr>
          <w:lang w:val="en-AU"/>
        </w:rPr>
        <w:t xml:space="preserve"> </w:t>
      </w:r>
      <w:r w:rsidR="005D67CB" w:rsidRPr="004360BF">
        <w:rPr>
          <w:lang w:val="en-AU"/>
        </w:rPr>
        <w:t>They are based on the Commission’s approved five-year expenditure extrapolated a further 5 years</w:t>
      </w:r>
      <w:r w:rsidR="00983E11" w:rsidRPr="004360BF">
        <w:rPr>
          <w:lang w:val="en-AU"/>
        </w:rPr>
        <w:t>, whereas a longer term forecast would be preferred.</w:t>
      </w:r>
      <w:r w:rsidR="00CC6CF8" w:rsidRPr="004360BF">
        <w:rPr>
          <w:lang w:val="en-AU"/>
        </w:rPr>
        <w:t xml:space="preserve"> </w:t>
      </w:r>
      <w:r w:rsidR="00983E11" w:rsidRPr="004360BF">
        <w:rPr>
          <w:lang w:val="en-AU"/>
        </w:rPr>
        <w:t xml:space="preserve">In addition, Power Networks’ substantial construction program during the 2009-14 regulatory control </w:t>
      </w:r>
      <w:proofErr w:type="gramStart"/>
      <w:r w:rsidR="00983E11" w:rsidRPr="004360BF">
        <w:rPr>
          <w:lang w:val="en-AU"/>
        </w:rPr>
        <w:t>period</w:t>
      </w:r>
      <w:proofErr w:type="gramEnd"/>
      <w:r w:rsidR="00983E11" w:rsidRPr="004360BF">
        <w:rPr>
          <w:lang w:val="en-AU"/>
        </w:rPr>
        <w:t xml:space="preserve"> has displaced a portion of the </w:t>
      </w:r>
      <w:r w:rsidR="003061BC" w:rsidRPr="004360BF">
        <w:rPr>
          <w:lang w:val="en-AU"/>
        </w:rPr>
        <w:t xml:space="preserve">demand </w:t>
      </w:r>
      <w:r w:rsidR="00983E11" w:rsidRPr="004360BF">
        <w:rPr>
          <w:lang w:val="en-AU"/>
        </w:rPr>
        <w:t>related cap</w:t>
      </w:r>
      <w:r w:rsidR="003061BC" w:rsidRPr="004360BF">
        <w:rPr>
          <w:lang w:val="en-AU"/>
        </w:rPr>
        <w:t>ital expenditure</w:t>
      </w:r>
      <w:r w:rsidR="00983E11" w:rsidRPr="004360BF">
        <w:rPr>
          <w:lang w:val="en-AU"/>
        </w:rPr>
        <w:t xml:space="preserve"> that might otherwise have been required</w:t>
      </w:r>
      <w:r w:rsidRPr="004360BF">
        <w:rPr>
          <w:lang w:val="en-AU"/>
        </w:rPr>
        <w:t xml:space="preserve"> during the </w:t>
      </w:r>
      <w:r w:rsidR="00FC347A" w:rsidRPr="004360BF">
        <w:rPr>
          <w:lang w:val="en-AU"/>
        </w:rPr>
        <w:t xml:space="preserve">2014-19 </w:t>
      </w:r>
      <w:r w:rsidRPr="004360BF">
        <w:rPr>
          <w:lang w:val="en-AU"/>
        </w:rPr>
        <w:t>regulatory control period</w:t>
      </w:r>
      <w:r w:rsidR="00983E11" w:rsidRPr="004360BF">
        <w:rPr>
          <w:lang w:val="en-AU"/>
        </w:rPr>
        <w:t>.</w:t>
      </w:r>
    </w:p>
    <w:p w14:paraId="00B85929" w14:textId="77777777" w:rsidR="004D2F3A" w:rsidRPr="004360BF" w:rsidRDefault="00983E11" w:rsidP="00603EFF">
      <w:pPr>
        <w:rPr>
          <w:lang w:val="en-AU"/>
        </w:rPr>
      </w:pPr>
      <w:r w:rsidRPr="004360BF">
        <w:rPr>
          <w:lang w:val="en-AU"/>
        </w:rPr>
        <w:t>Power Networks intends to investigate an alternative approach by which a more robust estimate of the network LRMC may be made.</w:t>
      </w:r>
      <w:r w:rsidR="00CC6CF8" w:rsidRPr="004360BF">
        <w:rPr>
          <w:lang w:val="en-AU"/>
        </w:rPr>
        <w:t xml:space="preserve"> </w:t>
      </w:r>
      <w:r w:rsidRPr="004360BF">
        <w:rPr>
          <w:lang w:val="en-AU"/>
        </w:rPr>
        <w:t xml:space="preserve">The Energy Networks Association (UK) developed an approach termed the “500 MW model”, </w:t>
      </w:r>
      <w:r w:rsidR="004F1D7D" w:rsidRPr="004360BF">
        <w:rPr>
          <w:lang w:val="en-AU"/>
        </w:rPr>
        <w:t xml:space="preserve">based on the LRIC approach </w:t>
      </w:r>
      <w:r w:rsidR="00180B6E" w:rsidRPr="004360BF">
        <w:rPr>
          <w:lang w:val="en-AU"/>
        </w:rPr>
        <w:t>and</w:t>
      </w:r>
      <w:r w:rsidRPr="004360BF">
        <w:rPr>
          <w:lang w:val="en-AU"/>
        </w:rPr>
        <w:t xml:space="preserve"> has been in place for many years</w:t>
      </w:r>
      <w:r w:rsidRPr="004360BF">
        <w:rPr>
          <w:rStyle w:val="FootnoteReference"/>
          <w:lang w:val="en-AU"/>
        </w:rPr>
        <w:footnoteReference w:id="28"/>
      </w:r>
      <w:r w:rsidRPr="004360BF">
        <w:rPr>
          <w:lang w:val="en-AU"/>
        </w:rPr>
        <w:t>.</w:t>
      </w:r>
    </w:p>
    <w:bookmarkEnd w:id="502"/>
    <w:p w14:paraId="3B4117A4" w14:textId="77777777" w:rsidR="009874AC" w:rsidRPr="004360BF" w:rsidRDefault="009874AC" w:rsidP="001267A6">
      <w:pPr>
        <w:rPr>
          <w:lang w:val="en-AU"/>
        </w:rPr>
        <w:sectPr w:rsidR="009874AC" w:rsidRPr="004360BF" w:rsidSect="00CC3585">
          <w:type w:val="oddPage"/>
          <w:pgSz w:w="11906" w:h="16838"/>
          <w:pgMar w:top="1276" w:right="1440" w:bottom="1440" w:left="1440" w:header="709" w:footer="709" w:gutter="0"/>
          <w:pgNumType w:start="1"/>
          <w:cols w:space="708"/>
          <w:titlePg/>
          <w:docGrid w:linePitch="360"/>
        </w:sectPr>
      </w:pPr>
    </w:p>
    <w:p w14:paraId="4B34CCB0" w14:textId="77777777" w:rsidR="009874AC" w:rsidRPr="004360BF" w:rsidRDefault="009874AC" w:rsidP="00B30BF6">
      <w:pPr>
        <w:pStyle w:val="Heading1"/>
        <w:numPr>
          <w:ilvl w:val="0"/>
          <w:numId w:val="0"/>
        </w:numPr>
      </w:pPr>
      <w:bookmarkStart w:id="533" w:name="_Toc417291276"/>
      <w:bookmarkStart w:id="534" w:name="_Toc417291795"/>
      <w:bookmarkStart w:id="535" w:name="_Toc417292563"/>
      <w:bookmarkStart w:id="536" w:name="_Toc291262281"/>
      <w:bookmarkStart w:id="537" w:name="_Toc417458038"/>
      <w:bookmarkStart w:id="538" w:name="_Toc418608707"/>
      <w:r w:rsidRPr="004360BF">
        <w:lastRenderedPageBreak/>
        <w:t xml:space="preserve">Attachment </w:t>
      </w:r>
      <w:r w:rsidR="00A14042" w:rsidRPr="004360BF">
        <w:t>3</w:t>
      </w:r>
      <w:r w:rsidRPr="004360BF">
        <w:t xml:space="preserve"> – Tariffs for 201</w:t>
      </w:r>
      <w:r w:rsidR="00823AB1" w:rsidRPr="004360BF">
        <w:t>5</w:t>
      </w:r>
      <w:r w:rsidRPr="004360BF">
        <w:t>/1</w:t>
      </w:r>
      <w:r w:rsidR="00823AB1" w:rsidRPr="004360BF">
        <w:t>6</w:t>
      </w:r>
      <w:bookmarkEnd w:id="533"/>
      <w:bookmarkEnd w:id="534"/>
      <w:bookmarkEnd w:id="535"/>
      <w:bookmarkEnd w:id="536"/>
      <w:bookmarkEnd w:id="537"/>
      <w:bookmarkEnd w:id="538"/>
    </w:p>
    <w:p w14:paraId="439D66A3" w14:textId="77777777" w:rsidR="00620AC2" w:rsidRPr="004360BF" w:rsidRDefault="00897576" w:rsidP="00603EFF">
      <w:pPr>
        <w:pStyle w:val="Heading3"/>
        <w:numPr>
          <w:ilvl w:val="0"/>
          <w:numId w:val="0"/>
        </w:numPr>
      </w:pPr>
      <w:bookmarkStart w:id="539" w:name="_Toc417291796"/>
      <w:bookmarkStart w:id="540" w:name="_Toc417292564"/>
      <w:bookmarkStart w:id="541" w:name="_Toc291262282"/>
      <w:r w:rsidRPr="004360BF">
        <w:t>A</w:t>
      </w:r>
      <w:r w:rsidR="00A14042" w:rsidRPr="004360BF">
        <w:t>3</w:t>
      </w:r>
      <w:r w:rsidRPr="004360BF">
        <w:t xml:space="preserve">.1 </w:t>
      </w:r>
      <w:r w:rsidR="00620AC2" w:rsidRPr="004360BF">
        <w:t>201</w:t>
      </w:r>
      <w:r w:rsidR="00DA4EC1" w:rsidRPr="004360BF">
        <w:t>5</w:t>
      </w:r>
      <w:r w:rsidR="00823AB1" w:rsidRPr="004360BF">
        <w:t>/</w:t>
      </w:r>
      <w:r w:rsidR="00620AC2" w:rsidRPr="004360BF">
        <w:t>1</w:t>
      </w:r>
      <w:r w:rsidR="00DA4EC1" w:rsidRPr="004360BF">
        <w:t>6</w:t>
      </w:r>
      <w:r w:rsidR="00620AC2" w:rsidRPr="004360BF">
        <w:t xml:space="preserve"> tariffs excluding GST</w:t>
      </w:r>
      <w:bookmarkEnd w:id="539"/>
      <w:bookmarkEnd w:id="540"/>
      <w:bookmarkEnd w:id="541"/>
    </w:p>
    <w:p w14:paraId="630CE284" w14:textId="1B653298" w:rsidR="00E92A5B" w:rsidRPr="004360BF" w:rsidRDefault="008A11F4" w:rsidP="001267A6">
      <w:pPr>
        <w:rPr>
          <w:lang w:val="en-AU"/>
        </w:rPr>
      </w:pPr>
      <w:r w:rsidRPr="008A11F4">
        <w:rPr>
          <w:noProof/>
          <w:lang w:val="en-AU" w:eastAsia="en-AU"/>
        </w:rPr>
        <w:drawing>
          <wp:inline distT="0" distB="0" distL="0" distR="0" wp14:anchorId="5691018D" wp14:editId="09F90C6B">
            <wp:extent cx="5760085" cy="4772722"/>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085" cy="4772722"/>
                    </a:xfrm>
                    <a:prstGeom prst="rect">
                      <a:avLst/>
                    </a:prstGeom>
                    <a:noFill/>
                    <a:ln>
                      <a:noFill/>
                    </a:ln>
                  </pic:spPr>
                </pic:pic>
              </a:graphicData>
            </a:graphic>
          </wp:inline>
        </w:drawing>
      </w:r>
    </w:p>
    <w:p w14:paraId="005ADE1D" w14:textId="77777777" w:rsidR="00E92A5B" w:rsidRPr="004360BF" w:rsidRDefault="00E92A5B" w:rsidP="001267A6">
      <w:pPr>
        <w:rPr>
          <w:lang w:val="en-AU"/>
        </w:rPr>
      </w:pPr>
    </w:p>
    <w:p w14:paraId="3907B130" w14:textId="44F1CAE4" w:rsidR="00823AB1" w:rsidRPr="004360BF" w:rsidRDefault="008A11F4" w:rsidP="001267A6">
      <w:pPr>
        <w:rPr>
          <w:lang w:val="en-AU"/>
        </w:rPr>
      </w:pPr>
      <w:r w:rsidRPr="008A11F4">
        <w:rPr>
          <w:noProof/>
          <w:lang w:val="en-AU" w:eastAsia="en-AU"/>
        </w:rPr>
        <w:lastRenderedPageBreak/>
        <w:drawing>
          <wp:inline distT="0" distB="0" distL="0" distR="0" wp14:anchorId="426B6DFC" wp14:editId="6FADACA0">
            <wp:extent cx="5760085" cy="4899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85" cy="4899725"/>
                    </a:xfrm>
                    <a:prstGeom prst="rect">
                      <a:avLst/>
                    </a:prstGeom>
                    <a:noFill/>
                    <a:ln>
                      <a:noFill/>
                    </a:ln>
                  </pic:spPr>
                </pic:pic>
              </a:graphicData>
            </a:graphic>
          </wp:inline>
        </w:drawing>
      </w:r>
    </w:p>
    <w:p w14:paraId="7725502F" w14:textId="1452BB8D" w:rsidR="00823AB1" w:rsidRPr="004360BF" w:rsidRDefault="008A11F4" w:rsidP="00823AB1">
      <w:pPr>
        <w:rPr>
          <w:lang w:val="en-AU"/>
        </w:rPr>
      </w:pPr>
      <w:r w:rsidRPr="008A11F4">
        <w:rPr>
          <w:noProof/>
          <w:lang w:val="en-AU" w:eastAsia="en-AU"/>
        </w:rPr>
        <w:lastRenderedPageBreak/>
        <w:drawing>
          <wp:inline distT="0" distB="0" distL="0" distR="0" wp14:anchorId="148C4DF1" wp14:editId="50FCE9B3">
            <wp:extent cx="5760085" cy="4511411"/>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85" cy="4511411"/>
                    </a:xfrm>
                    <a:prstGeom prst="rect">
                      <a:avLst/>
                    </a:prstGeom>
                    <a:noFill/>
                    <a:ln>
                      <a:noFill/>
                    </a:ln>
                  </pic:spPr>
                </pic:pic>
              </a:graphicData>
            </a:graphic>
          </wp:inline>
        </w:drawing>
      </w:r>
    </w:p>
    <w:p w14:paraId="6D8209D1" w14:textId="77777777" w:rsidR="00F329CC" w:rsidRPr="004360BF" w:rsidRDefault="00F329CC">
      <w:pPr>
        <w:spacing w:after="0"/>
        <w:rPr>
          <w:lang w:val="en-AU"/>
        </w:rPr>
      </w:pPr>
      <w:bookmarkStart w:id="542" w:name="_Toc350163269"/>
      <w:r w:rsidRPr="004360BF">
        <w:rPr>
          <w:lang w:val="en-AU"/>
        </w:rPr>
        <w:br w:type="page"/>
      </w:r>
    </w:p>
    <w:p w14:paraId="30BF82C0" w14:textId="77777777" w:rsidR="009874AC" w:rsidRPr="004360BF" w:rsidRDefault="009874AC" w:rsidP="00603EFF">
      <w:pPr>
        <w:pStyle w:val="Heading1"/>
        <w:numPr>
          <w:ilvl w:val="0"/>
          <w:numId w:val="0"/>
        </w:numPr>
      </w:pPr>
      <w:bookmarkStart w:id="543" w:name="_Toc417458039"/>
      <w:bookmarkStart w:id="544" w:name="_Toc418608708"/>
      <w:r w:rsidRPr="004360BF">
        <w:lastRenderedPageBreak/>
        <w:t xml:space="preserve">Attachment </w:t>
      </w:r>
      <w:r w:rsidR="00A14042" w:rsidRPr="004360BF">
        <w:t>4</w:t>
      </w:r>
      <w:r w:rsidR="004B4224" w:rsidRPr="004360BF">
        <w:t xml:space="preserve"> – </w:t>
      </w:r>
      <w:r w:rsidRPr="004360BF">
        <w:t xml:space="preserve">Compliance </w:t>
      </w:r>
      <w:r w:rsidR="00D66923" w:rsidRPr="004360BF">
        <w:t>Checklist</w:t>
      </w:r>
      <w:bookmarkEnd w:id="543"/>
      <w:bookmarkEnd w:id="544"/>
    </w:p>
    <w:p w14:paraId="3E07C1EA" w14:textId="77777777" w:rsidR="009874AC" w:rsidRPr="004360BF" w:rsidRDefault="009874AC" w:rsidP="00A30A80">
      <w:pPr>
        <w:rPr>
          <w:lang w:val="en-AU"/>
        </w:rPr>
      </w:pPr>
      <w:r w:rsidRPr="004360BF">
        <w:rPr>
          <w:lang w:val="en-AU"/>
        </w:rPr>
        <w:t xml:space="preserve">This attachment cross-references the </w:t>
      </w:r>
      <w:r w:rsidR="006B7E77" w:rsidRPr="004360BF">
        <w:rPr>
          <w:lang w:val="en-AU"/>
        </w:rPr>
        <w:t xml:space="preserve">chapters and sections of the </w:t>
      </w:r>
      <w:r w:rsidRPr="004360BF">
        <w:rPr>
          <w:lang w:val="en-AU"/>
        </w:rPr>
        <w:t xml:space="preserve">Network Pricing Principles Statement and </w:t>
      </w:r>
      <w:r w:rsidR="003A05A9" w:rsidRPr="004360BF">
        <w:rPr>
          <w:lang w:val="en-AU"/>
        </w:rPr>
        <w:t>201</w:t>
      </w:r>
      <w:r w:rsidR="00E6689A" w:rsidRPr="004360BF">
        <w:rPr>
          <w:lang w:val="en-AU"/>
        </w:rPr>
        <w:t>5</w:t>
      </w:r>
      <w:r w:rsidR="003A05A9" w:rsidRPr="004360BF">
        <w:rPr>
          <w:lang w:val="en-AU"/>
        </w:rPr>
        <w:t>/1</w:t>
      </w:r>
      <w:r w:rsidR="00E6689A" w:rsidRPr="004360BF">
        <w:rPr>
          <w:lang w:val="en-AU"/>
        </w:rPr>
        <w:t>6</w:t>
      </w:r>
      <w:r w:rsidR="003A05A9" w:rsidRPr="004360BF">
        <w:rPr>
          <w:lang w:val="en-AU"/>
        </w:rPr>
        <w:t xml:space="preserve"> Network Pricing Proposal </w:t>
      </w:r>
      <w:r w:rsidRPr="004360BF">
        <w:rPr>
          <w:lang w:val="en-AU"/>
        </w:rPr>
        <w:t xml:space="preserve">against the </w:t>
      </w:r>
      <w:r w:rsidR="00164D60" w:rsidRPr="004360BF">
        <w:rPr>
          <w:lang w:val="en-AU"/>
        </w:rPr>
        <w:t>TPA Code</w:t>
      </w:r>
      <w:r w:rsidRPr="004360BF">
        <w:rPr>
          <w:lang w:val="en-AU"/>
        </w:rPr>
        <w:t>,</w:t>
      </w:r>
      <w:r w:rsidR="003A05A9" w:rsidRPr="004360BF">
        <w:rPr>
          <w:lang w:val="en-AU"/>
        </w:rPr>
        <w:t xml:space="preserve"> the Commission’s RIN, the Commission’s 2014 NPD Final Determination</w:t>
      </w:r>
      <w:r w:rsidRPr="004360BF">
        <w:rPr>
          <w:lang w:val="en-AU"/>
        </w:rPr>
        <w:t xml:space="preserve"> and RIN requirements.</w:t>
      </w:r>
    </w:p>
    <w:p w14:paraId="4AA6F065" w14:textId="77777777" w:rsidR="009874AC" w:rsidRPr="004360BF" w:rsidRDefault="009874AC" w:rsidP="00EE7AA1">
      <w:pPr>
        <w:pStyle w:val="Heading3"/>
        <w:numPr>
          <w:ilvl w:val="0"/>
          <w:numId w:val="0"/>
        </w:numPr>
      </w:pPr>
      <w:bookmarkStart w:id="545" w:name="_Toc417291797"/>
      <w:bookmarkStart w:id="546" w:name="_Toc417292565"/>
      <w:bookmarkStart w:id="547" w:name="_Toc291262283"/>
      <w:r w:rsidRPr="004360BF">
        <w:t>A</w:t>
      </w:r>
      <w:r w:rsidR="00A14042" w:rsidRPr="004360BF">
        <w:t>4</w:t>
      </w:r>
      <w:r w:rsidRPr="004360BF">
        <w:t>.1</w:t>
      </w:r>
      <w:r w:rsidRPr="004360BF">
        <w:tab/>
      </w:r>
      <w:r w:rsidR="00164D60" w:rsidRPr="004360BF">
        <w:t>TPA Code</w:t>
      </w:r>
      <w:r w:rsidRPr="004360BF">
        <w:t xml:space="preserve"> requirements</w:t>
      </w:r>
      <w:bookmarkEnd w:id="545"/>
      <w:bookmarkEnd w:id="546"/>
      <w:bookmarkEnd w:id="547"/>
    </w:p>
    <w:p w14:paraId="016129FD" w14:textId="584239CA" w:rsidR="009874AC" w:rsidRPr="004360BF" w:rsidRDefault="009874AC" w:rsidP="000B4698">
      <w:pPr>
        <w:keepNext/>
        <w:spacing w:after="120"/>
        <w:rPr>
          <w:lang w:val="en-AU"/>
        </w:rPr>
      </w:pPr>
      <w:r w:rsidRPr="004360BF">
        <w:rPr>
          <w:lang w:val="en-AU"/>
        </w:rPr>
        <w:t xml:space="preserve">The requirements of the </w:t>
      </w:r>
      <w:r w:rsidR="00164D60" w:rsidRPr="004360BF">
        <w:rPr>
          <w:lang w:val="en-AU"/>
        </w:rPr>
        <w:t>TPA Code</w:t>
      </w:r>
      <w:r w:rsidRPr="004360BF">
        <w:rPr>
          <w:lang w:val="en-AU"/>
        </w:rPr>
        <w:t xml:space="preserve"> in relation to networ</w:t>
      </w:r>
      <w:r w:rsidR="00EC14A7" w:rsidRPr="004360BF">
        <w:rPr>
          <w:lang w:val="en-AU"/>
        </w:rPr>
        <w:t>k pricing are set out in clause </w:t>
      </w:r>
      <w:r w:rsidRPr="004360BF">
        <w:rPr>
          <w:lang w:val="en-AU"/>
        </w:rPr>
        <w:t>74, shown in</w:t>
      </w:r>
      <w:r w:rsidR="00B17B07" w:rsidRPr="004360BF">
        <w:rPr>
          <w:lang w:val="en-AU"/>
        </w:rPr>
        <w:t xml:space="preserve"> </w:t>
      </w:r>
      <w:r w:rsidR="00EE7AA1" w:rsidRPr="004360BF">
        <w:rPr>
          <w:lang w:val="en-AU"/>
        </w:rPr>
        <w:fldChar w:fldCharType="begin"/>
      </w:r>
      <w:r w:rsidR="00EE7AA1" w:rsidRPr="004360BF">
        <w:rPr>
          <w:lang w:val="en-AU"/>
        </w:rPr>
        <w:instrText xml:space="preserve"> REF _Ref387486920 \h </w:instrText>
      </w:r>
      <w:r w:rsidR="00EE7AA1" w:rsidRPr="004360BF">
        <w:rPr>
          <w:lang w:val="en-AU"/>
        </w:rPr>
      </w:r>
      <w:r w:rsidR="00EE7AA1" w:rsidRPr="004360BF">
        <w:rPr>
          <w:lang w:val="en-AU"/>
        </w:rPr>
        <w:fldChar w:fldCharType="separate"/>
      </w:r>
      <w:r w:rsidR="008D3215" w:rsidRPr="004360BF">
        <w:rPr>
          <w:lang w:val="en-AU"/>
        </w:rPr>
        <w:t xml:space="preserve">Table </w:t>
      </w:r>
      <w:r w:rsidR="008D3215">
        <w:rPr>
          <w:noProof/>
          <w:lang w:val="en-AU"/>
        </w:rPr>
        <w:t>25</w:t>
      </w:r>
      <w:r w:rsidR="00EE7AA1" w:rsidRPr="004360BF">
        <w:rPr>
          <w:lang w:val="en-AU"/>
        </w:rPr>
        <w:fldChar w:fldCharType="end"/>
      </w:r>
      <w:r w:rsidRPr="004360BF">
        <w:rPr>
          <w:lang w:val="en-AU"/>
        </w:rPr>
        <w:t>.</w:t>
      </w:r>
    </w:p>
    <w:p w14:paraId="0794737B" w14:textId="77777777" w:rsidR="009874AC" w:rsidRPr="004360BF" w:rsidRDefault="00EC14A7" w:rsidP="00EC14A7">
      <w:pPr>
        <w:pStyle w:val="Caption"/>
        <w:rPr>
          <w:lang w:val="en-AU"/>
        </w:rPr>
      </w:pPr>
      <w:bookmarkStart w:id="548" w:name="_Ref387486920"/>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25</w:t>
      </w:r>
      <w:r w:rsidR="00517DD9" w:rsidRPr="004360BF">
        <w:rPr>
          <w:lang w:val="en-AU"/>
        </w:rPr>
        <w:fldChar w:fldCharType="end"/>
      </w:r>
      <w:bookmarkEnd w:id="548"/>
      <w:r w:rsidRPr="004360BF">
        <w:rPr>
          <w:lang w:val="en-AU"/>
        </w:rPr>
        <w:t xml:space="preserve"> </w:t>
      </w:r>
      <w:r w:rsidR="009874AC" w:rsidRPr="004360BF">
        <w:rPr>
          <w:lang w:val="en-AU"/>
        </w:rPr>
        <w:t xml:space="preserve">– </w:t>
      </w:r>
      <w:r w:rsidR="00164D60" w:rsidRPr="004360BF">
        <w:rPr>
          <w:lang w:val="en-AU"/>
        </w:rPr>
        <w:t>TPA Code</w:t>
      </w:r>
      <w:r w:rsidR="009874AC" w:rsidRPr="004360BF">
        <w:rPr>
          <w:lang w:val="en-AU"/>
        </w:rPr>
        <w:t xml:space="preserve"> requirements on network pricing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0"/>
        <w:gridCol w:w="3499"/>
      </w:tblGrid>
      <w:tr w:rsidR="009874AC" w:rsidRPr="004360BF" w14:paraId="0EF1034C" w14:textId="77777777">
        <w:trPr>
          <w:tblHeader/>
        </w:trPr>
        <w:tc>
          <w:tcPr>
            <w:tcW w:w="5680" w:type="dxa"/>
            <w:tcBorders>
              <w:top w:val="single" w:sz="4" w:space="0" w:color="auto"/>
              <w:left w:val="single" w:sz="4" w:space="0" w:color="auto"/>
              <w:bottom w:val="single" w:sz="4" w:space="0" w:color="auto"/>
              <w:right w:val="single" w:sz="4" w:space="0" w:color="auto"/>
            </w:tcBorders>
            <w:shd w:val="solid" w:color="C6D9F1" w:fill="auto"/>
          </w:tcPr>
          <w:p w14:paraId="651EDB5F" w14:textId="77777777" w:rsidR="009874AC" w:rsidRPr="004360BF" w:rsidRDefault="00164D60" w:rsidP="00D732C1">
            <w:pPr>
              <w:spacing w:before="40" w:after="40"/>
              <w:rPr>
                <w:rFonts w:cs="Tahoma"/>
                <w:sz w:val="22"/>
                <w:szCs w:val="22"/>
                <w:lang w:val="en-AU"/>
              </w:rPr>
            </w:pPr>
            <w:r w:rsidRPr="004360BF">
              <w:rPr>
                <w:rFonts w:cs="Tahoma"/>
                <w:sz w:val="22"/>
                <w:szCs w:val="22"/>
                <w:lang w:val="en-AU"/>
              </w:rPr>
              <w:t>TPA Code</w:t>
            </w:r>
            <w:r w:rsidR="009874AC" w:rsidRPr="004360BF">
              <w:rPr>
                <w:rFonts w:cs="Tahoma"/>
                <w:sz w:val="22"/>
                <w:szCs w:val="22"/>
                <w:lang w:val="en-AU"/>
              </w:rPr>
              <w:t xml:space="preserve"> clause</w:t>
            </w:r>
          </w:p>
        </w:tc>
        <w:tc>
          <w:tcPr>
            <w:tcW w:w="3499" w:type="dxa"/>
            <w:tcBorders>
              <w:top w:val="single" w:sz="4" w:space="0" w:color="auto"/>
              <w:left w:val="single" w:sz="4" w:space="0" w:color="auto"/>
              <w:bottom w:val="single" w:sz="4" w:space="0" w:color="auto"/>
              <w:right w:val="single" w:sz="4" w:space="0" w:color="auto"/>
            </w:tcBorders>
            <w:shd w:val="solid" w:color="C6D9F1" w:fill="auto"/>
          </w:tcPr>
          <w:p w14:paraId="6BD2BEDD" w14:textId="77777777" w:rsidR="009874AC" w:rsidRPr="004360BF" w:rsidRDefault="004D05F2" w:rsidP="00D732C1">
            <w:pPr>
              <w:spacing w:before="40" w:after="40"/>
              <w:rPr>
                <w:rFonts w:cs="Tahoma"/>
                <w:sz w:val="22"/>
                <w:szCs w:val="22"/>
                <w:lang w:val="en-AU"/>
              </w:rPr>
            </w:pPr>
            <w:r w:rsidRPr="004360BF">
              <w:rPr>
                <w:rFonts w:cs="Tahoma"/>
                <w:sz w:val="22"/>
                <w:szCs w:val="22"/>
                <w:lang w:val="en-AU"/>
              </w:rPr>
              <w:t xml:space="preserve">Pricing </w:t>
            </w:r>
            <w:r w:rsidR="009874AC" w:rsidRPr="004360BF">
              <w:rPr>
                <w:rFonts w:cs="Tahoma"/>
                <w:sz w:val="22"/>
                <w:szCs w:val="22"/>
                <w:lang w:val="en-AU"/>
              </w:rPr>
              <w:t>Proposal section</w:t>
            </w:r>
          </w:p>
        </w:tc>
      </w:tr>
      <w:tr w:rsidR="006B7E77" w:rsidRPr="004360BF" w14:paraId="26B1CA03" w14:textId="77777777" w:rsidTr="000B4698">
        <w:trPr>
          <w:trHeight w:val="2832"/>
        </w:trPr>
        <w:tc>
          <w:tcPr>
            <w:tcW w:w="5680" w:type="dxa"/>
            <w:tcBorders>
              <w:top w:val="single" w:sz="4" w:space="0" w:color="auto"/>
              <w:left w:val="single" w:sz="4" w:space="0" w:color="auto"/>
              <w:right w:val="single" w:sz="4" w:space="0" w:color="auto"/>
            </w:tcBorders>
          </w:tcPr>
          <w:p w14:paraId="4F183A5F" w14:textId="77777777" w:rsidR="006B7E77" w:rsidRPr="004360BF" w:rsidRDefault="006B7E77" w:rsidP="00D732C1">
            <w:pPr>
              <w:spacing w:before="40" w:after="40"/>
              <w:ind w:left="318" w:hanging="318"/>
              <w:rPr>
                <w:rFonts w:cs="Tahoma"/>
                <w:sz w:val="22"/>
                <w:szCs w:val="22"/>
                <w:lang w:val="en-AU"/>
              </w:rPr>
            </w:pPr>
            <w:bookmarkStart w:id="549" w:name="_Hlk64180365"/>
            <w:bookmarkStart w:id="550" w:name="_Ref466538182"/>
            <w:r w:rsidRPr="004360BF">
              <w:rPr>
                <w:rFonts w:cs="Tahoma"/>
                <w:sz w:val="22"/>
                <w:szCs w:val="22"/>
                <w:lang w:val="en-AU"/>
              </w:rPr>
              <w:t>74.</w:t>
            </w:r>
            <w:bookmarkEnd w:id="549"/>
            <w:r w:rsidRPr="004360BF">
              <w:rPr>
                <w:rFonts w:cs="Tahoma"/>
                <w:sz w:val="22"/>
                <w:szCs w:val="22"/>
                <w:lang w:val="en-AU"/>
              </w:rPr>
              <w:tab/>
              <w:t>Objectives of network pricing</w:t>
            </w:r>
          </w:p>
          <w:bookmarkEnd w:id="550"/>
          <w:p w14:paraId="6F843E74" w14:textId="77777777" w:rsidR="006B7E77" w:rsidRPr="004360BF" w:rsidRDefault="006B7E77" w:rsidP="00D732C1">
            <w:pPr>
              <w:pStyle w:val="Section"/>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744" w:hanging="426"/>
              <w:jc w:val="left"/>
              <w:rPr>
                <w:rFonts w:ascii="Tahoma" w:hAnsi="Tahoma" w:cs="Tahoma"/>
                <w:sz w:val="22"/>
                <w:szCs w:val="22"/>
                <w:lang w:val="en-AU"/>
              </w:rPr>
            </w:pPr>
            <w:r w:rsidRPr="004360BF">
              <w:rPr>
                <w:rFonts w:ascii="Tahoma" w:hAnsi="Tahoma" w:cs="Tahoma"/>
                <w:sz w:val="22"/>
                <w:szCs w:val="22"/>
                <w:lang w:val="en-AU"/>
              </w:rPr>
              <w:t>(1)</w:t>
            </w:r>
            <w:r w:rsidRPr="004360BF">
              <w:rPr>
                <w:rFonts w:ascii="Tahoma" w:hAnsi="Tahoma" w:cs="Tahoma"/>
                <w:sz w:val="22"/>
                <w:szCs w:val="22"/>
                <w:lang w:val="en-AU"/>
              </w:rPr>
              <w:tab/>
              <w:t>The reference tariffs are –</w:t>
            </w:r>
          </w:p>
          <w:p w14:paraId="3F5CD037" w14:textId="77777777" w:rsidR="006B7E77" w:rsidRPr="004360BF" w:rsidRDefault="006B7E77" w:rsidP="00D732C1">
            <w:pPr>
              <w:pStyle w:val="Section"/>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(a)</w:t>
            </w:r>
            <w:r w:rsidRPr="004360BF">
              <w:rPr>
                <w:rFonts w:ascii="Tahoma" w:hAnsi="Tahoma" w:cs="Tahoma"/>
                <w:sz w:val="22"/>
                <w:szCs w:val="22"/>
                <w:lang w:val="en-AU"/>
              </w:rPr>
              <w:tab/>
              <w:t>to reflect efficient costs of supply;</w:t>
            </w:r>
          </w:p>
        </w:tc>
        <w:tc>
          <w:tcPr>
            <w:tcW w:w="3499" w:type="dxa"/>
            <w:tcBorders>
              <w:top w:val="single" w:sz="4" w:space="0" w:color="auto"/>
              <w:left w:val="single" w:sz="4" w:space="0" w:color="auto"/>
              <w:right w:val="single" w:sz="4" w:space="0" w:color="auto"/>
            </w:tcBorders>
          </w:tcPr>
          <w:p w14:paraId="66ACB35B" w14:textId="77777777" w:rsidR="006B7E77" w:rsidRPr="004360BF" w:rsidRDefault="006B7E77"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jc w:val="left"/>
              <w:rPr>
                <w:rFonts w:ascii="Tahoma" w:hAnsi="Tahoma" w:cs="Tahoma"/>
                <w:sz w:val="22"/>
                <w:szCs w:val="22"/>
                <w:lang w:val="en-AU"/>
              </w:rPr>
            </w:pPr>
            <w:r w:rsidRPr="004360BF">
              <w:rPr>
                <w:rFonts w:ascii="Tahoma" w:hAnsi="Tahoma" w:cs="Tahoma"/>
                <w:sz w:val="22"/>
                <w:szCs w:val="22"/>
                <w:lang w:val="en-AU"/>
              </w:rPr>
              <w:t>Chapter 14 demonstrates that the 201</w:t>
            </w:r>
            <w:r w:rsidR="00F329CC" w:rsidRPr="004360BF">
              <w:rPr>
                <w:rFonts w:ascii="Tahoma" w:hAnsi="Tahoma" w:cs="Tahoma"/>
                <w:sz w:val="22"/>
                <w:szCs w:val="22"/>
                <w:lang w:val="en-AU"/>
              </w:rPr>
              <w:t>5</w:t>
            </w:r>
            <w:r w:rsidRPr="004360BF">
              <w:rPr>
                <w:rFonts w:ascii="Tahoma" w:hAnsi="Tahoma" w:cs="Tahoma"/>
                <w:sz w:val="22"/>
                <w:szCs w:val="22"/>
                <w:lang w:val="en-AU"/>
              </w:rPr>
              <w:t>/1</w:t>
            </w:r>
            <w:r w:rsidR="00F329CC" w:rsidRPr="004360BF">
              <w:rPr>
                <w:rFonts w:ascii="Tahoma" w:hAnsi="Tahoma" w:cs="Tahoma"/>
                <w:sz w:val="22"/>
                <w:szCs w:val="22"/>
                <w:lang w:val="en-AU"/>
              </w:rPr>
              <w:t>6</w:t>
            </w:r>
            <w:r w:rsidRPr="004360BF">
              <w:rPr>
                <w:rFonts w:ascii="Tahoma" w:hAnsi="Tahoma" w:cs="Tahoma"/>
                <w:sz w:val="22"/>
                <w:szCs w:val="22"/>
                <w:lang w:val="en-AU"/>
              </w:rPr>
              <w:t xml:space="preserve"> reference tariffs have been </w:t>
            </w:r>
            <w:r w:rsidR="00E6689A" w:rsidRPr="004360BF">
              <w:rPr>
                <w:rFonts w:ascii="Tahoma" w:hAnsi="Tahoma" w:cs="Tahoma"/>
                <w:sz w:val="22"/>
                <w:szCs w:val="22"/>
                <w:lang w:val="en-AU"/>
              </w:rPr>
              <w:t xml:space="preserve">maintained </w:t>
            </w:r>
            <w:r w:rsidRPr="004360BF">
              <w:rPr>
                <w:rFonts w:ascii="Tahoma" w:hAnsi="Tahoma" w:cs="Tahoma"/>
                <w:sz w:val="22"/>
                <w:szCs w:val="22"/>
                <w:lang w:val="en-AU"/>
              </w:rPr>
              <w:t>to:</w:t>
            </w:r>
          </w:p>
          <w:p w14:paraId="0A69A10C" w14:textId="77777777" w:rsidR="006B7E77" w:rsidRPr="004360BF" w:rsidRDefault="006B7E77" w:rsidP="00EE7AA1">
            <w:pPr>
              <w:pStyle w:val="Section"/>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204" w:hanging="183"/>
              <w:jc w:val="left"/>
              <w:rPr>
                <w:rFonts w:ascii="Tahoma" w:hAnsi="Tahoma" w:cs="Tahoma"/>
                <w:sz w:val="22"/>
                <w:szCs w:val="22"/>
                <w:lang w:val="en-AU"/>
              </w:rPr>
            </w:pPr>
            <w:r w:rsidRPr="004360BF">
              <w:rPr>
                <w:rFonts w:ascii="Tahoma" w:hAnsi="Tahoma" w:cs="Tahoma"/>
                <w:sz w:val="22"/>
                <w:szCs w:val="22"/>
                <w:lang w:val="en-AU"/>
              </w:rPr>
              <w:t>Recover the proposed revenue;</w:t>
            </w:r>
          </w:p>
          <w:p w14:paraId="11540DEC" w14:textId="77777777" w:rsidR="006B7E77" w:rsidRPr="004360BF" w:rsidRDefault="006B7E77" w:rsidP="00EE7AA1">
            <w:pPr>
              <w:pStyle w:val="Section"/>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204" w:hanging="183"/>
              <w:jc w:val="left"/>
              <w:rPr>
                <w:rFonts w:ascii="Tahoma" w:hAnsi="Tahoma" w:cs="Tahoma"/>
                <w:sz w:val="22"/>
                <w:szCs w:val="22"/>
                <w:lang w:val="en-AU"/>
              </w:rPr>
            </w:pPr>
            <w:r w:rsidRPr="004360BF">
              <w:rPr>
                <w:rFonts w:ascii="Tahoma" w:hAnsi="Tahoma" w:cs="Tahoma"/>
                <w:sz w:val="22"/>
                <w:szCs w:val="22"/>
                <w:lang w:val="en-AU"/>
              </w:rPr>
              <w:t>Do not contain economic cross subsidies; and</w:t>
            </w:r>
          </w:p>
          <w:p w14:paraId="60A6D1ED" w14:textId="77777777" w:rsidR="006B7E77" w:rsidRPr="004360BF" w:rsidRDefault="006B7E77" w:rsidP="00EE7AA1">
            <w:pPr>
              <w:pStyle w:val="Section"/>
              <w:numPr>
                <w:ilvl w:val="0"/>
                <w:numId w:val="8"/>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204" w:hanging="183"/>
              <w:jc w:val="left"/>
              <w:rPr>
                <w:rFonts w:ascii="Tahoma" w:hAnsi="Tahoma" w:cs="Tahoma"/>
                <w:sz w:val="22"/>
                <w:szCs w:val="22"/>
                <w:lang w:val="en-AU"/>
              </w:rPr>
            </w:pPr>
            <w:r w:rsidRPr="004360BF">
              <w:rPr>
                <w:rFonts w:ascii="Tahoma" w:hAnsi="Tahoma" w:cs="Tahoma"/>
                <w:sz w:val="22"/>
                <w:szCs w:val="22"/>
                <w:lang w:val="en-AU"/>
              </w:rPr>
              <w:t xml:space="preserve">Have been set with due regard to the LRMC. </w:t>
            </w:r>
          </w:p>
          <w:p w14:paraId="7AD05DF7" w14:textId="77777777" w:rsidR="006B7E77" w:rsidRPr="004360BF" w:rsidRDefault="006B7E77" w:rsidP="004F7D60">
            <w:pPr>
              <w:pStyle w:val="Section"/>
              <w:spacing w:before="40" w:after="40"/>
              <w:ind w:left="21"/>
              <w:jc w:val="left"/>
              <w:rPr>
                <w:rFonts w:ascii="Tahoma" w:hAnsi="Tahoma" w:cs="Tahoma"/>
                <w:sz w:val="22"/>
                <w:szCs w:val="22"/>
                <w:lang w:val="en-AU"/>
              </w:rPr>
            </w:pPr>
            <w:r w:rsidRPr="004360BF">
              <w:rPr>
                <w:rFonts w:ascii="Tahoma" w:hAnsi="Tahoma" w:cs="Tahoma"/>
                <w:sz w:val="22"/>
                <w:szCs w:val="22"/>
                <w:lang w:val="en-AU"/>
              </w:rPr>
              <w:t>Chapter 7 also discusses efficient network pricing.</w:t>
            </w:r>
          </w:p>
        </w:tc>
      </w:tr>
      <w:tr w:rsidR="004F7D60" w:rsidRPr="004360BF" w14:paraId="66A626D5" w14:textId="77777777" w:rsidTr="004F7D60">
        <w:trPr>
          <w:trHeight w:val="5100"/>
        </w:trPr>
        <w:tc>
          <w:tcPr>
            <w:tcW w:w="5680" w:type="dxa"/>
            <w:tcBorders>
              <w:top w:val="single" w:sz="4" w:space="0" w:color="auto"/>
              <w:left w:val="single" w:sz="4" w:space="0" w:color="auto"/>
              <w:right w:val="single" w:sz="4" w:space="0" w:color="auto"/>
            </w:tcBorders>
          </w:tcPr>
          <w:p w14:paraId="0D9FA38B" w14:textId="77777777" w:rsidR="004F7D60" w:rsidRPr="004360BF" w:rsidRDefault="004F7D60" w:rsidP="00D732C1">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(b)</w:t>
            </w:r>
            <w:r w:rsidRPr="004360BF">
              <w:rPr>
                <w:rFonts w:ascii="Tahoma" w:hAnsi="Tahoma" w:cs="Tahoma"/>
                <w:sz w:val="22"/>
                <w:szCs w:val="22"/>
                <w:lang w:val="en-AU"/>
              </w:rPr>
              <w:tab/>
              <w:t>to involve a common approach for all network users, with the actual tariff with respect to a particular network access service only differing between users because of –</w:t>
            </w:r>
          </w:p>
          <w:p w14:paraId="4051C5CA" w14:textId="77777777" w:rsidR="004F7D60" w:rsidRPr="004360BF" w:rsidRDefault="004F7D60" w:rsidP="00D732C1">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596" w:hanging="426"/>
              <w:jc w:val="left"/>
              <w:rPr>
                <w:rFonts w:ascii="Tahoma" w:hAnsi="Tahoma" w:cs="Tahoma"/>
                <w:sz w:val="22"/>
                <w:szCs w:val="22"/>
                <w:lang w:val="en-AU"/>
              </w:rPr>
            </w:pPr>
            <w:r w:rsidRPr="004360BF">
              <w:rPr>
                <w:rFonts w:ascii="Tahoma" w:hAnsi="Tahoma" w:cs="Tahoma"/>
                <w:sz w:val="22"/>
                <w:szCs w:val="22"/>
                <w:lang w:val="en-AU"/>
              </w:rPr>
              <w:t>(</w:t>
            </w:r>
            <w:proofErr w:type="spellStart"/>
            <w:r w:rsidRPr="004360BF">
              <w:rPr>
                <w:rFonts w:ascii="Tahoma" w:hAnsi="Tahoma" w:cs="Tahoma"/>
                <w:sz w:val="22"/>
                <w:szCs w:val="22"/>
                <w:lang w:val="en-AU"/>
              </w:rPr>
              <w:t>i</w:t>
            </w:r>
            <w:proofErr w:type="spellEnd"/>
            <w:r w:rsidRPr="004360BF">
              <w:rPr>
                <w:rFonts w:ascii="Tahoma" w:hAnsi="Tahoma" w:cs="Tahoma"/>
                <w:sz w:val="22"/>
                <w:szCs w:val="22"/>
                <w:lang w:val="en-AU"/>
              </w:rPr>
              <w:t>)</w:t>
            </w:r>
            <w:r w:rsidRPr="004360BF">
              <w:rPr>
                <w:rFonts w:ascii="Tahoma" w:hAnsi="Tahoma" w:cs="Tahoma"/>
                <w:sz w:val="22"/>
                <w:szCs w:val="22"/>
                <w:lang w:val="en-AU"/>
              </w:rPr>
              <w:tab/>
              <w:t>the user’s geographical and electrical location;</w:t>
            </w:r>
          </w:p>
          <w:p w14:paraId="1C1DBC5D" w14:textId="77777777" w:rsidR="004F7D60" w:rsidRPr="004360BF" w:rsidRDefault="004F7D60" w:rsidP="00D732C1">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596" w:hanging="426"/>
              <w:jc w:val="left"/>
              <w:rPr>
                <w:rFonts w:ascii="Tahoma" w:hAnsi="Tahoma" w:cs="Tahoma"/>
                <w:sz w:val="22"/>
                <w:szCs w:val="22"/>
                <w:lang w:val="en-AU"/>
              </w:rPr>
            </w:pPr>
            <w:r w:rsidRPr="004360BF">
              <w:rPr>
                <w:rFonts w:ascii="Tahoma" w:hAnsi="Tahoma" w:cs="Tahoma"/>
                <w:sz w:val="22"/>
                <w:szCs w:val="22"/>
                <w:lang w:val="en-AU"/>
              </w:rPr>
              <w:t>(ii)</w:t>
            </w:r>
            <w:r w:rsidRPr="004360BF">
              <w:rPr>
                <w:rFonts w:ascii="Tahoma" w:hAnsi="Tahoma" w:cs="Tahoma"/>
                <w:sz w:val="22"/>
                <w:szCs w:val="22"/>
                <w:lang w:val="en-AU"/>
              </w:rPr>
              <w:tab/>
              <w:t xml:space="preserve">the quantities in which the relevant network access service is to be supplied or is supplied; </w:t>
            </w:r>
          </w:p>
          <w:p w14:paraId="3BCFF76E" w14:textId="77777777" w:rsidR="004F7D60" w:rsidRPr="004360BF" w:rsidRDefault="004F7D60" w:rsidP="00D732C1">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596" w:hanging="426"/>
              <w:jc w:val="left"/>
              <w:rPr>
                <w:rFonts w:ascii="Tahoma" w:hAnsi="Tahoma" w:cs="Tahoma"/>
                <w:sz w:val="22"/>
                <w:szCs w:val="22"/>
                <w:lang w:val="en-AU"/>
              </w:rPr>
            </w:pPr>
            <w:r w:rsidRPr="004360BF">
              <w:rPr>
                <w:rFonts w:ascii="Tahoma" w:hAnsi="Tahoma" w:cs="Tahoma"/>
                <w:sz w:val="22"/>
                <w:szCs w:val="22"/>
                <w:lang w:val="en-AU"/>
              </w:rPr>
              <w:t>(iii)</w:t>
            </w:r>
            <w:r w:rsidRPr="004360BF">
              <w:rPr>
                <w:rFonts w:ascii="Tahoma" w:hAnsi="Tahoma" w:cs="Tahoma"/>
                <w:sz w:val="22"/>
                <w:szCs w:val="22"/>
                <w:lang w:val="en-AU"/>
              </w:rPr>
              <w:tab/>
              <w:t>the pattern of network usage;</w:t>
            </w:r>
          </w:p>
          <w:p w14:paraId="345400EB" w14:textId="77777777" w:rsidR="004F7D60" w:rsidRPr="004360BF" w:rsidRDefault="004F7D60" w:rsidP="00D732C1">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596" w:hanging="426"/>
              <w:jc w:val="left"/>
              <w:rPr>
                <w:rFonts w:ascii="Tahoma" w:hAnsi="Tahoma" w:cs="Tahoma"/>
                <w:sz w:val="22"/>
                <w:szCs w:val="22"/>
                <w:lang w:val="en-AU"/>
              </w:rPr>
            </w:pPr>
            <w:r w:rsidRPr="004360BF">
              <w:rPr>
                <w:rFonts w:ascii="Tahoma" w:hAnsi="Tahoma" w:cs="Tahoma"/>
                <w:sz w:val="22"/>
                <w:szCs w:val="22"/>
                <w:lang w:val="en-AU"/>
              </w:rPr>
              <w:t>(iv)</w:t>
            </w:r>
            <w:r w:rsidRPr="004360BF">
              <w:rPr>
                <w:rFonts w:ascii="Tahoma" w:hAnsi="Tahoma" w:cs="Tahoma"/>
                <w:sz w:val="22"/>
                <w:szCs w:val="22"/>
                <w:lang w:val="en-AU"/>
              </w:rPr>
              <w:tab/>
              <w:t xml:space="preserve">the technical characteristics or requirements of the user’s load or generation; </w:t>
            </w:r>
          </w:p>
          <w:p w14:paraId="15B3F591" w14:textId="77777777" w:rsidR="004F7D60" w:rsidRPr="004360BF" w:rsidRDefault="004F7D60" w:rsidP="00D732C1">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596" w:hanging="426"/>
              <w:jc w:val="left"/>
              <w:rPr>
                <w:rFonts w:ascii="Tahoma" w:hAnsi="Tahoma" w:cs="Tahoma"/>
                <w:sz w:val="22"/>
                <w:szCs w:val="22"/>
                <w:lang w:val="en-AU"/>
              </w:rPr>
            </w:pPr>
            <w:r w:rsidRPr="004360BF">
              <w:rPr>
                <w:rFonts w:ascii="Tahoma" w:hAnsi="Tahoma" w:cs="Tahoma"/>
                <w:sz w:val="22"/>
                <w:szCs w:val="22"/>
                <w:lang w:val="en-AU"/>
              </w:rPr>
              <w:t>(v)</w:t>
            </w:r>
            <w:r w:rsidRPr="004360BF">
              <w:rPr>
                <w:rFonts w:ascii="Tahoma" w:hAnsi="Tahoma" w:cs="Tahoma"/>
                <w:sz w:val="22"/>
                <w:szCs w:val="22"/>
                <w:lang w:val="en-AU"/>
              </w:rPr>
              <w:tab/>
              <w:t>the nature of the plant or equipment required to provide the network access service; and</w:t>
            </w:r>
          </w:p>
          <w:p w14:paraId="33E06603" w14:textId="77777777" w:rsidR="004F7D60" w:rsidRPr="004360BF" w:rsidRDefault="004F7D60" w:rsidP="00D732C1">
            <w:pPr>
              <w:pStyle w:val="Section"/>
              <w:spacing w:before="40" w:after="40"/>
              <w:ind w:left="1596" w:hanging="426"/>
              <w:jc w:val="left"/>
              <w:rPr>
                <w:rFonts w:ascii="Tahoma" w:hAnsi="Tahoma" w:cs="Tahoma"/>
                <w:sz w:val="22"/>
                <w:szCs w:val="22"/>
                <w:lang w:val="en-AU"/>
              </w:rPr>
            </w:pPr>
            <w:r w:rsidRPr="004360BF">
              <w:rPr>
                <w:rFonts w:ascii="Tahoma" w:hAnsi="Tahoma" w:cs="Tahoma"/>
                <w:sz w:val="22"/>
                <w:szCs w:val="22"/>
                <w:lang w:val="en-AU"/>
              </w:rPr>
              <w:t>(vi)</w:t>
            </w:r>
            <w:r w:rsidRPr="004360BF">
              <w:rPr>
                <w:rFonts w:ascii="Tahoma" w:hAnsi="Tahoma" w:cs="Tahoma"/>
                <w:sz w:val="22"/>
                <w:szCs w:val="22"/>
                <w:lang w:val="en-AU"/>
              </w:rPr>
              <w:tab/>
              <w:t>the periods for which the network access service is expected to be supplied;</w:t>
            </w:r>
          </w:p>
        </w:tc>
        <w:tc>
          <w:tcPr>
            <w:tcW w:w="3499" w:type="dxa"/>
            <w:tcBorders>
              <w:top w:val="single" w:sz="4" w:space="0" w:color="auto"/>
              <w:left w:val="single" w:sz="4" w:space="0" w:color="auto"/>
              <w:right w:val="single" w:sz="4" w:space="0" w:color="auto"/>
            </w:tcBorders>
          </w:tcPr>
          <w:p w14:paraId="42B64C9E" w14:textId="7FAFEDEB" w:rsidR="004F7D60" w:rsidRPr="004360BF" w:rsidRDefault="00EE7AA1" w:rsidP="00603EFF">
            <w:pPr>
              <w:pStyle w:val="Section"/>
              <w:spacing w:before="40" w:after="40"/>
              <w:jc w:val="left"/>
              <w:rPr>
                <w:rFonts w:ascii="Tahoma" w:hAnsi="Tahoma" w:cs="Tahoma"/>
                <w:sz w:val="22"/>
                <w:szCs w:val="22"/>
                <w:lang w:val="en-AU"/>
              </w:rPr>
            </w:pPr>
            <w:r w:rsidRPr="004360BF">
              <w:rPr>
                <w:rFonts w:ascii="Tahoma" w:hAnsi="Tahoma" w:cs="Tahoma"/>
                <w:sz w:val="22"/>
                <w:szCs w:val="22"/>
                <w:lang w:val="en-AU"/>
              </w:rPr>
              <w:fldChar w:fldCharType="begin"/>
            </w:r>
            <w:r w:rsidRPr="004360BF">
              <w:rPr>
                <w:rFonts w:ascii="Tahoma" w:hAnsi="Tahoma" w:cs="Tahoma"/>
                <w:sz w:val="22"/>
                <w:szCs w:val="22"/>
                <w:lang w:val="en-AU"/>
              </w:rPr>
              <w:instrText xml:space="preserve"> REF _Ref260822134 \h </w:instrText>
            </w:r>
            <w:r w:rsidR="007F18D7">
              <w:rPr>
                <w:rFonts w:ascii="Tahoma" w:hAnsi="Tahoma" w:cs="Tahoma"/>
                <w:sz w:val="22"/>
                <w:szCs w:val="22"/>
                <w:lang w:val="en-AU"/>
              </w:rPr>
              <w:instrText xml:space="preserve"> \* MERGEFORMAT </w:instrText>
            </w:r>
            <w:r w:rsidRPr="004360BF">
              <w:rPr>
                <w:rFonts w:ascii="Tahoma" w:hAnsi="Tahoma" w:cs="Tahoma"/>
                <w:sz w:val="22"/>
                <w:szCs w:val="22"/>
                <w:lang w:val="en-AU"/>
              </w:rPr>
            </w:r>
            <w:r w:rsidRPr="004360BF">
              <w:rPr>
                <w:rFonts w:ascii="Tahoma" w:hAnsi="Tahoma" w:cs="Tahoma"/>
                <w:sz w:val="22"/>
                <w:szCs w:val="22"/>
                <w:lang w:val="en-AU"/>
              </w:rPr>
              <w:fldChar w:fldCharType="separate"/>
            </w:r>
            <w:r w:rsidR="008D3215" w:rsidRPr="008D3215">
              <w:rPr>
                <w:rFonts w:ascii="Tahoma" w:hAnsi="Tahoma" w:cs="Tahoma"/>
                <w:sz w:val="22"/>
                <w:szCs w:val="22"/>
                <w:lang w:val="en-AU"/>
              </w:rPr>
              <w:t>Table 4</w:t>
            </w:r>
            <w:r w:rsidRPr="004360BF">
              <w:rPr>
                <w:rFonts w:ascii="Tahoma" w:hAnsi="Tahoma" w:cs="Tahoma"/>
                <w:sz w:val="22"/>
                <w:szCs w:val="22"/>
                <w:lang w:val="en-AU"/>
              </w:rPr>
              <w:fldChar w:fldCharType="end"/>
            </w:r>
            <w:r w:rsidR="006B7E77" w:rsidRPr="004360BF">
              <w:rPr>
                <w:rFonts w:ascii="Tahoma" w:hAnsi="Tahoma" w:cs="Tahoma"/>
                <w:sz w:val="22"/>
                <w:szCs w:val="22"/>
                <w:lang w:val="en-AU"/>
              </w:rPr>
              <w:t>,</w:t>
            </w:r>
            <w:r w:rsidR="004F7D60" w:rsidRPr="004360BF">
              <w:rPr>
                <w:rFonts w:ascii="Tahoma" w:hAnsi="Tahoma" w:cs="Tahoma"/>
                <w:sz w:val="22"/>
                <w:szCs w:val="22"/>
                <w:lang w:val="en-AU"/>
              </w:rPr>
              <w:t xml:space="preserve"> at section </w:t>
            </w:r>
            <w:r w:rsidR="00603EFF" w:rsidRPr="004360BF">
              <w:rPr>
                <w:rFonts w:ascii="Tahoma" w:hAnsi="Tahoma" w:cs="Tahoma"/>
                <w:sz w:val="22"/>
                <w:szCs w:val="22"/>
                <w:lang w:val="en-AU"/>
              </w:rPr>
              <w:fldChar w:fldCharType="begin"/>
            </w:r>
            <w:r w:rsidR="00603EFF" w:rsidRPr="004360BF">
              <w:rPr>
                <w:rFonts w:ascii="Tahoma" w:hAnsi="Tahoma" w:cs="Tahoma"/>
                <w:sz w:val="22"/>
                <w:szCs w:val="22"/>
                <w:lang w:val="en-AU"/>
              </w:rPr>
              <w:instrText xml:space="preserve"> REF _Ref291313086 \r \h </w:instrText>
            </w:r>
            <w:r w:rsidR="00603EFF" w:rsidRPr="004360BF">
              <w:rPr>
                <w:rFonts w:ascii="Tahoma" w:hAnsi="Tahoma" w:cs="Tahoma"/>
                <w:sz w:val="22"/>
                <w:szCs w:val="22"/>
                <w:lang w:val="en-AU"/>
              </w:rPr>
            </w:r>
            <w:r w:rsidR="00603EFF" w:rsidRPr="004360BF">
              <w:rPr>
                <w:rFonts w:ascii="Tahoma" w:hAnsi="Tahoma" w:cs="Tahoma"/>
                <w:sz w:val="22"/>
                <w:szCs w:val="22"/>
                <w:lang w:val="en-AU"/>
              </w:rPr>
              <w:fldChar w:fldCharType="separate"/>
            </w:r>
            <w:r w:rsidR="008D3215">
              <w:rPr>
                <w:rFonts w:ascii="Tahoma" w:hAnsi="Tahoma" w:cs="Tahoma"/>
                <w:sz w:val="22"/>
                <w:szCs w:val="22"/>
                <w:lang w:val="en-AU"/>
              </w:rPr>
              <w:t>6.1</w:t>
            </w:r>
            <w:r w:rsidR="00603EFF" w:rsidRPr="004360BF">
              <w:rPr>
                <w:rFonts w:ascii="Tahoma" w:hAnsi="Tahoma" w:cs="Tahoma"/>
                <w:sz w:val="22"/>
                <w:szCs w:val="22"/>
                <w:lang w:val="en-AU"/>
              </w:rPr>
              <w:fldChar w:fldCharType="end"/>
            </w:r>
            <w:r w:rsidR="008202A5" w:rsidRPr="004360BF">
              <w:rPr>
                <w:rFonts w:ascii="Tahoma" w:hAnsi="Tahoma" w:cs="Tahoma"/>
                <w:sz w:val="22"/>
                <w:szCs w:val="22"/>
                <w:lang w:val="en-AU"/>
              </w:rPr>
              <w:t>, demonstrates</w:t>
            </w:r>
            <w:r w:rsidR="006B7E77" w:rsidRPr="004360BF">
              <w:rPr>
                <w:rFonts w:ascii="Tahoma" w:hAnsi="Tahoma" w:cs="Tahoma"/>
                <w:sz w:val="22"/>
                <w:szCs w:val="22"/>
                <w:lang w:val="en-AU"/>
              </w:rPr>
              <w:t xml:space="preserve"> Power Networks’ consideration of pricing principles</w:t>
            </w:r>
            <w:r w:rsidR="004F7D60" w:rsidRPr="004360BF">
              <w:rPr>
                <w:rFonts w:ascii="Tahoma" w:hAnsi="Tahoma" w:cs="Tahoma"/>
                <w:sz w:val="22"/>
                <w:szCs w:val="22"/>
                <w:lang w:val="en-AU"/>
              </w:rPr>
              <w:t>.</w:t>
            </w:r>
          </w:p>
        </w:tc>
      </w:tr>
      <w:tr w:rsidR="009874AC" w:rsidRPr="004360BF" w14:paraId="28899D87" w14:textId="77777777" w:rsidTr="004F7D60">
        <w:tc>
          <w:tcPr>
            <w:tcW w:w="5680" w:type="dxa"/>
            <w:tcBorders>
              <w:top w:val="single" w:sz="4" w:space="0" w:color="auto"/>
              <w:left w:val="single" w:sz="4" w:space="0" w:color="auto"/>
              <w:bottom w:val="single" w:sz="4" w:space="0" w:color="auto"/>
              <w:right w:val="single" w:sz="4" w:space="0" w:color="auto"/>
            </w:tcBorders>
          </w:tcPr>
          <w:p w14:paraId="0F2CA6A1" w14:textId="77777777" w:rsidR="009874AC" w:rsidRPr="004360BF" w:rsidRDefault="009874AC" w:rsidP="00D732C1">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(c)</w:t>
            </w:r>
            <w:r w:rsidRPr="004360BF">
              <w:rPr>
                <w:rFonts w:ascii="Tahoma" w:hAnsi="Tahoma" w:cs="Tahoma"/>
                <w:sz w:val="22"/>
                <w:szCs w:val="22"/>
                <w:lang w:val="en-AU"/>
              </w:rPr>
              <w:tab/>
              <w:t>to be transparent and published in order to provide pricing signals to network users;</w:t>
            </w:r>
          </w:p>
        </w:tc>
        <w:tc>
          <w:tcPr>
            <w:tcW w:w="3499" w:type="dxa"/>
            <w:tcBorders>
              <w:top w:val="single" w:sz="4" w:space="0" w:color="auto"/>
              <w:left w:val="single" w:sz="4" w:space="0" w:color="auto"/>
              <w:bottom w:val="single" w:sz="4" w:space="0" w:color="auto"/>
              <w:right w:val="single" w:sz="4" w:space="0" w:color="auto"/>
            </w:tcBorders>
            <w:vAlign w:val="center"/>
          </w:tcPr>
          <w:p w14:paraId="3F011B85" w14:textId="77777777" w:rsidR="009874AC" w:rsidRPr="004360BF" w:rsidRDefault="009874AC"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jc w:val="left"/>
              <w:rPr>
                <w:rFonts w:ascii="Tahoma" w:hAnsi="Tahoma" w:cs="Tahoma"/>
                <w:sz w:val="22"/>
                <w:szCs w:val="22"/>
                <w:lang w:val="en-AU"/>
              </w:rPr>
            </w:pPr>
            <w:r w:rsidRPr="004360BF">
              <w:rPr>
                <w:rFonts w:ascii="Tahoma" w:hAnsi="Tahoma" w:cs="Tahoma"/>
                <w:sz w:val="22"/>
                <w:szCs w:val="22"/>
                <w:lang w:val="en-AU"/>
              </w:rPr>
              <w:t xml:space="preserve">Tariff schedules at </w:t>
            </w:r>
            <w:r w:rsidR="002C7069" w:rsidRPr="004360BF">
              <w:rPr>
                <w:rFonts w:ascii="Tahoma" w:hAnsi="Tahoma" w:cs="Tahoma"/>
                <w:sz w:val="22"/>
                <w:szCs w:val="22"/>
                <w:lang w:val="en-AU"/>
              </w:rPr>
              <w:t>A</w:t>
            </w:r>
            <w:r w:rsidRPr="004360BF">
              <w:rPr>
                <w:rFonts w:ascii="Tahoma" w:hAnsi="Tahoma" w:cs="Tahoma"/>
                <w:sz w:val="22"/>
                <w:szCs w:val="22"/>
                <w:lang w:val="en-AU"/>
              </w:rPr>
              <w:t xml:space="preserve">ttachment </w:t>
            </w:r>
            <w:r w:rsidR="002B710F" w:rsidRPr="004360BF">
              <w:rPr>
                <w:rFonts w:ascii="Tahoma" w:hAnsi="Tahoma" w:cs="Tahoma"/>
                <w:sz w:val="22"/>
                <w:szCs w:val="22"/>
                <w:lang w:val="en-AU"/>
              </w:rPr>
              <w:t>3</w:t>
            </w:r>
            <w:r w:rsidRPr="004360BF">
              <w:rPr>
                <w:rFonts w:ascii="Tahoma" w:hAnsi="Tahoma" w:cs="Tahoma"/>
                <w:sz w:val="22"/>
                <w:szCs w:val="22"/>
                <w:lang w:val="en-AU"/>
              </w:rPr>
              <w:t xml:space="preserve"> will be published.</w:t>
            </w:r>
          </w:p>
        </w:tc>
      </w:tr>
      <w:tr w:rsidR="009874AC" w:rsidRPr="004360BF" w14:paraId="2D43109E" w14:textId="77777777" w:rsidTr="004F7D60">
        <w:tc>
          <w:tcPr>
            <w:tcW w:w="5680" w:type="dxa"/>
            <w:tcBorders>
              <w:top w:val="single" w:sz="4" w:space="0" w:color="auto"/>
              <w:left w:val="single" w:sz="4" w:space="0" w:color="auto"/>
              <w:bottom w:val="single" w:sz="4" w:space="0" w:color="auto"/>
              <w:right w:val="single" w:sz="4" w:space="0" w:color="auto"/>
            </w:tcBorders>
          </w:tcPr>
          <w:p w14:paraId="426D0036" w14:textId="77777777" w:rsidR="009874AC" w:rsidRPr="004360BF" w:rsidRDefault="009874AC" w:rsidP="00D732C1">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(d)</w:t>
            </w:r>
            <w:r w:rsidRPr="004360BF">
              <w:rPr>
                <w:rFonts w:ascii="Tahoma" w:hAnsi="Tahoma" w:cs="Tahoma"/>
                <w:sz w:val="22"/>
                <w:szCs w:val="22"/>
                <w:lang w:val="en-AU"/>
              </w:rPr>
              <w:tab/>
              <w:t>to promote price stability; and</w:t>
            </w:r>
          </w:p>
        </w:tc>
        <w:tc>
          <w:tcPr>
            <w:tcW w:w="3499" w:type="dxa"/>
            <w:tcBorders>
              <w:top w:val="single" w:sz="4" w:space="0" w:color="auto"/>
              <w:left w:val="single" w:sz="4" w:space="0" w:color="auto"/>
              <w:bottom w:val="single" w:sz="4" w:space="0" w:color="auto"/>
              <w:right w:val="single" w:sz="4" w:space="0" w:color="auto"/>
            </w:tcBorders>
            <w:vAlign w:val="center"/>
          </w:tcPr>
          <w:p w14:paraId="6AADEBFC" w14:textId="7DB0D77D" w:rsidR="009874AC" w:rsidRPr="004360BF" w:rsidRDefault="009874AC" w:rsidP="00603EFF">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jc w:val="left"/>
              <w:rPr>
                <w:rFonts w:ascii="Tahoma" w:hAnsi="Tahoma" w:cs="Tahoma"/>
                <w:sz w:val="22"/>
                <w:szCs w:val="22"/>
                <w:lang w:val="en-AU"/>
              </w:rPr>
            </w:pPr>
            <w:r w:rsidRPr="004360BF">
              <w:rPr>
                <w:rFonts w:ascii="Tahoma" w:hAnsi="Tahoma" w:cs="Tahoma"/>
                <w:sz w:val="22"/>
                <w:szCs w:val="22"/>
                <w:lang w:val="en-AU"/>
              </w:rPr>
              <w:t xml:space="preserve">Section </w:t>
            </w:r>
            <w:r w:rsidR="00603EFF" w:rsidRPr="004360BF">
              <w:rPr>
                <w:rFonts w:ascii="Tahoma" w:hAnsi="Tahoma" w:cs="Tahoma"/>
                <w:sz w:val="22"/>
                <w:szCs w:val="22"/>
                <w:lang w:val="en-AU"/>
              </w:rPr>
              <w:fldChar w:fldCharType="begin"/>
            </w:r>
            <w:r w:rsidR="00603EFF" w:rsidRPr="004360BF">
              <w:rPr>
                <w:rFonts w:ascii="Tahoma" w:hAnsi="Tahoma" w:cs="Tahoma"/>
                <w:sz w:val="22"/>
                <w:szCs w:val="22"/>
                <w:lang w:val="en-AU"/>
              </w:rPr>
              <w:instrText xml:space="preserve"> REF _Ref291313108 \r \h </w:instrText>
            </w:r>
            <w:r w:rsidR="00603EFF" w:rsidRPr="004360BF">
              <w:rPr>
                <w:rFonts w:ascii="Tahoma" w:hAnsi="Tahoma" w:cs="Tahoma"/>
                <w:sz w:val="22"/>
                <w:szCs w:val="22"/>
                <w:lang w:val="en-AU"/>
              </w:rPr>
            </w:r>
            <w:r w:rsidR="00603EFF" w:rsidRPr="004360BF">
              <w:rPr>
                <w:rFonts w:ascii="Tahoma" w:hAnsi="Tahoma" w:cs="Tahoma"/>
                <w:sz w:val="22"/>
                <w:szCs w:val="22"/>
                <w:lang w:val="en-AU"/>
              </w:rPr>
              <w:fldChar w:fldCharType="separate"/>
            </w:r>
            <w:r w:rsidR="008D3215">
              <w:rPr>
                <w:rFonts w:ascii="Tahoma" w:hAnsi="Tahoma" w:cs="Tahoma"/>
                <w:sz w:val="22"/>
                <w:szCs w:val="22"/>
                <w:lang w:val="en-AU"/>
              </w:rPr>
              <w:t>11.2</w:t>
            </w:r>
            <w:r w:rsidR="00603EFF" w:rsidRPr="004360BF">
              <w:rPr>
                <w:rFonts w:ascii="Tahoma" w:hAnsi="Tahoma" w:cs="Tahoma"/>
                <w:sz w:val="22"/>
                <w:szCs w:val="22"/>
                <w:lang w:val="en-AU"/>
              </w:rPr>
              <w:fldChar w:fldCharType="end"/>
            </w:r>
            <w:r w:rsidR="00603EFF" w:rsidRPr="004360BF">
              <w:rPr>
                <w:rFonts w:ascii="Tahoma" w:hAnsi="Tahoma" w:cs="Tahoma"/>
                <w:sz w:val="22"/>
                <w:szCs w:val="22"/>
                <w:lang w:val="en-AU"/>
              </w:rPr>
              <w:t xml:space="preserve"> </w:t>
            </w:r>
            <w:r w:rsidRPr="004360BF">
              <w:rPr>
                <w:rFonts w:ascii="Tahoma" w:hAnsi="Tahoma" w:cs="Tahoma"/>
                <w:sz w:val="22"/>
                <w:szCs w:val="22"/>
                <w:lang w:val="en-AU"/>
              </w:rPr>
              <w:t>on tariff movements.</w:t>
            </w:r>
          </w:p>
        </w:tc>
      </w:tr>
      <w:tr w:rsidR="009874AC" w:rsidRPr="004360BF" w14:paraId="31BF1848" w14:textId="77777777" w:rsidTr="004F7D60">
        <w:tc>
          <w:tcPr>
            <w:tcW w:w="5680" w:type="dxa"/>
            <w:tcBorders>
              <w:top w:val="single" w:sz="4" w:space="0" w:color="auto"/>
              <w:left w:val="single" w:sz="4" w:space="0" w:color="auto"/>
              <w:bottom w:val="single" w:sz="4" w:space="0" w:color="auto"/>
              <w:right w:val="single" w:sz="4" w:space="0" w:color="auto"/>
            </w:tcBorders>
          </w:tcPr>
          <w:p w14:paraId="00E150B9" w14:textId="77777777" w:rsidR="009874AC" w:rsidRPr="004360BF" w:rsidRDefault="009874AC" w:rsidP="00D732C1">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(e)</w:t>
            </w:r>
            <w:r w:rsidRPr="004360BF">
              <w:rPr>
                <w:rFonts w:ascii="Tahoma" w:hAnsi="Tahoma" w:cs="Tahoma"/>
                <w:sz w:val="22"/>
                <w:szCs w:val="22"/>
                <w:lang w:val="en-AU"/>
              </w:rPr>
              <w:tab/>
            </w:r>
            <w:proofErr w:type="gramStart"/>
            <w:r w:rsidRPr="004360BF">
              <w:rPr>
                <w:rFonts w:ascii="Tahoma" w:hAnsi="Tahoma" w:cs="Tahoma"/>
                <w:sz w:val="22"/>
                <w:szCs w:val="22"/>
                <w:lang w:val="en-AU"/>
              </w:rPr>
              <w:t>to</w:t>
            </w:r>
            <w:proofErr w:type="gramEnd"/>
            <w:r w:rsidRPr="004360BF">
              <w:rPr>
                <w:rFonts w:ascii="Tahoma" w:hAnsi="Tahoma" w:cs="Tahoma"/>
                <w:sz w:val="22"/>
                <w:szCs w:val="22"/>
                <w:lang w:val="en-AU"/>
              </w:rPr>
              <w:t xml:space="preserve"> reflect a balancing of the quest for detail against the administrative costs of doing so which would be passed through to end-use customers.</w:t>
            </w:r>
          </w:p>
        </w:tc>
        <w:tc>
          <w:tcPr>
            <w:tcW w:w="3499" w:type="dxa"/>
            <w:tcBorders>
              <w:top w:val="single" w:sz="4" w:space="0" w:color="auto"/>
              <w:left w:val="single" w:sz="4" w:space="0" w:color="auto"/>
              <w:bottom w:val="single" w:sz="4" w:space="0" w:color="auto"/>
              <w:right w:val="single" w:sz="4" w:space="0" w:color="auto"/>
            </w:tcBorders>
            <w:vAlign w:val="center"/>
          </w:tcPr>
          <w:p w14:paraId="5EE27C15" w14:textId="360FE8DD" w:rsidR="009874AC" w:rsidRPr="004360BF" w:rsidRDefault="002C7069" w:rsidP="00603EFF">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jc w:val="left"/>
              <w:rPr>
                <w:rFonts w:ascii="Tahoma" w:hAnsi="Tahoma" w:cs="Tahoma"/>
                <w:sz w:val="22"/>
                <w:szCs w:val="22"/>
                <w:lang w:val="en-AU"/>
              </w:rPr>
            </w:pPr>
            <w:r w:rsidRPr="004360BF">
              <w:rPr>
                <w:rFonts w:ascii="Tahoma" w:hAnsi="Tahoma" w:cs="Tahoma"/>
                <w:sz w:val="22"/>
                <w:szCs w:val="22"/>
                <w:lang w:val="en-AU"/>
              </w:rPr>
              <w:t xml:space="preserve">Chapter </w:t>
            </w:r>
            <w:r w:rsidR="00603EFF" w:rsidRPr="004360BF">
              <w:rPr>
                <w:rFonts w:ascii="Tahoma" w:hAnsi="Tahoma" w:cs="Tahoma"/>
                <w:sz w:val="22"/>
                <w:szCs w:val="22"/>
                <w:lang w:val="en-AU"/>
              </w:rPr>
              <w:fldChar w:fldCharType="begin"/>
            </w:r>
            <w:r w:rsidR="00603EFF" w:rsidRPr="004360BF">
              <w:rPr>
                <w:rFonts w:ascii="Tahoma" w:hAnsi="Tahoma" w:cs="Tahoma"/>
                <w:sz w:val="22"/>
                <w:szCs w:val="22"/>
                <w:lang w:val="en-AU"/>
              </w:rPr>
              <w:instrText xml:space="preserve"> REF _Ref258680630 \r \h </w:instrText>
            </w:r>
            <w:r w:rsidR="00603EFF" w:rsidRPr="004360BF">
              <w:rPr>
                <w:rFonts w:ascii="Tahoma" w:hAnsi="Tahoma" w:cs="Tahoma"/>
                <w:sz w:val="22"/>
                <w:szCs w:val="22"/>
                <w:lang w:val="en-AU"/>
              </w:rPr>
            </w:r>
            <w:r w:rsidR="00603EFF" w:rsidRPr="004360BF">
              <w:rPr>
                <w:rFonts w:ascii="Tahoma" w:hAnsi="Tahoma" w:cs="Tahoma"/>
                <w:sz w:val="22"/>
                <w:szCs w:val="22"/>
                <w:lang w:val="en-AU"/>
              </w:rPr>
              <w:fldChar w:fldCharType="separate"/>
            </w:r>
            <w:r w:rsidR="008D3215">
              <w:rPr>
                <w:rFonts w:ascii="Tahoma" w:hAnsi="Tahoma" w:cs="Tahoma"/>
                <w:sz w:val="22"/>
                <w:szCs w:val="22"/>
                <w:lang w:val="en-AU"/>
              </w:rPr>
              <w:t>9</w:t>
            </w:r>
            <w:r w:rsidR="00603EFF" w:rsidRPr="004360BF">
              <w:rPr>
                <w:rFonts w:ascii="Tahoma" w:hAnsi="Tahoma" w:cs="Tahoma"/>
                <w:sz w:val="22"/>
                <w:szCs w:val="22"/>
                <w:lang w:val="en-AU"/>
              </w:rPr>
              <w:fldChar w:fldCharType="end"/>
            </w:r>
            <w:r w:rsidR="009874AC" w:rsidRPr="004360BF">
              <w:rPr>
                <w:rFonts w:ascii="Tahoma" w:hAnsi="Tahoma" w:cs="Tahoma"/>
                <w:sz w:val="22"/>
                <w:szCs w:val="22"/>
                <w:lang w:val="en-AU"/>
              </w:rPr>
              <w:t xml:space="preserve"> on tariff structural changes.</w:t>
            </w:r>
          </w:p>
        </w:tc>
      </w:tr>
      <w:tr w:rsidR="002B710F" w:rsidRPr="004360BF" w14:paraId="52FA3BCA" w14:textId="77777777">
        <w:tc>
          <w:tcPr>
            <w:tcW w:w="5680" w:type="dxa"/>
            <w:tcBorders>
              <w:top w:val="single" w:sz="4" w:space="0" w:color="auto"/>
              <w:left w:val="single" w:sz="4" w:space="0" w:color="auto"/>
              <w:bottom w:val="single" w:sz="4" w:space="0" w:color="auto"/>
              <w:right w:val="single" w:sz="4" w:space="0" w:color="auto"/>
            </w:tcBorders>
          </w:tcPr>
          <w:p w14:paraId="0B13619E" w14:textId="77777777" w:rsidR="002B710F" w:rsidRPr="004360BF" w:rsidRDefault="002B710F" w:rsidP="004F7D60">
            <w:pPr>
              <w:spacing w:before="40" w:after="40"/>
              <w:ind w:left="318" w:hanging="318"/>
              <w:rPr>
                <w:rFonts w:cs="Tahoma"/>
                <w:sz w:val="22"/>
                <w:szCs w:val="22"/>
                <w:lang w:val="en-AU"/>
              </w:rPr>
            </w:pPr>
            <w:r w:rsidRPr="004360BF">
              <w:rPr>
                <w:rFonts w:cs="Tahoma"/>
                <w:sz w:val="22"/>
                <w:szCs w:val="22"/>
                <w:lang w:val="en-AU"/>
              </w:rPr>
              <w:lastRenderedPageBreak/>
              <w:t>75.      Structure of regulated network prices</w:t>
            </w:r>
          </w:p>
          <w:p w14:paraId="0194AD9D"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744" w:hanging="426"/>
              <w:jc w:val="left"/>
              <w:rPr>
                <w:rFonts w:ascii="Tahoma" w:hAnsi="Tahoma" w:cs="Tahoma"/>
                <w:sz w:val="22"/>
                <w:szCs w:val="22"/>
                <w:lang w:val="en-AU"/>
              </w:rPr>
            </w:pPr>
            <w:r w:rsidRPr="004360BF">
              <w:rPr>
                <w:rFonts w:ascii="Tahoma" w:hAnsi="Tahoma" w:cs="Tahoma"/>
                <w:sz w:val="22"/>
                <w:szCs w:val="22"/>
                <w:lang w:val="en-AU"/>
              </w:rPr>
              <w:t>(1) The network provider is to be responsible for establishing the pricing structure that best gives effect to the principles in clause 74.</w:t>
            </w:r>
          </w:p>
          <w:p w14:paraId="3FD510E4"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744" w:hanging="426"/>
              <w:jc w:val="left"/>
              <w:rPr>
                <w:rFonts w:ascii="Tahoma" w:hAnsi="Tahoma" w:cs="Tahoma"/>
                <w:sz w:val="22"/>
                <w:szCs w:val="22"/>
                <w:lang w:val="en-AU"/>
              </w:rPr>
            </w:pPr>
            <w:r w:rsidRPr="004360BF">
              <w:rPr>
                <w:rFonts w:ascii="Tahoma" w:hAnsi="Tahoma" w:cs="Tahoma"/>
                <w:sz w:val="22"/>
                <w:szCs w:val="22"/>
                <w:lang w:val="en-AU"/>
              </w:rPr>
              <w:t>(2)</w:t>
            </w:r>
            <w:r w:rsidRPr="004360BF">
              <w:rPr>
                <w:rFonts w:ascii="Tahoma" w:hAnsi="Tahoma" w:cs="Tahoma"/>
                <w:sz w:val="22"/>
                <w:szCs w:val="22"/>
                <w:lang w:val="en-AU"/>
              </w:rPr>
              <w:tab/>
              <w:t>In determining the pricing structure, the network provider may distinguish tariffs and charges for the following categories of standard network access services –</w:t>
            </w:r>
          </w:p>
          <w:p w14:paraId="6BF5BEC9"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(a)  entry services that include the asset-related costs and services provided to serve a generator user at its connection point;</w:t>
            </w:r>
          </w:p>
          <w:p w14:paraId="4DA52705"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(b)</w:t>
            </w:r>
            <w:r w:rsidRPr="004360BF">
              <w:rPr>
                <w:rFonts w:ascii="Tahoma" w:hAnsi="Tahoma" w:cs="Tahoma"/>
                <w:sz w:val="22"/>
                <w:szCs w:val="22"/>
                <w:lang w:val="en-AU"/>
              </w:rPr>
              <w:tab/>
              <w:t>exit services that include the asset-related costs and services provided to serve a load user at its connection point;</w:t>
            </w:r>
          </w:p>
          <w:p w14:paraId="53D6CA59"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(c)</w:t>
            </w:r>
            <w:r w:rsidRPr="004360BF">
              <w:rPr>
                <w:rFonts w:ascii="Tahoma" w:hAnsi="Tahoma" w:cs="Tahoma"/>
                <w:sz w:val="22"/>
                <w:szCs w:val="22"/>
                <w:lang w:val="en-AU"/>
              </w:rPr>
              <w:tab/>
              <w:t>common services that include the asset-related costs and services that ensure the integrity of the network and benefit all network users and cannot be allocated on the basis of voltage levels or location; and</w:t>
            </w:r>
          </w:p>
          <w:p w14:paraId="721DA8DF"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(d)</w:t>
            </w:r>
            <w:r w:rsidRPr="004360BF">
              <w:rPr>
                <w:rFonts w:ascii="Tahoma" w:hAnsi="Tahoma" w:cs="Tahoma"/>
                <w:sz w:val="22"/>
                <w:szCs w:val="22"/>
                <w:lang w:val="en-AU"/>
              </w:rPr>
              <w:tab/>
              <w:t>use of network services that include the network shared by generator users and load users, but exclude entry services, exit services and common services.</w:t>
            </w:r>
          </w:p>
          <w:p w14:paraId="76E46C78"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744" w:hanging="426"/>
              <w:jc w:val="left"/>
              <w:rPr>
                <w:rFonts w:ascii="Tahoma" w:hAnsi="Tahoma" w:cs="Tahoma"/>
                <w:sz w:val="22"/>
                <w:szCs w:val="22"/>
                <w:lang w:val="en-AU"/>
              </w:rPr>
            </w:pPr>
            <w:r w:rsidRPr="004360BF">
              <w:rPr>
                <w:rFonts w:ascii="Tahoma" w:hAnsi="Tahoma" w:cs="Tahoma"/>
                <w:sz w:val="22"/>
                <w:szCs w:val="22"/>
                <w:lang w:val="en-AU"/>
              </w:rPr>
              <w:t>(3)</w:t>
            </w:r>
            <w:r w:rsidRPr="004360BF">
              <w:rPr>
                <w:rFonts w:ascii="Tahoma" w:hAnsi="Tahoma" w:cs="Tahoma"/>
                <w:sz w:val="22"/>
                <w:szCs w:val="22"/>
                <w:lang w:val="en-AU"/>
              </w:rPr>
              <w:tab/>
              <w:t>Tariffs and charges may relate to specific connection points, and may involve a combination of fixed and variable amounts and may be related to one or more of the following elements –</w:t>
            </w:r>
          </w:p>
          <w:p w14:paraId="3422225E"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(a)</w:t>
            </w:r>
            <w:r w:rsidRPr="004360BF">
              <w:rPr>
                <w:rFonts w:ascii="Tahoma" w:hAnsi="Tahoma" w:cs="Tahoma"/>
                <w:sz w:val="22"/>
                <w:szCs w:val="22"/>
                <w:lang w:val="en-AU"/>
              </w:rPr>
              <w:tab/>
              <w:t>demand levels (maximum kW or kVA per period);</w:t>
            </w:r>
          </w:p>
          <w:p w14:paraId="1C8D43D9"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(b)</w:t>
            </w:r>
            <w:r w:rsidRPr="004360BF">
              <w:rPr>
                <w:rFonts w:ascii="Tahoma" w:hAnsi="Tahoma" w:cs="Tahoma"/>
                <w:sz w:val="22"/>
                <w:szCs w:val="22"/>
                <w:lang w:val="en-AU"/>
              </w:rPr>
              <w:tab/>
              <w:t xml:space="preserve">energy quantities involved (kWh or </w:t>
            </w:r>
            <w:proofErr w:type="spellStart"/>
            <w:r w:rsidRPr="004360BF">
              <w:rPr>
                <w:rFonts w:ascii="Tahoma" w:hAnsi="Tahoma" w:cs="Tahoma"/>
                <w:sz w:val="22"/>
                <w:szCs w:val="22"/>
                <w:lang w:val="en-AU"/>
              </w:rPr>
              <w:t>kVAh</w:t>
            </w:r>
            <w:proofErr w:type="spellEnd"/>
            <w:r w:rsidRPr="004360BF">
              <w:rPr>
                <w:rFonts w:ascii="Tahoma" w:hAnsi="Tahoma" w:cs="Tahoma"/>
                <w:sz w:val="22"/>
                <w:szCs w:val="22"/>
                <w:lang w:val="en-AU"/>
              </w:rPr>
              <w:t xml:space="preserve"> per period); and</w:t>
            </w:r>
          </w:p>
          <w:p w14:paraId="72708B2F"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(c)</w:t>
            </w:r>
            <w:r w:rsidRPr="004360BF">
              <w:rPr>
                <w:rFonts w:ascii="Tahoma" w:hAnsi="Tahoma" w:cs="Tahoma"/>
                <w:sz w:val="22"/>
                <w:szCs w:val="22"/>
                <w:lang w:val="en-AU"/>
              </w:rPr>
              <w:tab/>
            </w:r>
            <w:proofErr w:type="gramStart"/>
            <w:r w:rsidRPr="004360BF">
              <w:rPr>
                <w:rFonts w:ascii="Tahoma" w:hAnsi="Tahoma" w:cs="Tahoma"/>
                <w:sz w:val="22"/>
                <w:szCs w:val="22"/>
                <w:lang w:val="en-AU"/>
              </w:rPr>
              <w:t>time</w:t>
            </w:r>
            <w:proofErr w:type="gramEnd"/>
            <w:r w:rsidRPr="004360BF">
              <w:rPr>
                <w:rFonts w:ascii="Tahoma" w:hAnsi="Tahoma" w:cs="Tahoma"/>
                <w:sz w:val="22"/>
                <w:szCs w:val="22"/>
                <w:lang w:val="en-AU"/>
              </w:rPr>
              <w:t xml:space="preserve"> of use.</w:t>
            </w:r>
          </w:p>
          <w:p w14:paraId="6298827B"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744" w:hanging="426"/>
              <w:jc w:val="left"/>
              <w:rPr>
                <w:rFonts w:ascii="Tahoma" w:hAnsi="Tahoma" w:cs="Tahoma"/>
                <w:sz w:val="22"/>
                <w:szCs w:val="22"/>
                <w:lang w:val="en-AU"/>
              </w:rPr>
            </w:pPr>
            <w:r w:rsidRPr="004360BF">
              <w:rPr>
                <w:rFonts w:ascii="Tahoma" w:hAnsi="Tahoma" w:cs="Tahoma"/>
                <w:sz w:val="22"/>
                <w:szCs w:val="22"/>
                <w:lang w:val="en-AU"/>
              </w:rPr>
              <w:t>(4)</w:t>
            </w:r>
            <w:r w:rsidRPr="004360BF">
              <w:rPr>
                <w:rFonts w:ascii="Tahoma" w:hAnsi="Tahoma" w:cs="Tahoma"/>
                <w:sz w:val="22"/>
                <w:szCs w:val="22"/>
                <w:lang w:val="en-AU"/>
              </w:rPr>
              <w:tab/>
              <w:t>If quantities are used in determining tariffs and charges, these quantities may refer to minimum, maximum or actual quantities.</w:t>
            </w:r>
          </w:p>
          <w:p w14:paraId="0FD2A4FE" w14:textId="77777777" w:rsidR="002B710F" w:rsidRPr="004360BF" w:rsidRDefault="002B710F"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744" w:hanging="426"/>
              <w:jc w:val="left"/>
              <w:rPr>
                <w:rFonts w:ascii="Tahoma" w:hAnsi="Tahoma" w:cs="Tahoma"/>
                <w:sz w:val="22"/>
                <w:szCs w:val="22"/>
                <w:lang w:val="en-AU"/>
              </w:rPr>
            </w:pPr>
            <w:r w:rsidRPr="004360BF">
              <w:rPr>
                <w:rFonts w:ascii="Tahoma" w:hAnsi="Tahoma" w:cs="Tahoma"/>
                <w:sz w:val="22"/>
                <w:szCs w:val="22"/>
                <w:lang w:val="en-AU"/>
              </w:rPr>
              <w:t xml:space="preserve">(5)  </w:t>
            </w:r>
            <w:r w:rsidRPr="004360BF">
              <w:rPr>
                <w:rFonts w:ascii="Tahoma" w:hAnsi="Tahoma"/>
                <w:sz w:val="22"/>
                <w:szCs w:val="22"/>
                <w:lang w:val="en-AU"/>
              </w:rPr>
              <w:t>Prior to commencement of each regulatory control period or to the network provider’s coverage by this Code, the network provider must provide the regulator with a draft statement setting out details of principles and methods to be used for defining the individual standard network access services to be supplied by the network provider and for establishing the reference tariffs to apply to those services.</w:t>
            </w:r>
          </w:p>
        </w:tc>
        <w:tc>
          <w:tcPr>
            <w:tcW w:w="3499" w:type="dxa"/>
            <w:tcBorders>
              <w:top w:val="single" w:sz="4" w:space="0" w:color="auto"/>
              <w:left w:val="single" w:sz="4" w:space="0" w:color="auto"/>
              <w:bottom w:val="single" w:sz="4" w:space="0" w:color="auto"/>
              <w:right w:val="single" w:sz="4" w:space="0" w:color="auto"/>
            </w:tcBorders>
          </w:tcPr>
          <w:p w14:paraId="1F1064DD" w14:textId="77777777" w:rsidR="002B710F" w:rsidRPr="004360BF" w:rsidRDefault="002B710F" w:rsidP="00D732C1">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jc w:val="left"/>
              <w:rPr>
                <w:rFonts w:ascii="Tahoma" w:hAnsi="Tahoma" w:cs="Tahoma"/>
                <w:sz w:val="22"/>
                <w:szCs w:val="22"/>
                <w:lang w:val="en-AU"/>
              </w:rPr>
            </w:pPr>
            <w:r w:rsidRPr="004360BF">
              <w:rPr>
                <w:rFonts w:ascii="Tahoma" w:hAnsi="Tahoma" w:cs="Tahoma"/>
                <w:sz w:val="22"/>
                <w:szCs w:val="22"/>
                <w:lang w:val="en-AU"/>
              </w:rPr>
              <w:t xml:space="preserve">Part A: Network Pricing Proposal Statement </w:t>
            </w:r>
          </w:p>
        </w:tc>
      </w:tr>
      <w:tr w:rsidR="004F7D60" w:rsidRPr="004360BF" w14:paraId="35A6F51A" w14:textId="77777777">
        <w:tc>
          <w:tcPr>
            <w:tcW w:w="5680" w:type="dxa"/>
            <w:tcBorders>
              <w:top w:val="single" w:sz="4" w:space="0" w:color="auto"/>
              <w:left w:val="single" w:sz="4" w:space="0" w:color="auto"/>
              <w:bottom w:val="single" w:sz="4" w:space="0" w:color="auto"/>
              <w:right w:val="single" w:sz="4" w:space="0" w:color="auto"/>
            </w:tcBorders>
          </w:tcPr>
          <w:p w14:paraId="64D4957D" w14:textId="572FE2B8" w:rsidR="004F7D60" w:rsidRPr="004360BF" w:rsidRDefault="004F7D60" w:rsidP="004F7D60">
            <w:pPr>
              <w:spacing w:before="40" w:after="40"/>
              <w:ind w:left="318" w:hanging="318"/>
              <w:rPr>
                <w:rFonts w:cs="Tahoma"/>
                <w:sz w:val="22"/>
                <w:szCs w:val="22"/>
                <w:lang w:val="en-AU"/>
              </w:rPr>
            </w:pPr>
            <w:r w:rsidRPr="004360BF">
              <w:rPr>
                <w:rFonts w:cs="Tahoma"/>
                <w:sz w:val="22"/>
                <w:szCs w:val="22"/>
                <w:lang w:val="en-AU"/>
              </w:rPr>
              <w:t>78.</w:t>
            </w:r>
            <w:r w:rsidRPr="004360BF">
              <w:rPr>
                <w:rFonts w:cs="Tahoma"/>
                <w:sz w:val="22"/>
                <w:szCs w:val="22"/>
                <w:lang w:val="en-AU"/>
              </w:rPr>
              <w:tab/>
            </w:r>
            <w:r w:rsidR="00603EFF" w:rsidRPr="004360BF">
              <w:rPr>
                <w:rFonts w:cs="Tahoma"/>
                <w:sz w:val="22"/>
                <w:szCs w:val="22"/>
                <w:lang w:val="en-AU"/>
              </w:rPr>
              <w:tab/>
            </w:r>
            <w:r w:rsidRPr="004360BF">
              <w:rPr>
                <w:rFonts w:cs="Tahoma"/>
                <w:sz w:val="22"/>
                <w:szCs w:val="22"/>
                <w:lang w:val="en-AU"/>
              </w:rPr>
              <w:t>Role of regulator</w:t>
            </w:r>
          </w:p>
          <w:p w14:paraId="4A77C5D5" w14:textId="77777777" w:rsidR="004F7D60" w:rsidRPr="004360BF" w:rsidRDefault="004F7D60" w:rsidP="004F7D60">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744" w:hanging="426"/>
              <w:jc w:val="left"/>
              <w:rPr>
                <w:rFonts w:ascii="Tahoma" w:hAnsi="Tahoma" w:cs="Tahoma"/>
                <w:sz w:val="22"/>
                <w:szCs w:val="22"/>
                <w:lang w:val="en-AU"/>
              </w:rPr>
            </w:pPr>
            <w:r w:rsidRPr="004360BF">
              <w:rPr>
                <w:rFonts w:ascii="Tahoma" w:hAnsi="Tahoma" w:cs="Tahoma"/>
                <w:sz w:val="22"/>
                <w:szCs w:val="22"/>
                <w:lang w:val="en-AU"/>
              </w:rPr>
              <w:t>(1)</w:t>
            </w:r>
            <w:r w:rsidRPr="004360BF">
              <w:rPr>
                <w:rFonts w:ascii="Tahoma" w:hAnsi="Tahoma" w:cs="Tahoma"/>
                <w:sz w:val="22"/>
                <w:szCs w:val="22"/>
                <w:lang w:val="en-AU"/>
              </w:rPr>
              <w:tab/>
              <w:t xml:space="preserve">At least 60 days prior to the start of each financial year, the network provider must provide to the regulator a statement setting out its proposed reference tariffs for the standard network access </w:t>
            </w:r>
            <w:r w:rsidRPr="004360BF">
              <w:rPr>
                <w:rFonts w:ascii="Tahoma" w:hAnsi="Tahoma" w:cs="Tahoma"/>
                <w:sz w:val="22"/>
                <w:szCs w:val="22"/>
                <w:lang w:val="en-AU"/>
              </w:rPr>
              <w:lastRenderedPageBreak/>
              <w:t>services it will be supplying that will apply in the relevant period with respect to a network.</w:t>
            </w:r>
          </w:p>
          <w:p w14:paraId="6FED6C05" w14:textId="77777777" w:rsidR="004F7D60" w:rsidRPr="004360BF" w:rsidRDefault="004F7D60" w:rsidP="006B7E77">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ind w:left="744" w:hanging="426"/>
              <w:jc w:val="left"/>
              <w:rPr>
                <w:lang w:val="en-AU"/>
              </w:rPr>
            </w:pPr>
            <w:r w:rsidRPr="004360BF">
              <w:rPr>
                <w:rFonts w:ascii="Tahoma" w:hAnsi="Tahoma" w:cs="Tahoma"/>
                <w:sz w:val="22"/>
                <w:szCs w:val="22"/>
                <w:lang w:val="en-AU"/>
              </w:rPr>
              <w:t>(2)</w:t>
            </w:r>
            <w:r w:rsidRPr="004360BF">
              <w:rPr>
                <w:rFonts w:ascii="Tahoma" w:hAnsi="Tahoma" w:cs="Tahoma"/>
                <w:sz w:val="22"/>
                <w:szCs w:val="22"/>
                <w:lang w:val="en-AU"/>
              </w:rPr>
              <w:tab/>
              <w:t>The statement must detail how the tariffs and charges have been calculated by application of the principles in this Chapter.</w:t>
            </w:r>
          </w:p>
        </w:tc>
        <w:tc>
          <w:tcPr>
            <w:tcW w:w="3499" w:type="dxa"/>
            <w:tcBorders>
              <w:top w:val="single" w:sz="4" w:space="0" w:color="auto"/>
              <w:left w:val="single" w:sz="4" w:space="0" w:color="auto"/>
              <w:bottom w:val="single" w:sz="4" w:space="0" w:color="auto"/>
              <w:right w:val="single" w:sz="4" w:space="0" w:color="auto"/>
            </w:tcBorders>
          </w:tcPr>
          <w:p w14:paraId="0255EE63" w14:textId="77777777" w:rsidR="004F7D60" w:rsidRPr="004360BF" w:rsidRDefault="004F7D60" w:rsidP="00F329CC">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jc w:val="left"/>
              <w:rPr>
                <w:rFonts w:ascii="Tahoma" w:hAnsi="Tahoma" w:cs="Tahoma"/>
                <w:sz w:val="22"/>
                <w:szCs w:val="22"/>
                <w:lang w:val="en-AU"/>
              </w:rPr>
            </w:pPr>
            <w:r w:rsidRPr="004360BF">
              <w:rPr>
                <w:rFonts w:ascii="Tahoma" w:hAnsi="Tahoma" w:cs="Tahoma"/>
                <w:sz w:val="22"/>
                <w:szCs w:val="22"/>
                <w:lang w:val="en-AU"/>
              </w:rPr>
              <w:lastRenderedPageBreak/>
              <w:t>Part B: 201</w:t>
            </w:r>
            <w:r w:rsidR="00F329CC" w:rsidRPr="004360BF">
              <w:rPr>
                <w:rFonts w:ascii="Tahoma" w:hAnsi="Tahoma" w:cs="Tahoma"/>
                <w:sz w:val="22"/>
                <w:szCs w:val="22"/>
                <w:lang w:val="en-AU"/>
              </w:rPr>
              <w:t>5</w:t>
            </w:r>
            <w:r w:rsidRPr="004360BF">
              <w:rPr>
                <w:rFonts w:ascii="Tahoma" w:hAnsi="Tahoma" w:cs="Tahoma"/>
                <w:sz w:val="22"/>
                <w:szCs w:val="22"/>
                <w:lang w:val="en-AU"/>
              </w:rPr>
              <w:t>/1</w:t>
            </w:r>
            <w:r w:rsidR="00F329CC" w:rsidRPr="004360BF">
              <w:rPr>
                <w:rFonts w:ascii="Tahoma" w:hAnsi="Tahoma" w:cs="Tahoma"/>
                <w:sz w:val="22"/>
                <w:szCs w:val="22"/>
                <w:lang w:val="en-AU"/>
              </w:rPr>
              <w:t>6</w:t>
            </w:r>
            <w:r w:rsidRPr="004360BF">
              <w:rPr>
                <w:rFonts w:ascii="Tahoma" w:hAnsi="Tahoma" w:cs="Tahoma"/>
                <w:sz w:val="22"/>
                <w:szCs w:val="22"/>
                <w:lang w:val="en-AU"/>
              </w:rPr>
              <w:t xml:space="preserve"> Network Pricing Proposal</w:t>
            </w:r>
          </w:p>
        </w:tc>
      </w:tr>
    </w:tbl>
    <w:p w14:paraId="6115B592" w14:textId="77777777" w:rsidR="009874AC" w:rsidRPr="004360BF" w:rsidRDefault="009874AC" w:rsidP="00275FE8">
      <w:pPr>
        <w:spacing w:after="0"/>
        <w:rPr>
          <w:lang w:val="en-AU"/>
        </w:rPr>
      </w:pPr>
    </w:p>
    <w:p w14:paraId="18E38BB1" w14:textId="77777777" w:rsidR="00E46723" w:rsidRPr="004360BF" w:rsidRDefault="009874AC" w:rsidP="00EE7AA1">
      <w:pPr>
        <w:pStyle w:val="Heading3"/>
        <w:numPr>
          <w:ilvl w:val="0"/>
          <w:numId w:val="0"/>
        </w:numPr>
      </w:pPr>
      <w:bookmarkStart w:id="551" w:name="_Toc417291798"/>
      <w:bookmarkStart w:id="552" w:name="_Toc417292566"/>
      <w:bookmarkStart w:id="553" w:name="_Toc291262284"/>
      <w:r w:rsidRPr="004360BF">
        <w:t>A</w:t>
      </w:r>
      <w:r w:rsidR="00A14042" w:rsidRPr="004360BF">
        <w:t>4</w:t>
      </w:r>
      <w:r w:rsidRPr="004360BF">
        <w:t>.2</w:t>
      </w:r>
      <w:r w:rsidRPr="004360BF">
        <w:tab/>
      </w:r>
      <w:r w:rsidR="00897576" w:rsidRPr="004360BF">
        <w:t>RIN r</w:t>
      </w:r>
      <w:r w:rsidR="00E46723" w:rsidRPr="004360BF">
        <w:t>equirements</w:t>
      </w:r>
      <w:bookmarkEnd w:id="551"/>
      <w:bookmarkEnd w:id="552"/>
      <w:bookmarkEnd w:id="553"/>
    </w:p>
    <w:p w14:paraId="6C72BD1F" w14:textId="1A6F2334" w:rsidR="00E46723" w:rsidRPr="004360BF" w:rsidRDefault="00E46723" w:rsidP="00E46723">
      <w:pPr>
        <w:rPr>
          <w:lang w:val="en-AU"/>
        </w:rPr>
      </w:pPr>
      <w:r w:rsidRPr="004360BF">
        <w:rPr>
          <w:lang w:val="en-AU"/>
        </w:rPr>
        <w:t xml:space="preserve">The requirements of the Commission’s RIN in relation to the pricing principles in this document are set out in </w:t>
      </w:r>
      <w:r w:rsidR="00EE7AA1" w:rsidRPr="004360BF">
        <w:rPr>
          <w:lang w:val="en-AU"/>
        </w:rPr>
        <w:fldChar w:fldCharType="begin"/>
      </w:r>
      <w:r w:rsidR="00EE7AA1" w:rsidRPr="004360BF">
        <w:rPr>
          <w:lang w:val="en-AU"/>
        </w:rPr>
        <w:instrText xml:space="preserve"> REF _Ref240613607 \h </w:instrText>
      </w:r>
      <w:r w:rsidR="00EE7AA1" w:rsidRPr="004360BF">
        <w:rPr>
          <w:lang w:val="en-AU"/>
        </w:rPr>
      </w:r>
      <w:r w:rsidR="00EE7AA1" w:rsidRPr="004360BF">
        <w:rPr>
          <w:lang w:val="en-AU"/>
        </w:rPr>
        <w:fldChar w:fldCharType="separate"/>
      </w:r>
      <w:r w:rsidR="008D3215" w:rsidRPr="004360BF">
        <w:rPr>
          <w:lang w:val="en-AU"/>
        </w:rPr>
        <w:t xml:space="preserve">Table </w:t>
      </w:r>
      <w:r w:rsidR="008D3215">
        <w:rPr>
          <w:noProof/>
          <w:lang w:val="en-AU"/>
        </w:rPr>
        <w:t>26</w:t>
      </w:r>
      <w:r w:rsidR="00EE7AA1" w:rsidRPr="004360BF">
        <w:rPr>
          <w:lang w:val="en-AU"/>
        </w:rPr>
        <w:fldChar w:fldCharType="end"/>
      </w:r>
      <w:r w:rsidRPr="004360BF">
        <w:rPr>
          <w:lang w:val="en-AU"/>
        </w:rPr>
        <w:t xml:space="preserve">. </w:t>
      </w:r>
    </w:p>
    <w:p w14:paraId="08CE3478" w14:textId="77777777" w:rsidR="00E46723" w:rsidRPr="004360BF" w:rsidRDefault="00E46723" w:rsidP="00E46723">
      <w:pPr>
        <w:pStyle w:val="Caption"/>
        <w:rPr>
          <w:lang w:val="en-AU"/>
        </w:rPr>
      </w:pPr>
      <w:bookmarkStart w:id="554" w:name="_Ref240613607"/>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26</w:t>
      </w:r>
      <w:r w:rsidR="00517DD9" w:rsidRPr="004360BF">
        <w:rPr>
          <w:lang w:val="en-AU"/>
        </w:rPr>
        <w:fldChar w:fldCharType="end"/>
      </w:r>
      <w:bookmarkEnd w:id="554"/>
      <w:r w:rsidRPr="004360BF">
        <w:rPr>
          <w:lang w:val="en-AU"/>
        </w:rPr>
        <w:t xml:space="preserve"> – RIN requirements on pricing principles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91"/>
        <w:gridCol w:w="2888"/>
      </w:tblGrid>
      <w:tr w:rsidR="00E46723" w:rsidRPr="004360BF" w14:paraId="77260590" w14:textId="77777777" w:rsidTr="006B7E77">
        <w:trPr>
          <w:tblHeader/>
        </w:trPr>
        <w:tc>
          <w:tcPr>
            <w:tcW w:w="6291" w:type="dxa"/>
            <w:tcBorders>
              <w:top w:val="single" w:sz="4" w:space="0" w:color="auto"/>
              <w:left w:val="single" w:sz="4" w:space="0" w:color="auto"/>
              <w:bottom w:val="single" w:sz="4" w:space="0" w:color="auto"/>
              <w:right w:val="single" w:sz="4" w:space="0" w:color="auto"/>
            </w:tcBorders>
            <w:shd w:val="solid" w:color="C6D9F1" w:fill="auto"/>
          </w:tcPr>
          <w:p w14:paraId="69BF89C7" w14:textId="77777777" w:rsidR="00E46723" w:rsidRPr="004360BF" w:rsidRDefault="00E46723" w:rsidP="006B7E77">
            <w:pPr>
              <w:spacing w:before="40" w:after="40"/>
              <w:jc w:val="both"/>
              <w:outlineLvl w:val="1"/>
              <w:rPr>
                <w:rFonts w:cs="Tahoma"/>
                <w:b/>
                <w:sz w:val="22"/>
                <w:szCs w:val="22"/>
                <w:u w:val="single"/>
                <w:lang w:val="en-AU"/>
              </w:rPr>
            </w:pPr>
            <w:bookmarkStart w:id="555" w:name="_Toc417291799"/>
            <w:bookmarkStart w:id="556" w:name="_Toc417292567"/>
            <w:r w:rsidRPr="004360BF">
              <w:rPr>
                <w:rFonts w:cs="Tahoma"/>
                <w:b/>
                <w:sz w:val="22"/>
                <w:szCs w:val="22"/>
                <w:lang w:val="en-AU"/>
              </w:rPr>
              <w:t>RIN clause</w:t>
            </w:r>
            <w:bookmarkEnd w:id="555"/>
            <w:bookmarkEnd w:id="556"/>
          </w:p>
        </w:tc>
        <w:tc>
          <w:tcPr>
            <w:tcW w:w="2888" w:type="dxa"/>
            <w:tcBorders>
              <w:top w:val="single" w:sz="4" w:space="0" w:color="auto"/>
              <w:left w:val="single" w:sz="4" w:space="0" w:color="auto"/>
              <w:bottom w:val="single" w:sz="4" w:space="0" w:color="auto"/>
              <w:right w:val="single" w:sz="4" w:space="0" w:color="auto"/>
            </w:tcBorders>
            <w:shd w:val="solid" w:color="C6D9F1" w:fill="auto"/>
          </w:tcPr>
          <w:p w14:paraId="74157B3F" w14:textId="77777777" w:rsidR="00E46723" w:rsidRPr="004360BF" w:rsidRDefault="004D05F2" w:rsidP="006B7E77">
            <w:pPr>
              <w:spacing w:before="40" w:after="40"/>
              <w:outlineLvl w:val="1"/>
              <w:rPr>
                <w:rFonts w:cs="Tahoma"/>
                <w:b/>
                <w:sz w:val="22"/>
                <w:szCs w:val="22"/>
                <w:u w:val="single"/>
                <w:lang w:val="en-AU"/>
              </w:rPr>
            </w:pPr>
            <w:bookmarkStart w:id="557" w:name="_Toc417291800"/>
            <w:bookmarkStart w:id="558" w:name="_Toc417292568"/>
            <w:r w:rsidRPr="004360BF">
              <w:rPr>
                <w:rFonts w:cs="Tahoma"/>
                <w:b/>
                <w:sz w:val="22"/>
                <w:szCs w:val="22"/>
                <w:lang w:val="en-AU"/>
              </w:rPr>
              <w:t xml:space="preserve">Pricing </w:t>
            </w:r>
            <w:r w:rsidR="00E46723" w:rsidRPr="004360BF">
              <w:rPr>
                <w:rFonts w:cs="Tahoma"/>
                <w:b/>
                <w:sz w:val="22"/>
                <w:szCs w:val="22"/>
                <w:lang w:val="en-AU"/>
              </w:rPr>
              <w:t>Proposal section</w:t>
            </w:r>
            <w:bookmarkEnd w:id="557"/>
            <w:bookmarkEnd w:id="558"/>
          </w:p>
        </w:tc>
      </w:tr>
      <w:tr w:rsidR="006B7E77" w:rsidRPr="004360BF" w14:paraId="3AE6ABF2" w14:textId="77777777" w:rsidTr="00B3586A">
        <w:trPr>
          <w:trHeight w:val="2510"/>
        </w:trPr>
        <w:tc>
          <w:tcPr>
            <w:tcW w:w="6291" w:type="dxa"/>
            <w:tcBorders>
              <w:top w:val="single" w:sz="4" w:space="0" w:color="auto"/>
              <w:left w:val="single" w:sz="4" w:space="0" w:color="auto"/>
              <w:right w:val="single" w:sz="4" w:space="0" w:color="auto"/>
            </w:tcBorders>
          </w:tcPr>
          <w:p w14:paraId="08B051E3" w14:textId="77777777" w:rsidR="006B7E77" w:rsidRPr="004360BF" w:rsidRDefault="006B7E77" w:rsidP="006B7E77">
            <w:pPr>
              <w:spacing w:before="40" w:after="40"/>
              <w:ind w:left="568" w:hanging="568"/>
              <w:rPr>
                <w:rFonts w:cs="Tahoma"/>
                <w:b/>
                <w:sz w:val="22"/>
                <w:szCs w:val="22"/>
                <w:lang w:val="en-AU"/>
              </w:rPr>
            </w:pPr>
            <w:r w:rsidRPr="004360BF">
              <w:rPr>
                <w:rFonts w:cs="Tahoma"/>
                <w:b/>
                <w:sz w:val="22"/>
                <w:szCs w:val="22"/>
                <w:lang w:val="en-AU"/>
              </w:rPr>
              <w:t>16</w:t>
            </w:r>
            <w:r w:rsidRPr="004360BF">
              <w:rPr>
                <w:rFonts w:cs="Tahoma"/>
                <w:b/>
                <w:sz w:val="22"/>
                <w:szCs w:val="22"/>
                <w:lang w:val="en-AU"/>
              </w:rPr>
              <w:tab/>
              <w:t>NETWORK PRICING PRINCIPLES STATEMENT</w:t>
            </w:r>
          </w:p>
          <w:p w14:paraId="6F422C95" w14:textId="77777777" w:rsidR="006B7E77" w:rsidRPr="004360BF" w:rsidRDefault="006B7E77" w:rsidP="006B7E77">
            <w:pPr>
              <w:spacing w:before="40" w:after="40"/>
              <w:ind w:left="568" w:hanging="568"/>
              <w:rPr>
                <w:rFonts w:cs="Tahoma"/>
                <w:b/>
                <w:sz w:val="22"/>
                <w:szCs w:val="22"/>
                <w:lang w:val="en-AU"/>
              </w:rPr>
            </w:pPr>
            <w:r w:rsidRPr="004360BF">
              <w:rPr>
                <w:rFonts w:cs="Tahoma"/>
                <w:sz w:val="22"/>
                <w:szCs w:val="22"/>
                <w:lang w:val="en-AU"/>
              </w:rPr>
              <w:t>16.1</w:t>
            </w:r>
            <w:r w:rsidRPr="004360BF">
              <w:rPr>
                <w:rFonts w:cs="Tahoma"/>
                <w:sz w:val="22"/>
                <w:szCs w:val="22"/>
                <w:lang w:val="en-AU"/>
              </w:rPr>
              <w:tab/>
              <w:t>Provide a draft statement (</w:t>
            </w:r>
            <w:r w:rsidRPr="004360BF">
              <w:rPr>
                <w:rFonts w:cs="Tahoma"/>
                <w:b/>
                <w:i/>
                <w:sz w:val="22"/>
                <w:szCs w:val="22"/>
                <w:lang w:val="en-AU"/>
              </w:rPr>
              <w:t>Network Pricing Principles Statement</w:t>
            </w:r>
            <w:r w:rsidRPr="004360BF">
              <w:rPr>
                <w:rFonts w:cs="Tahoma"/>
                <w:sz w:val="22"/>
                <w:szCs w:val="22"/>
                <w:lang w:val="en-AU"/>
              </w:rPr>
              <w:t xml:space="preserve">), suitable for publication, setting out the principles and methods to be used for defining the individual direct control services, both standard control services and </w:t>
            </w:r>
            <w:r w:rsidRPr="004360BF">
              <w:rPr>
                <w:rFonts w:cs="Tahoma"/>
                <w:i/>
                <w:sz w:val="22"/>
                <w:szCs w:val="22"/>
                <w:lang w:val="en-AU"/>
              </w:rPr>
              <w:t>alternative control services</w:t>
            </w:r>
            <w:r w:rsidRPr="004360BF">
              <w:rPr>
                <w:rFonts w:cs="Tahoma"/>
                <w:sz w:val="22"/>
                <w:szCs w:val="22"/>
                <w:lang w:val="en-AU"/>
              </w:rPr>
              <w:t xml:space="preserve">, to be supplied by </w:t>
            </w:r>
            <w:r w:rsidRPr="004360BF">
              <w:rPr>
                <w:rFonts w:cs="Tahoma"/>
                <w:i/>
                <w:sz w:val="22"/>
                <w:szCs w:val="22"/>
                <w:lang w:val="en-AU"/>
              </w:rPr>
              <w:t>PWC Networks</w:t>
            </w:r>
            <w:r w:rsidRPr="004360BF">
              <w:rPr>
                <w:rFonts w:cs="Tahoma"/>
                <w:sz w:val="22"/>
                <w:szCs w:val="22"/>
                <w:lang w:val="en-AU"/>
              </w:rPr>
              <w:t xml:space="preserve"> and for establishing the reference tariffs to apply to the standard control services.</w:t>
            </w:r>
          </w:p>
        </w:tc>
        <w:tc>
          <w:tcPr>
            <w:tcW w:w="2888" w:type="dxa"/>
            <w:tcBorders>
              <w:top w:val="single" w:sz="4" w:space="0" w:color="auto"/>
              <w:left w:val="single" w:sz="4" w:space="0" w:color="auto"/>
              <w:right w:val="single" w:sz="4" w:space="0" w:color="auto"/>
            </w:tcBorders>
          </w:tcPr>
          <w:p w14:paraId="58B53608" w14:textId="07498A5F" w:rsidR="006B7E77" w:rsidRPr="004360BF" w:rsidRDefault="006B7E77" w:rsidP="00603EFF">
            <w:pPr>
              <w:spacing w:before="40" w:after="40"/>
              <w:outlineLvl w:val="1"/>
              <w:rPr>
                <w:rFonts w:cs="Tahoma"/>
                <w:b/>
                <w:sz w:val="22"/>
                <w:szCs w:val="22"/>
                <w:u w:val="single"/>
                <w:lang w:val="en-AU"/>
              </w:rPr>
            </w:pPr>
            <w:bookmarkStart w:id="559" w:name="_Toc417291801"/>
            <w:bookmarkStart w:id="560" w:name="_Toc417292569"/>
            <w:r w:rsidRPr="004360BF">
              <w:rPr>
                <w:rFonts w:cs="Tahoma"/>
                <w:sz w:val="22"/>
                <w:szCs w:val="22"/>
                <w:lang w:val="en-AU"/>
              </w:rPr>
              <w:t xml:space="preserve">Chapter </w:t>
            </w:r>
            <w:r w:rsidR="00603EFF" w:rsidRPr="004360BF">
              <w:rPr>
                <w:rFonts w:cs="Tahoma"/>
                <w:sz w:val="22"/>
                <w:szCs w:val="22"/>
                <w:lang w:val="en-AU"/>
              </w:rPr>
              <w:fldChar w:fldCharType="begin"/>
            </w:r>
            <w:r w:rsidR="00603EFF" w:rsidRPr="004360BF">
              <w:rPr>
                <w:rFonts w:cs="Tahoma"/>
                <w:sz w:val="22"/>
                <w:szCs w:val="22"/>
                <w:lang w:val="en-AU"/>
              </w:rPr>
              <w:instrText xml:space="preserve"> REF _Ref291313016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4</w:t>
            </w:r>
            <w:r w:rsidR="00603EFF" w:rsidRPr="004360BF">
              <w:rPr>
                <w:rFonts w:cs="Tahoma"/>
                <w:sz w:val="22"/>
                <w:szCs w:val="22"/>
                <w:lang w:val="en-AU"/>
              </w:rPr>
              <w:fldChar w:fldCharType="end"/>
            </w:r>
            <w:r w:rsidRPr="004360BF">
              <w:rPr>
                <w:rFonts w:cs="Tahoma"/>
                <w:sz w:val="22"/>
                <w:szCs w:val="22"/>
                <w:lang w:val="en-AU"/>
              </w:rPr>
              <w:t xml:space="preserve"> on the classification of services.</w:t>
            </w:r>
            <w:bookmarkEnd w:id="559"/>
            <w:bookmarkEnd w:id="560"/>
          </w:p>
        </w:tc>
      </w:tr>
      <w:tr w:rsidR="006B7E77" w:rsidRPr="004360BF" w14:paraId="5D827A55" w14:textId="77777777" w:rsidTr="00B3586A">
        <w:tc>
          <w:tcPr>
            <w:tcW w:w="6291" w:type="dxa"/>
            <w:vMerge w:val="restart"/>
            <w:tcBorders>
              <w:top w:val="single" w:sz="4" w:space="0" w:color="auto"/>
              <w:left w:val="single" w:sz="4" w:space="0" w:color="auto"/>
              <w:right w:val="single" w:sz="4" w:space="0" w:color="auto"/>
            </w:tcBorders>
          </w:tcPr>
          <w:p w14:paraId="3E5F30FD" w14:textId="77777777" w:rsidR="006B7E77" w:rsidRPr="004360BF" w:rsidRDefault="006B7E77" w:rsidP="006B7E77">
            <w:pPr>
              <w:spacing w:before="40" w:after="40"/>
              <w:ind w:left="568" w:hanging="568"/>
              <w:rPr>
                <w:rFonts w:cs="Tahoma"/>
                <w:sz w:val="22"/>
                <w:szCs w:val="22"/>
                <w:lang w:val="en-AU"/>
              </w:rPr>
            </w:pPr>
            <w:r w:rsidRPr="004360BF">
              <w:rPr>
                <w:rFonts w:cs="Tahoma"/>
                <w:sz w:val="22"/>
                <w:szCs w:val="22"/>
                <w:lang w:val="en-AU"/>
              </w:rPr>
              <w:t>16.2</w:t>
            </w:r>
            <w:r w:rsidRPr="004360BF">
              <w:rPr>
                <w:rFonts w:cs="Tahoma"/>
                <w:sz w:val="22"/>
                <w:szCs w:val="22"/>
                <w:lang w:val="en-AU"/>
              </w:rPr>
              <w:tab/>
              <w:t>Explain how tariff classes have been constituted, having regard to:</w:t>
            </w:r>
          </w:p>
          <w:p w14:paraId="64E73E16" w14:textId="77777777" w:rsidR="006B7E77" w:rsidRPr="004360BF" w:rsidRDefault="006B7E77" w:rsidP="00EE7AA1">
            <w:pPr>
              <w:numPr>
                <w:ilvl w:val="0"/>
                <w:numId w:val="24"/>
              </w:numPr>
              <w:spacing w:before="40" w:after="40"/>
              <w:rPr>
                <w:rFonts w:cs="Tahoma"/>
                <w:sz w:val="22"/>
                <w:szCs w:val="22"/>
                <w:lang w:val="en-AU"/>
              </w:rPr>
            </w:pPr>
            <w:r w:rsidRPr="004360BF">
              <w:rPr>
                <w:rFonts w:cs="Tahoma"/>
                <w:sz w:val="22"/>
                <w:szCs w:val="22"/>
                <w:lang w:val="en-AU"/>
              </w:rPr>
              <w:t xml:space="preserve">the need to group </w:t>
            </w:r>
            <w:r w:rsidRPr="004360BF">
              <w:rPr>
                <w:rFonts w:cs="Tahoma"/>
                <w:i/>
                <w:sz w:val="22"/>
                <w:szCs w:val="22"/>
                <w:lang w:val="en-AU"/>
              </w:rPr>
              <w:t>customers</w:t>
            </w:r>
            <w:r w:rsidRPr="004360BF">
              <w:rPr>
                <w:rFonts w:cs="Tahoma"/>
                <w:sz w:val="22"/>
                <w:szCs w:val="22"/>
                <w:lang w:val="en-AU"/>
              </w:rPr>
              <w:t xml:space="preserve"> together on an economically efficient basis; and</w:t>
            </w:r>
          </w:p>
          <w:p w14:paraId="1645CC94" w14:textId="77777777" w:rsidR="006B7E77" w:rsidRPr="004360BF" w:rsidRDefault="006B7E77" w:rsidP="00EE7AA1">
            <w:pPr>
              <w:numPr>
                <w:ilvl w:val="0"/>
                <w:numId w:val="24"/>
              </w:numPr>
              <w:spacing w:before="40" w:after="40"/>
              <w:rPr>
                <w:rFonts w:cs="Tahoma"/>
                <w:sz w:val="22"/>
                <w:szCs w:val="22"/>
                <w:lang w:val="en-AU"/>
              </w:rPr>
            </w:pPr>
            <w:proofErr w:type="gramStart"/>
            <w:r w:rsidRPr="004360BF">
              <w:rPr>
                <w:rFonts w:cs="Tahoma"/>
                <w:sz w:val="22"/>
                <w:szCs w:val="22"/>
                <w:lang w:val="en-AU"/>
              </w:rPr>
              <w:t>the</w:t>
            </w:r>
            <w:proofErr w:type="gramEnd"/>
            <w:r w:rsidRPr="004360BF">
              <w:rPr>
                <w:rFonts w:cs="Tahoma"/>
                <w:sz w:val="22"/>
                <w:szCs w:val="22"/>
                <w:lang w:val="en-AU"/>
              </w:rPr>
              <w:t xml:space="preserve"> need to avoid unnecessary transaction costs.</w:t>
            </w:r>
          </w:p>
        </w:tc>
        <w:tc>
          <w:tcPr>
            <w:tcW w:w="2888" w:type="dxa"/>
            <w:tcBorders>
              <w:top w:val="single" w:sz="4" w:space="0" w:color="auto"/>
              <w:left w:val="single" w:sz="4" w:space="0" w:color="auto"/>
              <w:bottom w:val="nil"/>
              <w:right w:val="single" w:sz="4" w:space="0" w:color="auto"/>
            </w:tcBorders>
          </w:tcPr>
          <w:p w14:paraId="0EC6038A" w14:textId="2ADF3880" w:rsidR="006B7E77" w:rsidRPr="004360BF" w:rsidRDefault="006B7E77" w:rsidP="00603EFF">
            <w:pPr>
              <w:tabs>
                <w:tab w:val="left" w:pos="710"/>
              </w:tabs>
              <w:spacing w:before="40" w:after="40"/>
              <w:rPr>
                <w:rFonts w:cs="Tahoma"/>
                <w:sz w:val="22"/>
                <w:szCs w:val="22"/>
                <w:lang w:val="en-AU"/>
              </w:rPr>
            </w:pPr>
            <w:r w:rsidRPr="004360BF">
              <w:rPr>
                <w:rFonts w:cs="Tahoma"/>
                <w:sz w:val="22"/>
                <w:szCs w:val="22"/>
                <w:lang w:val="en-AU"/>
              </w:rPr>
              <w:t>In</w:t>
            </w:r>
            <w:r w:rsidR="00603EFF" w:rsidRPr="004360BF">
              <w:rPr>
                <w:rFonts w:cs="Tahoma"/>
                <w:sz w:val="22"/>
                <w:szCs w:val="22"/>
                <w:lang w:val="en-AU"/>
              </w:rPr>
              <w:t xml:space="preserve"> Chapter</w:t>
            </w:r>
            <w:r w:rsidRPr="004360BF">
              <w:rPr>
                <w:rFonts w:cs="Tahoma"/>
                <w:sz w:val="22"/>
                <w:szCs w:val="22"/>
                <w:lang w:val="en-AU"/>
              </w:rPr>
              <w:t xml:space="preserve"> </w:t>
            </w:r>
            <w:r w:rsidR="00603EFF" w:rsidRPr="004360BF">
              <w:rPr>
                <w:rFonts w:cs="Tahoma"/>
                <w:sz w:val="22"/>
                <w:szCs w:val="22"/>
                <w:lang w:val="en-AU"/>
              </w:rPr>
              <w:fldChar w:fldCharType="begin"/>
            </w:r>
            <w:r w:rsidR="00603EFF" w:rsidRPr="004360BF">
              <w:rPr>
                <w:rFonts w:cs="Tahoma"/>
                <w:sz w:val="22"/>
                <w:szCs w:val="22"/>
                <w:lang w:val="en-AU"/>
              </w:rPr>
              <w:instrText xml:space="preserve"> REF _Ref291312940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5</w:t>
            </w:r>
            <w:r w:rsidR="00603EFF" w:rsidRPr="004360BF">
              <w:rPr>
                <w:rFonts w:cs="Tahoma"/>
                <w:sz w:val="22"/>
                <w:szCs w:val="22"/>
                <w:lang w:val="en-AU"/>
              </w:rPr>
              <w:fldChar w:fldCharType="end"/>
            </w:r>
            <w:r w:rsidR="00603EFF" w:rsidRPr="004360BF">
              <w:rPr>
                <w:rFonts w:cs="Tahoma"/>
                <w:sz w:val="22"/>
                <w:szCs w:val="22"/>
                <w:lang w:val="en-AU"/>
              </w:rPr>
              <w:t xml:space="preserve"> </w:t>
            </w:r>
            <w:r w:rsidRPr="004360BF">
              <w:rPr>
                <w:rFonts w:cs="Tahoma"/>
                <w:sz w:val="22"/>
                <w:szCs w:val="22"/>
                <w:lang w:val="en-AU"/>
              </w:rPr>
              <w:t>Power Networks explains how tariff classes have been constituted.</w:t>
            </w:r>
          </w:p>
        </w:tc>
      </w:tr>
      <w:tr w:rsidR="006B7E77" w:rsidRPr="004360BF" w14:paraId="1C62AB50" w14:textId="77777777" w:rsidTr="00B3586A">
        <w:tc>
          <w:tcPr>
            <w:tcW w:w="6291" w:type="dxa"/>
            <w:vMerge/>
            <w:tcBorders>
              <w:left w:val="single" w:sz="4" w:space="0" w:color="auto"/>
              <w:bottom w:val="single" w:sz="4" w:space="0" w:color="auto"/>
              <w:right w:val="single" w:sz="4" w:space="0" w:color="auto"/>
            </w:tcBorders>
          </w:tcPr>
          <w:p w14:paraId="719BE75E" w14:textId="77777777" w:rsidR="006B7E77" w:rsidRPr="004360BF" w:rsidRDefault="006B7E77" w:rsidP="00EE7AA1">
            <w:pPr>
              <w:numPr>
                <w:ilvl w:val="0"/>
                <w:numId w:val="24"/>
              </w:numPr>
              <w:spacing w:before="40" w:after="40"/>
              <w:rPr>
                <w:rFonts w:cs="Tahoma"/>
                <w:sz w:val="22"/>
                <w:szCs w:val="22"/>
                <w:lang w:val="en-AU"/>
              </w:rPr>
            </w:pPr>
          </w:p>
        </w:tc>
        <w:tc>
          <w:tcPr>
            <w:tcW w:w="2888" w:type="dxa"/>
            <w:tcBorders>
              <w:top w:val="nil"/>
              <w:left w:val="single" w:sz="4" w:space="0" w:color="auto"/>
              <w:bottom w:val="single" w:sz="4" w:space="0" w:color="auto"/>
              <w:right w:val="single" w:sz="4" w:space="0" w:color="auto"/>
            </w:tcBorders>
          </w:tcPr>
          <w:p w14:paraId="0507EED9" w14:textId="77777777" w:rsidR="006B7E77" w:rsidRPr="004360BF" w:rsidRDefault="006B7E77" w:rsidP="006B7E77">
            <w:pPr>
              <w:tabs>
                <w:tab w:val="left" w:pos="710"/>
              </w:tabs>
              <w:spacing w:before="40" w:after="40"/>
              <w:rPr>
                <w:rFonts w:cs="Tahoma"/>
                <w:sz w:val="22"/>
                <w:szCs w:val="22"/>
                <w:lang w:val="en-AU"/>
              </w:rPr>
            </w:pPr>
          </w:p>
        </w:tc>
      </w:tr>
      <w:tr w:rsidR="006B7E77" w:rsidRPr="004360BF" w14:paraId="6C183D13" w14:textId="77777777" w:rsidTr="00B3586A">
        <w:trPr>
          <w:trHeight w:val="3772"/>
        </w:trPr>
        <w:tc>
          <w:tcPr>
            <w:tcW w:w="6291" w:type="dxa"/>
            <w:tcBorders>
              <w:top w:val="single" w:sz="4" w:space="0" w:color="auto"/>
              <w:left w:val="single" w:sz="4" w:space="0" w:color="auto"/>
              <w:right w:val="single" w:sz="4" w:space="0" w:color="auto"/>
            </w:tcBorders>
          </w:tcPr>
          <w:p w14:paraId="1052E38C" w14:textId="77777777" w:rsidR="006B7E77" w:rsidRPr="004360BF" w:rsidRDefault="006B7E77" w:rsidP="006B7E77">
            <w:pPr>
              <w:spacing w:before="40" w:after="40"/>
              <w:ind w:left="568" w:hanging="568"/>
              <w:rPr>
                <w:rFonts w:cs="Tahoma"/>
                <w:sz w:val="22"/>
                <w:szCs w:val="22"/>
                <w:lang w:val="en-AU"/>
              </w:rPr>
            </w:pPr>
            <w:r w:rsidRPr="004360BF">
              <w:rPr>
                <w:rFonts w:cs="Tahoma"/>
                <w:sz w:val="22"/>
                <w:szCs w:val="22"/>
                <w:lang w:val="en-AU"/>
              </w:rPr>
              <w:t>16.3</w:t>
            </w:r>
            <w:r w:rsidRPr="004360BF">
              <w:rPr>
                <w:rFonts w:cs="Tahoma"/>
                <w:sz w:val="22"/>
                <w:szCs w:val="22"/>
                <w:lang w:val="en-AU"/>
              </w:rPr>
              <w:tab/>
              <w:t xml:space="preserve">In establishing the reference tariffs to apply to direct control services, explain whether and how </w:t>
            </w:r>
            <w:r w:rsidRPr="004360BF">
              <w:rPr>
                <w:rFonts w:cs="Tahoma"/>
                <w:i/>
                <w:sz w:val="22"/>
                <w:szCs w:val="22"/>
                <w:lang w:val="en-AU"/>
              </w:rPr>
              <w:t>PWC Networks</w:t>
            </w:r>
            <w:r w:rsidRPr="004360BF">
              <w:rPr>
                <w:rFonts w:cs="Tahoma"/>
                <w:sz w:val="22"/>
                <w:szCs w:val="22"/>
                <w:lang w:val="en-AU"/>
              </w:rPr>
              <w:t xml:space="preserve"> has taken into consideration: </w:t>
            </w:r>
          </w:p>
          <w:p w14:paraId="56F03046" w14:textId="77777777" w:rsidR="006B7E77" w:rsidRPr="004360BF" w:rsidRDefault="006B7E77" w:rsidP="006B7E77">
            <w:pPr>
              <w:spacing w:before="40" w:after="40"/>
              <w:ind w:left="994" w:hanging="426"/>
              <w:rPr>
                <w:rFonts w:cs="Tahoma"/>
                <w:sz w:val="22"/>
                <w:szCs w:val="22"/>
                <w:lang w:val="en-AU"/>
              </w:rPr>
            </w:pPr>
            <w:r w:rsidRPr="004360BF">
              <w:rPr>
                <w:rFonts w:cs="Tahoma"/>
                <w:sz w:val="22"/>
                <w:szCs w:val="22"/>
                <w:lang w:val="en-AU"/>
              </w:rPr>
              <w:t>(a)</w:t>
            </w:r>
            <w:r w:rsidRPr="004360BF">
              <w:rPr>
                <w:rFonts w:cs="Tahoma"/>
                <w:sz w:val="22"/>
                <w:szCs w:val="22"/>
                <w:lang w:val="en-AU"/>
              </w:rPr>
              <w:tab/>
              <w:t>the user's geographical and electrical location;</w:t>
            </w:r>
          </w:p>
          <w:p w14:paraId="5778D308" w14:textId="77777777" w:rsidR="006B7E77" w:rsidRPr="004360BF" w:rsidRDefault="006B7E77" w:rsidP="006B7E77">
            <w:pPr>
              <w:spacing w:before="40" w:after="40"/>
              <w:ind w:left="994" w:hanging="426"/>
              <w:rPr>
                <w:rFonts w:cs="Tahoma"/>
                <w:sz w:val="22"/>
                <w:szCs w:val="22"/>
                <w:lang w:val="en-AU"/>
              </w:rPr>
            </w:pPr>
            <w:r w:rsidRPr="004360BF">
              <w:rPr>
                <w:rFonts w:cs="Tahoma"/>
                <w:sz w:val="22"/>
                <w:szCs w:val="22"/>
                <w:lang w:val="en-AU"/>
              </w:rPr>
              <w:t>(b)</w:t>
            </w:r>
            <w:r w:rsidRPr="004360BF">
              <w:rPr>
                <w:rFonts w:cs="Tahoma"/>
                <w:sz w:val="22"/>
                <w:szCs w:val="22"/>
                <w:lang w:val="en-AU"/>
              </w:rPr>
              <w:tab/>
              <w:t xml:space="preserve">the quantities in which the relevant network access service is to be supplied or is supplied; </w:t>
            </w:r>
          </w:p>
          <w:p w14:paraId="5144BF6F" w14:textId="77777777" w:rsidR="006B7E77" w:rsidRPr="004360BF" w:rsidRDefault="006B7E77" w:rsidP="006B7E77">
            <w:pPr>
              <w:spacing w:before="40" w:after="40"/>
              <w:ind w:left="992" w:hanging="425"/>
              <w:rPr>
                <w:rFonts w:cs="Tahoma"/>
                <w:sz w:val="22"/>
                <w:szCs w:val="22"/>
                <w:lang w:val="en-AU"/>
              </w:rPr>
            </w:pPr>
            <w:r w:rsidRPr="004360BF">
              <w:rPr>
                <w:rFonts w:cs="Tahoma"/>
                <w:sz w:val="22"/>
                <w:szCs w:val="22"/>
                <w:lang w:val="en-AU"/>
              </w:rPr>
              <w:t>(c)</w:t>
            </w:r>
            <w:r w:rsidRPr="004360BF">
              <w:rPr>
                <w:rFonts w:cs="Tahoma"/>
                <w:sz w:val="22"/>
                <w:szCs w:val="22"/>
                <w:lang w:val="en-AU"/>
              </w:rPr>
              <w:tab/>
              <w:t>the pattern of network usage;</w:t>
            </w:r>
          </w:p>
          <w:p w14:paraId="5570E3E2" w14:textId="77777777" w:rsidR="006B7E77" w:rsidRPr="004360BF" w:rsidRDefault="006B7E77" w:rsidP="006B7E77">
            <w:pPr>
              <w:spacing w:before="40" w:after="40"/>
              <w:ind w:left="994" w:hanging="426"/>
              <w:rPr>
                <w:rFonts w:cs="Tahoma"/>
                <w:sz w:val="22"/>
                <w:szCs w:val="22"/>
                <w:lang w:val="en-AU"/>
              </w:rPr>
            </w:pPr>
            <w:r w:rsidRPr="004360BF">
              <w:rPr>
                <w:rFonts w:cs="Tahoma"/>
                <w:sz w:val="22"/>
                <w:szCs w:val="22"/>
                <w:lang w:val="en-AU"/>
              </w:rPr>
              <w:t>(d)</w:t>
            </w:r>
            <w:r w:rsidRPr="004360BF">
              <w:rPr>
                <w:rFonts w:cs="Tahoma"/>
                <w:sz w:val="22"/>
                <w:szCs w:val="22"/>
                <w:lang w:val="en-AU"/>
              </w:rPr>
              <w:tab/>
              <w:t xml:space="preserve">the technical characteristics or requirements of the user's load or generation; </w:t>
            </w:r>
          </w:p>
          <w:p w14:paraId="66E337C8" w14:textId="77777777" w:rsidR="006B7E77" w:rsidRPr="004360BF" w:rsidRDefault="006B7E77" w:rsidP="006B7E77">
            <w:pPr>
              <w:spacing w:before="40" w:after="40"/>
              <w:ind w:left="994" w:hanging="426"/>
              <w:rPr>
                <w:rFonts w:cs="Tahoma"/>
                <w:sz w:val="22"/>
                <w:szCs w:val="22"/>
                <w:lang w:val="en-AU"/>
              </w:rPr>
            </w:pPr>
            <w:r w:rsidRPr="004360BF">
              <w:rPr>
                <w:rFonts w:cs="Tahoma"/>
                <w:sz w:val="22"/>
                <w:szCs w:val="22"/>
                <w:lang w:val="en-AU"/>
              </w:rPr>
              <w:t>(e)</w:t>
            </w:r>
            <w:r w:rsidRPr="004360BF">
              <w:rPr>
                <w:rFonts w:cs="Tahoma"/>
                <w:sz w:val="22"/>
                <w:szCs w:val="22"/>
                <w:lang w:val="en-AU"/>
              </w:rPr>
              <w:tab/>
              <w:t xml:space="preserve">the nature of the plant or equipment required to provide the network access service; </w:t>
            </w:r>
          </w:p>
          <w:p w14:paraId="35DFD5F7" w14:textId="77777777" w:rsidR="006B7E77" w:rsidRPr="004360BF" w:rsidRDefault="006B7E77" w:rsidP="006B7E77">
            <w:pPr>
              <w:spacing w:before="40" w:after="40"/>
              <w:ind w:left="994" w:hanging="426"/>
              <w:rPr>
                <w:rFonts w:cs="Tahoma"/>
                <w:sz w:val="22"/>
                <w:szCs w:val="22"/>
                <w:lang w:val="en-AU"/>
              </w:rPr>
            </w:pPr>
            <w:r w:rsidRPr="004360BF">
              <w:rPr>
                <w:rFonts w:cs="Tahoma"/>
                <w:sz w:val="22"/>
                <w:szCs w:val="22"/>
                <w:lang w:val="en-AU"/>
              </w:rPr>
              <w:t>(f)</w:t>
            </w:r>
            <w:r w:rsidRPr="004360BF">
              <w:rPr>
                <w:rFonts w:cs="Tahoma"/>
                <w:sz w:val="22"/>
                <w:szCs w:val="22"/>
                <w:lang w:val="en-AU"/>
              </w:rPr>
              <w:tab/>
            </w:r>
            <w:proofErr w:type="gramStart"/>
            <w:r w:rsidRPr="004360BF">
              <w:rPr>
                <w:rFonts w:cs="Tahoma"/>
                <w:sz w:val="22"/>
                <w:szCs w:val="22"/>
                <w:lang w:val="en-AU"/>
              </w:rPr>
              <w:t>the</w:t>
            </w:r>
            <w:proofErr w:type="gramEnd"/>
            <w:r w:rsidRPr="004360BF">
              <w:rPr>
                <w:rFonts w:cs="Tahoma"/>
                <w:sz w:val="22"/>
                <w:szCs w:val="22"/>
                <w:lang w:val="en-AU"/>
              </w:rPr>
              <w:t xml:space="preserve"> periods for which the network access service is expected to be supplied.</w:t>
            </w:r>
          </w:p>
        </w:tc>
        <w:tc>
          <w:tcPr>
            <w:tcW w:w="2888" w:type="dxa"/>
            <w:tcBorders>
              <w:top w:val="single" w:sz="4" w:space="0" w:color="auto"/>
              <w:left w:val="single" w:sz="4" w:space="0" w:color="auto"/>
              <w:right w:val="single" w:sz="4" w:space="0" w:color="auto"/>
            </w:tcBorders>
          </w:tcPr>
          <w:p w14:paraId="67202431" w14:textId="6F0B3EE2" w:rsidR="006B7E77" w:rsidRPr="004360BF" w:rsidRDefault="00EE7AA1" w:rsidP="006B7E77">
            <w:pPr>
              <w:tabs>
                <w:tab w:val="left" w:pos="710"/>
              </w:tabs>
              <w:spacing w:before="40" w:after="40"/>
              <w:rPr>
                <w:rFonts w:cs="Tahoma"/>
                <w:sz w:val="22"/>
                <w:szCs w:val="22"/>
                <w:lang w:val="en-AU"/>
              </w:rPr>
            </w:pPr>
            <w:r w:rsidRPr="004360BF">
              <w:rPr>
                <w:rFonts w:cs="Tahoma"/>
                <w:sz w:val="22"/>
                <w:szCs w:val="22"/>
                <w:lang w:val="en-AU"/>
              </w:rPr>
              <w:fldChar w:fldCharType="begin"/>
            </w:r>
            <w:r w:rsidRPr="004519A6">
              <w:rPr>
                <w:rFonts w:cs="Tahoma"/>
                <w:sz w:val="22"/>
                <w:szCs w:val="22"/>
                <w:lang w:val="en-AU"/>
              </w:rPr>
              <w:instrText xml:space="preserve"> REF _Ref260822134 \h </w:instrText>
            </w:r>
            <w:r w:rsidR="004519A6">
              <w:rPr>
                <w:rFonts w:cs="Tahoma"/>
                <w:sz w:val="22"/>
                <w:szCs w:val="22"/>
                <w:lang w:val="en-AU"/>
              </w:rPr>
              <w:instrText xml:space="preserve"> \* MERGEFORMAT </w:instrText>
            </w:r>
            <w:r w:rsidRPr="004360BF">
              <w:rPr>
                <w:rFonts w:cs="Tahoma"/>
                <w:sz w:val="22"/>
                <w:szCs w:val="22"/>
                <w:lang w:val="en-AU"/>
              </w:rPr>
            </w:r>
            <w:r w:rsidRPr="004360BF">
              <w:rPr>
                <w:rFonts w:cs="Tahoma"/>
                <w:sz w:val="22"/>
                <w:szCs w:val="22"/>
                <w:lang w:val="en-AU"/>
              </w:rPr>
              <w:fldChar w:fldCharType="separate"/>
            </w:r>
            <w:r w:rsidR="008D3215" w:rsidRPr="008D3215">
              <w:rPr>
                <w:sz w:val="22"/>
                <w:szCs w:val="22"/>
                <w:lang w:val="en-AU"/>
              </w:rPr>
              <w:t>Table</w:t>
            </w:r>
            <w:r w:rsidR="008D3215" w:rsidRPr="008D3215">
              <w:rPr>
                <w:lang w:val="en-AU"/>
              </w:rPr>
              <w:t xml:space="preserve"> </w:t>
            </w:r>
            <w:r w:rsidR="008D3215" w:rsidRPr="008D3215">
              <w:rPr>
                <w:noProof/>
                <w:sz w:val="22"/>
                <w:szCs w:val="22"/>
                <w:lang w:val="en-AU"/>
              </w:rPr>
              <w:t>4</w:t>
            </w:r>
            <w:r w:rsidRPr="004360BF">
              <w:rPr>
                <w:rFonts w:cs="Tahoma"/>
                <w:sz w:val="22"/>
                <w:szCs w:val="22"/>
                <w:lang w:val="en-AU"/>
              </w:rPr>
              <w:fldChar w:fldCharType="end"/>
            </w:r>
            <w:r w:rsidR="006B7E77" w:rsidRPr="004360BF">
              <w:rPr>
                <w:rFonts w:cs="Tahoma"/>
                <w:sz w:val="22"/>
                <w:szCs w:val="22"/>
                <w:lang w:val="en-AU"/>
              </w:rPr>
              <w:t xml:space="preserve">, </w:t>
            </w:r>
            <w:r w:rsidR="003331AE" w:rsidRPr="004360BF">
              <w:rPr>
                <w:rFonts w:cs="Tahoma"/>
                <w:sz w:val="22"/>
                <w:szCs w:val="22"/>
                <w:lang w:val="en-AU"/>
              </w:rPr>
              <w:t xml:space="preserve">in Chapter </w:t>
            </w:r>
            <w:r w:rsidR="00603EFF" w:rsidRPr="004360BF">
              <w:rPr>
                <w:rFonts w:cs="Tahoma"/>
                <w:sz w:val="22"/>
                <w:szCs w:val="22"/>
                <w:lang w:val="en-AU"/>
              </w:rPr>
              <w:fldChar w:fldCharType="begin"/>
            </w:r>
            <w:r w:rsidR="00603EFF" w:rsidRPr="004360BF">
              <w:rPr>
                <w:rFonts w:cs="Tahoma"/>
                <w:sz w:val="22"/>
                <w:szCs w:val="22"/>
                <w:lang w:val="en-AU"/>
              </w:rPr>
              <w:instrText xml:space="preserve"> REF _Ref260820406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6</w:t>
            </w:r>
            <w:r w:rsidR="00603EFF" w:rsidRPr="004360BF">
              <w:rPr>
                <w:rFonts w:cs="Tahoma"/>
                <w:sz w:val="22"/>
                <w:szCs w:val="22"/>
                <w:lang w:val="en-AU"/>
              </w:rPr>
              <w:fldChar w:fldCharType="end"/>
            </w:r>
            <w:r w:rsidR="006B7E77" w:rsidRPr="004360BF">
              <w:rPr>
                <w:rFonts w:cs="Tahoma"/>
                <w:sz w:val="22"/>
                <w:szCs w:val="22"/>
                <w:lang w:val="en-AU"/>
              </w:rPr>
              <w:t xml:space="preserve">, </w:t>
            </w:r>
            <w:r w:rsidR="001C588A" w:rsidRPr="004360BF">
              <w:rPr>
                <w:rFonts w:cs="Tahoma"/>
                <w:sz w:val="22"/>
                <w:szCs w:val="22"/>
                <w:lang w:val="en-AU"/>
              </w:rPr>
              <w:t>demonstrates</w:t>
            </w:r>
            <w:r w:rsidR="006B7E77" w:rsidRPr="004360BF">
              <w:rPr>
                <w:rFonts w:cs="Tahoma"/>
                <w:sz w:val="22"/>
                <w:szCs w:val="22"/>
                <w:lang w:val="en-AU"/>
              </w:rPr>
              <w:t xml:space="preserve"> Power Networks’ consideration of </w:t>
            </w:r>
            <w:r w:rsidR="001C588A" w:rsidRPr="004360BF">
              <w:rPr>
                <w:rFonts w:cs="Tahoma"/>
                <w:sz w:val="22"/>
                <w:szCs w:val="22"/>
                <w:lang w:val="en-AU"/>
              </w:rPr>
              <w:t xml:space="preserve">network </w:t>
            </w:r>
            <w:r w:rsidR="006B7E77" w:rsidRPr="004360BF">
              <w:rPr>
                <w:rFonts w:cs="Tahoma"/>
                <w:sz w:val="22"/>
                <w:szCs w:val="22"/>
                <w:lang w:val="en-AU"/>
              </w:rPr>
              <w:t>pricing principles.</w:t>
            </w:r>
          </w:p>
          <w:p w14:paraId="5719663C" w14:textId="77777777" w:rsidR="006B7E77" w:rsidRPr="004360BF" w:rsidRDefault="006B7E77" w:rsidP="006B7E77">
            <w:pPr>
              <w:tabs>
                <w:tab w:val="left" w:pos="710"/>
              </w:tabs>
              <w:spacing w:before="40" w:after="40"/>
              <w:rPr>
                <w:rFonts w:cs="Tahoma"/>
                <w:sz w:val="22"/>
                <w:szCs w:val="22"/>
                <w:lang w:val="en-AU"/>
              </w:rPr>
            </w:pPr>
          </w:p>
          <w:p w14:paraId="0473DDFF" w14:textId="77777777" w:rsidR="006B7E77" w:rsidRPr="004360BF" w:rsidRDefault="006B7E77" w:rsidP="006B7E77">
            <w:pPr>
              <w:tabs>
                <w:tab w:val="left" w:pos="710"/>
              </w:tabs>
              <w:spacing w:before="40" w:after="40"/>
              <w:rPr>
                <w:rFonts w:cs="Tahoma"/>
                <w:sz w:val="22"/>
                <w:szCs w:val="22"/>
                <w:lang w:val="en-AU"/>
              </w:rPr>
            </w:pPr>
          </w:p>
        </w:tc>
      </w:tr>
      <w:tr w:rsidR="006B7E77" w:rsidRPr="004360BF" w14:paraId="389D2A25" w14:textId="77777777" w:rsidTr="00B3586A">
        <w:trPr>
          <w:trHeight w:val="3958"/>
        </w:trPr>
        <w:tc>
          <w:tcPr>
            <w:tcW w:w="6291" w:type="dxa"/>
            <w:tcBorders>
              <w:top w:val="single" w:sz="4" w:space="0" w:color="auto"/>
              <w:left w:val="single" w:sz="4" w:space="0" w:color="auto"/>
              <w:right w:val="single" w:sz="4" w:space="0" w:color="auto"/>
            </w:tcBorders>
          </w:tcPr>
          <w:p w14:paraId="78EC0001" w14:textId="77777777" w:rsidR="006B7E77" w:rsidRPr="004360BF" w:rsidRDefault="006B7E77" w:rsidP="006B7E77">
            <w:pPr>
              <w:spacing w:before="40" w:after="40"/>
              <w:ind w:left="568" w:hanging="568"/>
              <w:rPr>
                <w:rFonts w:cs="Tahoma"/>
                <w:sz w:val="22"/>
                <w:szCs w:val="22"/>
                <w:lang w:val="en-AU"/>
              </w:rPr>
            </w:pPr>
            <w:r w:rsidRPr="004360BF">
              <w:rPr>
                <w:rFonts w:cs="Tahoma"/>
                <w:sz w:val="22"/>
                <w:szCs w:val="22"/>
                <w:lang w:val="en-AU"/>
              </w:rPr>
              <w:lastRenderedPageBreak/>
              <w:t>16.4</w:t>
            </w:r>
            <w:r w:rsidRPr="004360BF">
              <w:rPr>
                <w:rFonts w:cs="Tahoma"/>
                <w:sz w:val="22"/>
                <w:szCs w:val="22"/>
                <w:lang w:val="en-AU"/>
              </w:rPr>
              <w:tab/>
              <w:t xml:space="preserve">Explain whether and how, for each tariff, and if it consists of two or more charging parameters, each charging parameter for a tariff class, </w:t>
            </w:r>
            <w:r w:rsidRPr="004360BF">
              <w:rPr>
                <w:rFonts w:cs="Tahoma"/>
                <w:i/>
                <w:sz w:val="22"/>
                <w:szCs w:val="22"/>
                <w:lang w:val="en-AU"/>
              </w:rPr>
              <w:t>PWC Networks</w:t>
            </w:r>
            <w:r w:rsidRPr="004360BF">
              <w:rPr>
                <w:rFonts w:cs="Tahoma"/>
                <w:sz w:val="22"/>
                <w:szCs w:val="22"/>
                <w:lang w:val="en-AU"/>
              </w:rPr>
              <w:t xml:space="preserve"> has:</w:t>
            </w:r>
          </w:p>
          <w:p w14:paraId="10C91B2E" w14:textId="77777777" w:rsidR="006B7E77" w:rsidRPr="004360BF" w:rsidRDefault="006B7E77" w:rsidP="006B7E77">
            <w:pPr>
              <w:spacing w:before="40" w:after="40"/>
              <w:ind w:left="994" w:hanging="426"/>
              <w:rPr>
                <w:rFonts w:cs="Tahoma"/>
                <w:sz w:val="22"/>
                <w:szCs w:val="22"/>
                <w:lang w:val="en-AU"/>
              </w:rPr>
            </w:pPr>
            <w:r w:rsidRPr="004360BF">
              <w:rPr>
                <w:rFonts w:cs="Tahoma"/>
                <w:sz w:val="22"/>
                <w:szCs w:val="22"/>
                <w:lang w:val="en-AU"/>
              </w:rPr>
              <w:t>(a)</w:t>
            </w:r>
            <w:r w:rsidRPr="004360BF">
              <w:rPr>
                <w:rFonts w:cs="Tahoma"/>
                <w:sz w:val="22"/>
                <w:szCs w:val="22"/>
                <w:lang w:val="en-AU"/>
              </w:rPr>
              <w:tab/>
              <w:t>taken into account the long run marginal cost for the service or, in the case of a charging parameter, for the element of the service to which the charging parameter relates; and</w:t>
            </w:r>
          </w:p>
          <w:p w14:paraId="0E246E15" w14:textId="77777777" w:rsidR="006B7E77" w:rsidRPr="004360BF" w:rsidRDefault="006B7E77" w:rsidP="006B7E77">
            <w:pPr>
              <w:spacing w:before="40" w:after="40"/>
              <w:ind w:left="994" w:hanging="426"/>
              <w:rPr>
                <w:rFonts w:cs="Tahoma"/>
                <w:sz w:val="22"/>
                <w:szCs w:val="22"/>
                <w:lang w:val="en-AU"/>
              </w:rPr>
            </w:pPr>
            <w:r w:rsidRPr="004360BF">
              <w:rPr>
                <w:rFonts w:cs="Tahoma"/>
                <w:sz w:val="22"/>
                <w:szCs w:val="22"/>
                <w:lang w:val="en-AU"/>
              </w:rPr>
              <w:t>(b)</w:t>
            </w:r>
            <w:r w:rsidRPr="004360BF">
              <w:rPr>
                <w:rFonts w:cs="Tahoma"/>
                <w:sz w:val="22"/>
                <w:szCs w:val="22"/>
                <w:lang w:val="en-AU"/>
              </w:rPr>
              <w:tab/>
              <w:t>had regard to:</w:t>
            </w:r>
          </w:p>
          <w:p w14:paraId="269FE237" w14:textId="77777777" w:rsidR="006B7E77" w:rsidRPr="004360BF" w:rsidRDefault="006B7E77" w:rsidP="00EE7AA1">
            <w:pPr>
              <w:numPr>
                <w:ilvl w:val="1"/>
                <w:numId w:val="6"/>
              </w:numPr>
              <w:spacing w:before="40" w:after="40"/>
              <w:ind w:left="1704" w:hanging="426"/>
              <w:rPr>
                <w:rFonts w:cs="Tahoma"/>
                <w:sz w:val="22"/>
                <w:szCs w:val="22"/>
                <w:lang w:val="en-AU"/>
              </w:rPr>
            </w:pPr>
            <w:r w:rsidRPr="004360BF">
              <w:rPr>
                <w:rFonts w:cs="Tahoma"/>
                <w:sz w:val="22"/>
                <w:szCs w:val="22"/>
                <w:lang w:val="en-AU"/>
              </w:rPr>
              <w:t>transaction costs associated with the tariff or each charging parameter; and</w:t>
            </w:r>
          </w:p>
          <w:p w14:paraId="5EB60F80" w14:textId="77777777" w:rsidR="006B7E77" w:rsidRPr="004360BF" w:rsidRDefault="006B7E77" w:rsidP="00EE7AA1">
            <w:pPr>
              <w:numPr>
                <w:ilvl w:val="1"/>
                <w:numId w:val="6"/>
              </w:numPr>
              <w:spacing w:before="40" w:after="40"/>
              <w:ind w:left="1704" w:hanging="426"/>
              <w:rPr>
                <w:rFonts w:cs="Tahoma"/>
                <w:sz w:val="22"/>
                <w:szCs w:val="22"/>
                <w:lang w:val="en-AU"/>
              </w:rPr>
            </w:pPr>
            <w:proofErr w:type="gramStart"/>
            <w:r w:rsidRPr="004360BF">
              <w:rPr>
                <w:rFonts w:cs="Tahoma"/>
                <w:sz w:val="22"/>
                <w:szCs w:val="22"/>
                <w:lang w:val="en-AU"/>
              </w:rPr>
              <w:t>whether</w:t>
            </w:r>
            <w:proofErr w:type="gramEnd"/>
            <w:r w:rsidRPr="004360BF">
              <w:rPr>
                <w:rFonts w:cs="Tahoma"/>
                <w:sz w:val="22"/>
                <w:szCs w:val="22"/>
                <w:lang w:val="en-AU"/>
              </w:rPr>
              <w:t xml:space="preserve"> </w:t>
            </w:r>
            <w:r w:rsidRPr="004360BF">
              <w:rPr>
                <w:rFonts w:cs="Tahoma"/>
                <w:i/>
                <w:sz w:val="22"/>
                <w:szCs w:val="22"/>
                <w:lang w:val="en-AU"/>
              </w:rPr>
              <w:t>customers</w:t>
            </w:r>
            <w:r w:rsidRPr="004360BF">
              <w:rPr>
                <w:rFonts w:cs="Tahoma"/>
                <w:sz w:val="22"/>
                <w:szCs w:val="22"/>
                <w:lang w:val="en-AU"/>
              </w:rPr>
              <w:t xml:space="preserve"> of the relevant tariff class are able or likely to respond to price signals.</w:t>
            </w:r>
          </w:p>
        </w:tc>
        <w:tc>
          <w:tcPr>
            <w:tcW w:w="2888" w:type="dxa"/>
            <w:tcBorders>
              <w:top w:val="single" w:sz="4" w:space="0" w:color="auto"/>
              <w:left w:val="single" w:sz="4" w:space="0" w:color="auto"/>
              <w:right w:val="single" w:sz="4" w:space="0" w:color="auto"/>
            </w:tcBorders>
          </w:tcPr>
          <w:p w14:paraId="097D9232" w14:textId="650FD8F3" w:rsidR="006B7E77" w:rsidRPr="004360BF" w:rsidRDefault="00EE7AA1" w:rsidP="006B7E77">
            <w:pPr>
              <w:tabs>
                <w:tab w:val="left" w:pos="710"/>
              </w:tabs>
              <w:spacing w:before="40" w:after="40"/>
              <w:rPr>
                <w:rFonts w:cs="Tahoma"/>
                <w:sz w:val="22"/>
                <w:szCs w:val="22"/>
                <w:lang w:val="en-AU"/>
              </w:rPr>
            </w:pPr>
            <w:r w:rsidRPr="004360BF">
              <w:rPr>
                <w:rFonts w:cs="Tahoma"/>
                <w:sz w:val="22"/>
                <w:szCs w:val="22"/>
                <w:lang w:val="en-AU"/>
              </w:rPr>
              <w:fldChar w:fldCharType="begin"/>
            </w:r>
            <w:r w:rsidRPr="004360BF">
              <w:rPr>
                <w:rFonts w:cs="Tahoma"/>
                <w:sz w:val="22"/>
                <w:szCs w:val="22"/>
                <w:lang w:val="en-AU"/>
              </w:rPr>
              <w:instrText xml:space="preserve"> REF _Ref260824140 \h </w:instrText>
            </w:r>
            <w:r w:rsidR="00137BDC" w:rsidRPr="004360BF">
              <w:rPr>
                <w:rFonts w:cs="Tahoma"/>
                <w:sz w:val="22"/>
                <w:szCs w:val="22"/>
                <w:lang w:val="en-AU"/>
              </w:rPr>
              <w:instrText xml:space="preserve"> \* MERGEFORMAT </w:instrText>
            </w:r>
            <w:r w:rsidRPr="004360BF">
              <w:rPr>
                <w:rFonts w:cs="Tahoma"/>
                <w:sz w:val="22"/>
                <w:szCs w:val="22"/>
                <w:lang w:val="en-AU"/>
              </w:rPr>
            </w:r>
            <w:r w:rsidRPr="004360BF">
              <w:rPr>
                <w:rFonts w:cs="Tahoma"/>
                <w:sz w:val="22"/>
                <w:szCs w:val="22"/>
                <w:lang w:val="en-AU"/>
              </w:rPr>
              <w:fldChar w:fldCharType="separate"/>
            </w:r>
            <w:r w:rsidR="008D3215" w:rsidRPr="008D3215">
              <w:rPr>
                <w:sz w:val="22"/>
                <w:szCs w:val="22"/>
                <w:lang w:val="en-AU"/>
              </w:rPr>
              <w:t>Table</w:t>
            </w:r>
            <w:r w:rsidR="008D3215" w:rsidRPr="004360BF">
              <w:rPr>
                <w:lang w:val="en-AU"/>
              </w:rPr>
              <w:t xml:space="preserve"> </w:t>
            </w:r>
            <w:r w:rsidR="008D3215" w:rsidRPr="008D3215">
              <w:rPr>
                <w:sz w:val="22"/>
                <w:szCs w:val="22"/>
                <w:lang w:val="en-AU"/>
              </w:rPr>
              <w:t>5</w:t>
            </w:r>
            <w:r w:rsidRPr="004360BF">
              <w:rPr>
                <w:rFonts w:cs="Tahoma"/>
                <w:sz w:val="22"/>
                <w:szCs w:val="22"/>
                <w:lang w:val="en-AU"/>
              </w:rPr>
              <w:fldChar w:fldCharType="end"/>
            </w:r>
            <w:r w:rsidR="006B7E77" w:rsidRPr="004360BF">
              <w:rPr>
                <w:rFonts w:cs="Tahoma"/>
                <w:sz w:val="22"/>
                <w:szCs w:val="22"/>
                <w:lang w:val="en-AU"/>
              </w:rPr>
              <w:t xml:space="preserve">, in Chapter </w:t>
            </w:r>
            <w:r w:rsidR="00603EFF" w:rsidRPr="004360BF">
              <w:rPr>
                <w:rFonts w:cs="Tahoma"/>
                <w:sz w:val="22"/>
                <w:szCs w:val="22"/>
                <w:lang w:val="en-AU"/>
              </w:rPr>
              <w:fldChar w:fldCharType="begin"/>
            </w:r>
            <w:r w:rsidR="00603EFF" w:rsidRPr="004360BF">
              <w:rPr>
                <w:rFonts w:cs="Tahoma"/>
                <w:sz w:val="22"/>
                <w:szCs w:val="22"/>
                <w:lang w:val="en-AU"/>
              </w:rPr>
              <w:instrText xml:space="preserve"> REF _Ref291313142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7</w:t>
            </w:r>
            <w:r w:rsidR="00603EFF" w:rsidRPr="004360BF">
              <w:rPr>
                <w:rFonts w:cs="Tahoma"/>
                <w:sz w:val="22"/>
                <w:szCs w:val="22"/>
                <w:lang w:val="en-AU"/>
              </w:rPr>
              <w:fldChar w:fldCharType="end"/>
            </w:r>
            <w:r w:rsidR="006B7E77" w:rsidRPr="004360BF">
              <w:rPr>
                <w:rFonts w:cs="Tahoma"/>
                <w:sz w:val="22"/>
                <w:szCs w:val="22"/>
                <w:lang w:val="en-AU"/>
              </w:rPr>
              <w:t xml:space="preserve">, </w:t>
            </w:r>
            <w:r w:rsidR="001C588A" w:rsidRPr="004360BF">
              <w:rPr>
                <w:rFonts w:cs="Tahoma"/>
                <w:sz w:val="22"/>
                <w:szCs w:val="22"/>
                <w:lang w:val="en-AU"/>
              </w:rPr>
              <w:t xml:space="preserve">demonstrates Power Networks’ consideration of efficient pricing. </w:t>
            </w:r>
          </w:p>
          <w:p w14:paraId="315E42D6" w14:textId="77777777" w:rsidR="006B7E77" w:rsidRPr="004360BF" w:rsidRDefault="006B7E77" w:rsidP="006B7E77">
            <w:pPr>
              <w:tabs>
                <w:tab w:val="left" w:pos="710"/>
              </w:tabs>
              <w:spacing w:before="40" w:after="40"/>
              <w:rPr>
                <w:rFonts w:cs="Tahoma"/>
                <w:sz w:val="22"/>
                <w:szCs w:val="22"/>
                <w:lang w:val="en-AU"/>
              </w:rPr>
            </w:pPr>
          </w:p>
          <w:p w14:paraId="0836C7D7" w14:textId="77777777" w:rsidR="006B7E77" w:rsidRPr="004360BF" w:rsidRDefault="006B7E77" w:rsidP="006B7E77">
            <w:pPr>
              <w:tabs>
                <w:tab w:val="left" w:pos="710"/>
              </w:tabs>
              <w:spacing w:before="40" w:after="40"/>
              <w:rPr>
                <w:rFonts w:cs="Tahoma"/>
                <w:sz w:val="22"/>
                <w:szCs w:val="22"/>
                <w:lang w:val="en-AU"/>
              </w:rPr>
            </w:pPr>
          </w:p>
        </w:tc>
      </w:tr>
      <w:tr w:rsidR="00E46723" w:rsidRPr="004360BF" w14:paraId="1936B2DB" w14:textId="77777777" w:rsidTr="006B7E77">
        <w:tc>
          <w:tcPr>
            <w:tcW w:w="6291" w:type="dxa"/>
            <w:tcBorders>
              <w:top w:val="single" w:sz="4" w:space="0" w:color="auto"/>
              <w:left w:val="single" w:sz="4" w:space="0" w:color="auto"/>
              <w:bottom w:val="single" w:sz="4" w:space="0" w:color="auto"/>
              <w:right w:val="single" w:sz="4" w:space="0" w:color="auto"/>
            </w:tcBorders>
          </w:tcPr>
          <w:p w14:paraId="00669946" w14:textId="77777777" w:rsidR="00E46723" w:rsidRPr="004360BF" w:rsidRDefault="00E46723" w:rsidP="006B7E77">
            <w:pPr>
              <w:spacing w:before="40" w:after="40"/>
              <w:ind w:left="567" w:hanging="567"/>
              <w:rPr>
                <w:rFonts w:cs="Tahoma"/>
                <w:sz w:val="22"/>
                <w:szCs w:val="22"/>
                <w:lang w:val="en-AU"/>
              </w:rPr>
            </w:pPr>
            <w:r w:rsidRPr="004360BF">
              <w:rPr>
                <w:rFonts w:cs="Tahoma"/>
                <w:sz w:val="22"/>
                <w:szCs w:val="22"/>
                <w:lang w:val="en-AU"/>
              </w:rPr>
              <w:t>16.5</w:t>
            </w:r>
            <w:r w:rsidRPr="004360BF">
              <w:rPr>
                <w:rFonts w:cs="Tahoma"/>
                <w:sz w:val="22"/>
                <w:szCs w:val="22"/>
                <w:lang w:val="en-AU"/>
              </w:rPr>
              <w:tab/>
              <w:t xml:space="preserve">Provide a copy of the model(s) that have been used in the development of the draft </w:t>
            </w:r>
            <w:r w:rsidRPr="004360BF">
              <w:rPr>
                <w:rFonts w:cs="Tahoma"/>
                <w:b/>
                <w:i/>
                <w:sz w:val="22"/>
                <w:szCs w:val="22"/>
                <w:lang w:val="en-AU"/>
              </w:rPr>
              <w:t>Network Pricing Principles Statement</w:t>
            </w:r>
            <w:r w:rsidRPr="004360BF">
              <w:rPr>
                <w:rFonts w:cs="Tahoma"/>
                <w:sz w:val="22"/>
                <w:szCs w:val="22"/>
                <w:lang w:val="en-AU"/>
              </w:rPr>
              <w:t>, including any proprietary model(s) provided by a third party;</w:t>
            </w:r>
          </w:p>
        </w:tc>
        <w:tc>
          <w:tcPr>
            <w:tcW w:w="2888" w:type="dxa"/>
            <w:tcBorders>
              <w:top w:val="single" w:sz="4" w:space="0" w:color="auto"/>
              <w:left w:val="single" w:sz="4" w:space="0" w:color="auto"/>
              <w:bottom w:val="single" w:sz="4" w:space="0" w:color="auto"/>
              <w:right w:val="single" w:sz="4" w:space="0" w:color="auto"/>
            </w:tcBorders>
          </w:tcPr>
          <w:p w14:paraId="7B12BF02" w14:textId="77777777" w:rsidR="00E46723" w:rsidRPr="004360BF" w:rsidRDefault="00E46723" w:rsidP="00F329CC">
            <w:pPr>
              <w:tabs>
                <w:tab w:val="left" w:pos="710"/>
              </w:tabs>
              <w:spacing w:before="40" w:after="40"/>
              <w:rPr>
                <w:rFonts w:cs="Tahoma"/>
                <w:sz w:val="22"/>
                <w:szCs w:val="22"/>
                <w:lang w:val="en-AU"/>
              </w:rPr>
            </w:pPr>
            <w:r w:rsidRPr="004360BF">
              <w:rPr>
                <w:rFonts w:cs="Tahoma"/>
                <w:sz w:val="22"/>
                <w:szCs w:val="22"/>
                <w:lang w:val="en-AU"/>
              </w:rPr>
              <w:t xml:space="preserve">Power Networks’ Cost of Supply Model </w:t>
            </w:r>
            <w:r w:rsidR="004B4224" w:rsidRPr="004360BF">
              <w:rPr>
                <w:rFonts w:cs="Tahoma"/>
                <w:sz w:val="22"/>
                <w:szCs w:val="22"/>
                <w:lang w:val="en-AU"/>
              </w:rPr>
              <w:t>(201</w:t>
            </w:r>
            <w:r w:rsidR="00F329CC" w:rsidRPr="004360BF">
              <w:rPr>
                <w:rFonts w:cs="Tahoma"/>
                <w:sz w:val="22"/>
                <w:szCs w:val="22"/>
                <w:lang w:val="en-AU"/>
              </w:rPr>
              <w:t>5</w:t>
            </w:r>
            <w:r w:rsidR="004B4224" w:rsidRPr="004360BF">
              <w:rPr>
                <w:rFonts w:cs="Tahoma"/>
                <w:sz w:val="22"/>
                <w:szCs w:val="22"/>
                <w:lang w:val="en-AU"/>
              </w:rPr>
              <w:t>/1</w:t>
            </w:r>
            <w:r w:rsidR="00F329CC" w:rsidRPr="004360BF">
              <w:rPr>
                <w:rFonts w:cs="Tahoma"/>
                <w:sz w:val="22"/>
                <w:szCs w:val="22"/>
                <w:lang w:val="en-AU"/>
              </w:rPr>
              <w:t>6</w:t>
            </w:r>
            <w:r w:rsidR="004B4224" w:rsidRPr="004360BF">
              <w:rPr>
                <w:rFonts w:cs="Tahoma"/>
                <w:sz w:val="22"/>
                <w:szCs w:val="22"/>
                <w:lang w:val="en-AU"/>
              </w:rPr>
              <w:t xml:space="preserve"> Pricing Proposal Model) </w:t>
            </w:r>
            <w:r w:rsidRPr="004360BF">
              <w:rPr>
                <w:rFonts w:cs="Tahoma"/>
                <w:sz w:val="22"/>
                <w:szCs w:val="22"/>
                <w:lang w:val="en-AU"/>
              </w:rPr>
              <w:t>has been made available to the Commission on a confidential basis.</w:t>
            </w:r>
          </w:p>
        </w:tc>
      </w:tr>
    </w:tbl>
    <w:p w14:paraId="62783879" w14:textId="77777777" w:rsidR="00E46723" w:rsidRPr="004360BF" w:rsidRDefault="00E46723" w:rsidP="00E46723">
      <w:pPr>
        <w:spacing w:after="0"/>
        <w:rPr>
          <w:lang w:val="en-AU"/>
        </w:rPr>
      </w:pPr>
      <w:bookmarkStart w:id="561" w:name="_Toc350163271"/>
    </w:p>
    <w:p w14:paraId="391B6DA6" w14:textId="0480E854" w:rsidR="00E46723" w:rsidRPr="004360BF" w:rsidRDefault="00E46723" w:rsidP="00A65824">
      <w:pPr>
        <w:keepNext/>
        <w:rPr>
          <w:lang w:val="en-AU"/>
        </w:rPr>
      </w:pPr>
      <w:r w:rsidRPr="004360BF">
        <w:rPr>
          <w:lang w:val="en-AU"/>
        </w:rPr>
        <w:t xml:space="preserve">The requirements of the Commission’s RIN in relation to </w:t>
      </w:r>
      <w:r w:rsidR="001C588A" w:rsidRPr="004360BF">
        <w:rPr>
          <w:lang w:val="en-AU"/>
        </w:rPr>
        <w:t>a Network Pricing Proposal and Tariff Schedules</w:t>
      </w:r>
      <w:r w:rsidRPr="004360BF">
        <w:rPr>
          <w:lang w:val="en-AU"/>
        </w:rPr>
        <w:t xml:space="preserve"> are set out in </w:t>
      </w:r>
      <w:r w:rsidR="00EE7AA1" w:rsidRPr="004360BF">
        <w:rPr>
          <w:lang w:val="en-AU"/>
        </w:rPr>
        <w:fldChar w:fldCharType="begin"/>
      </w:r>
      <w:r w:rsidR="00EE7AA1" w:rsidRPr="004360BF">
        <w:rPr>
          <w:lang w:val="en-AU"/>
        </w:rPr>
        <w:instrText xml:space="preserve"> REF _Ref240618209 \h </w:instrText>
      </w:r>
      <w:r w:rsidR="00EE7AA1" w:rsidRPr="004360BF">
        <w:rPr>
          <w:lang w:val="en-AU"/>
        </w:rPr>
      </w:r>
      <w:r w:rsidR="00EE7AA1" w:rsidRPr="004360BF">
        <w:rPr>
          <w:lang w:val="en-AU"/>
        </w:rPr>
        <w:fldChar w:fldCharType="separate"/>
      </w:r>
      <w:r w:rsidR="008D3215" w:rsidRPr="004360BF">
        <w:rPr>
          <w:lang w:val="en-AU"/>
        </w:rPr>
        <w:t xml:space="preserve">Table </w:t>
      </w:r>
      <w:r w:rsidR="008D3215">
        <w:rPr>
          <w:noProof/>
          <w:lang w:val="en-AU"/>
        </w:rPr>
        <w:t>27</w:t>
      </w:r>
      <w:r w:rsidR="00EE7AA1" w:rsidRPr="004360BF">
        <w:rPr>
          <w:lang w:val="en-AU"/>
        </w:rPr>
        <w:fldChar w:fldCharType="end"/>
      </w:r>
      <w:r w:rsidRPr="004360BF">
        <w:rPr>
          <w:lang w:val="en-AU"/>
        </w:rPr>
        <w:t xml:space="preserve">. </w:t>
      </w:r>
    </w:p>
    <w:p w14:paraId="6C4A3E29" w14:textId="77777777" w:rsidR="00E46723" w:rsidRPr="004360BF" w:rsidRDefault="00E46723" w:rsidP="00E46723">
      <w:pPr>
        <w:pStyle w:val="Caption"/>
        <w:rPr>
          <w:lang w:val="en-AU"/>
        </w:rPr>
      </w:pPr>
      <w:bookmarkStart w:id="562" w:name="_Ref240618209"/>
      <w:bookmarkStart w:id="563" w:name="_Ref240618196"/>
      <w:r w:rsidRPr="004360BF">
        <w:rPr>
          <w:lang w:val="en-AU"/>
        </w:rPr>
        <w:t xml:space="preserve">Table </w:t>
      </w:r>
      <w:r w:rsidR="00517DD9" w:rsidRPr="004360BF">
        <w:rPr>
          <w:lang w:val="en-AU"/>
        </w:rPr>
        <w:fldChar w:fldCharType="begin"/>
      </w:r>
      <w:r w:rsidRPr="004360BF">
        <w:rPr>
          <w:lang w:val="en-AU"/>
        </w:rPr>
        <w:instrText xml:space="preserve"> SEQ Table \* ARABIC </w:instrText>
      </w:r>
      <w:r w:rsidR="00517DD9" w:rsidRPr="004360BF">
        <w:rPr>
          <w:lang w:val="en-AU"/>
        </w:rPr>
        <w:fldChar w:fldCharType="separate"/>
      </w:r>
      <w:r w:rsidR="008D3215">
        <w:rPr>
          <w:noProof/>
          <w:lang w:val="en-AU"/>
        </w:rPr>
        <w:t>27</w:t>
      </w:r>
      <w:r w:rsidR="00517DD9" w:rsidRPr="004360BF">
        <w:rPr>
          <w:lang w:val="en-AU"/>
        </w:rPr>
        <w:fldChar w:fldCharType="end"/>
      </w:r>
      <w:bookmarkEnd w:id="562"/>
      <w:r w:rsidRPr="004360BF">
        <w:rPr>
          <w:lang w:val="en-AU"/>
        </w:rPr>
        <w:t xml:space="preserve"> – RIN requirements on </w:t>
      </w:r>
      <w:r w:rsidR="001C588A" w:rsidRPr="004360BF">
        <w:rPr>
          <w:lang w:val="en-AU"/>
        </w:rPr>
        <w:t>a Network Pricing Proposal and Tariff Schedules</w:t>
      </w:r>
      <w:bookmarkEnd w:id="5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1"/>
        <w:gridCol w:w="3178"/>
      </w:tblGrid>
      <w:tr w:rsidR="00E46723" w:rsidRPr="004360BF" w14:paraId="2CA2CA5E" w14:textId="77777777" w:rsidTr="00161DE1">
        <w:trPr>
          <w:tblHeader/>
        </w:trPr>
        <w:tc>
          <w:tcPr>
            <w:tcW w:w="6001" w:type="dxa"/>
            <w:tcBorders>
              <w:top w:val="single" w:sz="4" w:space="0" w:color="auto"/>
              <w:left w:val="single" w:sz="4" w:space="0" w:color="auto"/>
              <w:bottom w:val="single" w:sz="4" w:space="0" w:color="auto"/>
              <w:right w:val="single" w:sz="4" w:space="0" w:color="auto"/>
            </w:tcBorders>
            <w:shd w:val="solid" w:color="C6D9F1" w:fill="auto"/>
          </w:tcPr>
          <w:p w14:paraId="773FA852" w14:textId="77777777" w:rsidR="00E46723" w:rsidRPr="004360BF" w:rsidRDefault="00E46723" w:rsidP="00161DE1">
            <w:pPr>
              <w:spacing w:before="40" w:after="40"/>
              <w:jc w:val="both"/>
              <w:outlineLvl w:val="1"/>
              <w:rPr>
                <w:b/>
                <w:sz w:val="22"/>
                <w:szCs w:val="22"/>
                <w:u w:val="single"/>
                <w:lang w:val="en-AU"/>
              </w:rPr>
            </w:pPr>
            <w:bookmarkStart w:id="564" w:name="_Toc417291802"/>
            <w:bookmarkStart w:id="565" w:name="_Toc417292570"/>
            <w:r w:rsidRPr="004360BF">
              <w:rPr>
                <w:rFonts w:cs="Tahoma"/>
                <w:b/>
                <w:sz w:val="22"/>
                <w:szCs w:val="22"/>
                <w:lang w:val="en-AU"/>
              </w:rPr>
              <w:t>RIN clause</w:t>
            </w:r>
            <w:bookmarkEnd w:id="564"/>
            <w:bookmarkEnd w:id="565"/>
          </w:p>
        </w:tc>
        <w:tc>
          <w:tcPr>
            <w:tcW w:w="3178" w:type="dxa"/>
            <w:tcBorders>
              <w:top w:val="single" w:sz="4" w:space="0" w:color="auto"/>
              <w:left w:val="single" w:sz="4" w:space="0" w:color="auto"/>
              <w:bottom w:val="single" w:sz="4" w:space="0" w:color="auto"/>
              <w:right w:val="single" w:sz="4" w:space="0" w:color="auto"/>
            </w:tcBorders>
            <w:shd w:val="solid" w:color="C6D9F1" w:fill="auto"/>
          </w:tcPr>
          <w:p w14:paraId="602954B0" w14:textId="77777777" w:rsidR="00E46723" w:rsidRPr="004360BF" w:rsidRDefault="00E46723" w:rsidP="00161DE1">
            <w:pPr>
              <w:spacing w:before="40" w:after="40"/>
              <w:outlineLvl w:val="1"/>
              <w:rPr>
                <w:b/>
                <w:sz w:val="22"/>
                <w:szCs w:val="22"/>
                <w:u w:val="single"/>
                <w:lang w:val="en-AU"/>
              </w:rPr>
            </w:pPr>
            <w:bookmarkStart w:id="566" w:name="_Toc417291803"/>
            <w:bookmarkStart w:id="567" w:name="_Toc417292571"/>
            <w:r w:rsidRPr="004360BF">
              <w:rPr>
                <w:rFonts w:cs="Tahoma"/>
                <w:b/>
                <w:sz w:val="22"/>
                <w:szCs w:val="22"/>
                <w:lang w:val="en-AU"/>
              </w:rPr>
              <w:t>P</w:t>
            </w:r>
            <w:r w:rsidR="004D05F2" w:rsidRPr="004360BF">
              <w:rPr>
                <w:rFonts w:cs="Tahoma"/>
                <w:b/>
                <w:sz w:val="22"/>
                <w:szCs w:val="22"/>
                <w:lang w:val="en-AU"/>
              </w:rPr>
              <w:t>ricing P</w:t>
            </w:r>
            <w:r w:rsidRPr="004360BF">
              <w:rPr>
                <w:rFonts w:cs="Tahoma"/>
                <w:b/>
                <w:sz w:val="22"/>
                <w:szCs w:val="22"/>
                <w:lang w:val="en-AU"/>
              </w:rPr>
              <w:t>roposal section</w:t>
            </w:r>
            <w:bookmarkEnd w:id="566"/>
            <w:bookmarkEnd w:id="567"/>
          </w:p>
        </w:tc>
      </w:tr>
      <w:tr w:rsidR="00E46723" w:rsidRPr="004360BF" w14:paraId="42B80AA0" w14:textId="77777777" w:rsidTr="00161DE1">
        <w:tc>
          <w:tcPr>
            <w:tcW w:w="6001" w:type="dxa"/>
            <w:tcBorders>
              <w:top w:val="single" w:sz="4" w:space="0" w:color="auto"/>
              <w:left w:val="single" w:sz="4" w:space="0" w:color="auto"/>
              <w:bottom w:val="nil"/>
              <w:right w:val="single" w:sz="4" w:space="0" w:color="auto"/>
            </w:tcBorders>
          </w:tcPr>
          <w:p w14:paraId="7C3A373C" w14:textId="77777777" w:rsidR="00E46723" w:rsidRPr="004360BF" w:rsidRDefault="00E46723" w:rsidP="00161DE1">
            <w:pPr>
              <w:spacing w:before="40" w:after="40"/>
              <w:ind w:left="568" w:hanging="568"/>
              <w:rPr>
                <w:rFonts w:cs="Tahoma"/>
                <w:b/>
                <w:sz w:val="22"/>
                <w:szCs w:val="22"/>
                <w:lang w:val="en-AU"/>
              </w:rPr>
            </w:pPr>
            <w:r w:rsidRPr="004360BF">
              <w:rPr>
                <w:rFonts w:cs="Tahoma"/>
                <w:b/>
                <w:sz w:val="22"/>
                <w:szCs w:val="22"/>
                <w:lang w:val="en-AU"/>
              </w:rPr>
              <w:t>18.</w:t>
            </w:r>
            <w:r w:rsidRPr="004360BF">
              <w:rPr>
                <w:rFonts w:cs="Tahoma"/>
                <w:b/>
                <w:sz w:val="22"/>
                <w:szCs w:val="22"/>
                <w:lang w:val="en-AU"/>
              </w:rPr>
              <w:tab/>
              <w:t>INDICATIVE TARIFF SCHEDULES</w:t>
            </w:r>
          </w:p>
        </w:tc>
        <w:tc>
          <w:tcPr>
            <w:tcW w:w="3178" w:type="dxa"/>
            <w:tcBorders>
              <w:top w:val="single" w:sz="4" w:space="0" w:color="auto"/>
              <w:left w:val="single" w:sz="4" w:space="0" w:color="auto"/>
              <w:bottom w:val="nil"/>
              <w:right w:val="single" w:sz="4" w:space="0" w:color="auto"/>
            </w:tcBorders>
          </w:tcPr>
          <w:p w14:paraId="6065F6C0" w14:textId="77777777" w:rsidR="00E46723" w:rsidRPr="004360BF" w:rsidRDefault="00E46723" w:rsidP="00161DE1">
            <w:pPr>
              <w:spacing w:before="40" w:after="40"/>
              <w:outlineLvl w:val="1"/>
              <w:rPr>
                <w:rFonts w:cs="Tahoma"/>
                <w:b/>
                <w:sz w:val="22"/>
                <w:szCs w:val="22"/>
                <w:u w:val="single"/>
                <w:lang w:val="en-AU"/>
              </w:rPr>
            </w:pPr>
          </w:p>
        </w:tc>
      </w:tr>
      <w:tr w:rsidR="00E46723" w:rsidRPr="004360BF" w14:paraId="47447A2E" w14:textId="77777777" w:rsidTr="00161DE1">
        <w:tc>
          <w:tcPr>
            <w:tcW w:w="6001" w:type="dxa"/>
            <w:tcBorders>
              <w:top w:val="nil"/>
              <w:left w:val="single" w:sz="4" w:space="0" w:color="auto"/>
              <w:bottom w:val="single" w:sz="4" w:space="0" w:color="auto"/>
              <w:right w:val="single" w:sz="4" w:space="0" w:color="auto"/>
            </w:tcBorders>
          </w:tcPr>
          <w:p w14:paraId="297C8507" w14:textId="77777777" w:rsidR="00E46723" w:rsidRPr="004360BF" w:rsidRDefault="00E46723" w:rsidP="00161DE1">
            <w:pPr>
              <w:spacing w:before="40" w:after="40"/>
              <w:ind w:left="568" w:hanging="568"/>
              <w:rPr>
                <w:rFonts w:cs="Tahoma"/>
                <w:sz w:val="22"/>
                <w:szCs w:val="22"/>
                <w:lang w:val="en-AU"/>
              </w:rPr>
            </w:pPr>
            <w:r w:rsidRPr="004360BF">
              <w:rPr>
                <w:rFonts w:cs="Tahoma"/>
                <w:sz w:val="22"/>
                <w:szCs w:val="22"/>
                <w:lang w:val="en-AU"/>
              </w:rPr>
              <w:t>18.1</w:t>
            </w:r>
            <w:r w:rsidRPr="004360BF">
              <w:rPr>
                <w:rFonts w:cs="Tahoma"/>
                <w:sz w:val="22"/>
                <w:szCs w:val="22"/>
                <w:lang w:val="en-AU"/>
              </w:rPr>
              <w:tab/>
              <w:t>Provide, for the regulatory year commencing 1 July 2014, an indicative Network Pricing Proposal and Tariff Schedules, suitable for publication, that:</w:t>
            </w:r>
          </w:p>
        </w:tc>
        <w:tc>
          <w:tcPr>
            <w:tcW w:w="3178" w:type="dxa"/>
            <w:tcBorders>
              <w:top w:val="nil"/>
              <w:left w:val="single" w:sz="4" w:space="0" w:color="auto"/>
              <w:bottom w:val="single" w:sz="4" w:space="0" w:color="auto"/>
              <w:right w:val="single" w:sz="4" w:space="0" w:color="auto"/>
            </w:tcBorders>
          </w:tcPr>
          <w:p w14:paraId="29081C69" w14:textId="77777777" w:rsidR="001C588A" w:rsidRPr="004360BF" w:rsidRDefault="001C588A" w:rsidP="00161DE1">
            <w:pPr>
              <w:tabs>
                <w:tab w:val="left" w:pos="710"/>
              </w:tabs>
              <w:spacing w:before="40" w:after="40"/>
              <w:rPr>
                <w:rFonts w:cs="Tahoma"/>
                <w:sz w:val="22"/>
                <w:szCs w:val="22"/>
                <w:lang w:val="en-AU"/>
              </w:rPr>
            </w:pPr>
            <w:r w:rsidRPr="004360BF">
              <w:rPr>
                <w:rFonts w:cs="Tahoma"/>
                <w:sz w:val="22"/>
                <w:szCs w:val="22"/>
                <w:lang w:val="en-AU"/>
              </w:rPr>
              <w:t>Part B: 201</w:t>
            </w:r>
            <w:r w:rsidR="00D34CAB" w:rsidRPr="004360BF">
              <w:rPr>
                <w:rFonts w:cs="Tahoma"/>
                <w:sz w:val="22"/>
                <w:szCs w:val="22"/>
                <w:lang w:val="en-AU"/>
              </w:rPr>
              <w:t>5</w:t>
            </w:r>
            <w:r w:rsidRPr="004360BF">
              <w:rPr>
                <w:rFonts w:cs="Tahoma"/>
                <w:sz w:val="22"/>
                <w:szCs w:val="22"/>
                <w:lang w:val="en-AU"/>
              </w:rPr>
              <w:t>/1</w:t>
            </w:r>
            <w:r w:rsidR="00D34CAB" w:rsidRPr="004360BF">
              <w:rPr>
                <w:rFonts w:cs="Tahoma"/>
                <w:sz w:val="22"/>
                <w:szCs w:val="22"/>
                <w:lang w:val="en-AU"/>
              </w:rPr>
              <w:t>6</w:t>
            </w:r>
            <w:r w:rsidRPr="004360BF">
              <w:rPr>
                <w:rFonts w:cs="Tahoma"/>
                <w:sz w:val="22"/>
                <w:szCs w:val="22"/>
                <w:lang w:val="en-AU"/>
              </w:rPr>
              <w:t xml:space="preserve"> Network Pricing Proposal; and</w:t>
            </w:r>
          </w:p>
          <w:p w14:paraId="3736AAD5" w14:textId="77777777" w:rsidR="00E46723" w:rsidRPr="004360BF" w:rsidRDefault="001C588A" w:rsidP="00161DE1">
            <w:pPr>
              <w:tabs>
                <w:tab w:val="left" w:pos="710"/>
              </w:tabs>
              <w:spacing w:before="40" w:after="40"/>
              <w:rPr>
                <w:rFonts w:cs="Tahoma"/>
                <w:sz w:val="22"/>
                <w:szCs w:val="22"/>
                <w:lang w:val="en-AU"/>
              </w:rPr>
            </w:pPr>
            <w:r w:rsidRPr="004360BF">
              <w:rPr>
                <w:rFonts w:cs="Tahoma"/>
                <w:sz w:val="22"/>
                <w:szCs w:val="22"/>
                <w:lang w:val="en-AU"/>
              </w:rPr>
              <w:t>Attachment 3: Tariff Schedules</w:t>
            </w:r>
          </w:p>
        </w:tc>
      </w:tr>
      <w:tr w:rsidR="00161DE1" w:rsidRPr="004360BF" w14:paraId="235BD937" w14:textId="77777777" w:rsidTr="00161DE1">
        <w:tc>
          <w:tcPr>
            <w:tcW w:w="6001" w:type="dxa"/>
            <w:tcBorders>
              <w:top w:val="single" w:sz="4" w:space="0" w:color="auto"/>
              <w:left w:val="single" w:sz="4" w:space="0" w:color="auto"/>
              <w:bottom w:val="single" w:sz="4" w:space="0" w:color="auto"/>
              <w:right w:val="single" w:sz="4" w:space="0" w:color="auto"/>
            </w:tcBorders>
          </w:tcPr>
          <w:p w14:paraId="29101785" w14:textId="77777777" w:rsidR="00161DE1" w:rsidRPr="004360BF" w:rsidRDefault="00161DE1" w:rsidP="00EE7AA1">
            <w:pPr>
              <w:numPr>
                <w:ilvl w:val="0"/>
                <w:numId w:val="25"/>
              </w:numPr>
              <w:spacing w:before="40" w:after="40"/>
              <w:rPr>
                <w:rFonts w:cs="Tahoma"/>
                <w:sz w:val="22"/>
                <w:szCs w:val="22"/>
                <w:lang w:val="en-AU"/>
              </w:rPr>
            </w:pPr>
            <w:r w:rsidRPr="004360BF">
              <w:rPr>
                <w:rFonts w:cs="Tahoma"/>
                <w:sz w:val="22"/>
                <w:szCs w:val="22"/>
                <w:lang w:val="en-AU"/>
              </w:rPr>
              <w:t xml:space="preserve">sets out the tariff classes that are to apply for the relevant </w:t>
            </w:r>
            <w:r w:rsidRPr="004360BF">
              <w:rPr>
                <w:rFonts w:cs="Tahoma"/>
                <w:i/>
                <w:sz w:val="22"/>
                <w:szCs w:val="22"/>
                <w:lang w:val="en-AU"/>
              </w:rPr>
              <w:t>regulatory year</w:t>
            </w:r>
            <w:r w:rsidRPr="004360BF">
              <w:rPr>
                <w:rFonts w:cs="Tahoma"/>
                <w:sz w:val="22"/>
                <w:szCs w:val="22"/>
                <w:lang w:val="en-AU"/>
              </w:rPr>
              <w:t xml:space="preserve">; </w:t>
            </w:r>
          </w:p>
          <w:p w14:paraId="696316DD" w14:textId="77777777" w:rsidR="00161DE1" w:rsidRPr="004360BF" w:rsidRDefault="00161DE1" w:rsidP="00EE7AA1">
            <w:pPr>
              <w:numPr>
                <w:ilvl w:val="0"/>
                <w:numId w:val="25"/>
              </w:numPr>
              <w:spacing w:before="40" w:after="40"/>
              <w:rPr>
                <w:rFonts w:cs="Tahoma"/>
                <w:sz w:val="22"/>
                <w:szCs w:val="22"/>
                <w:lang w:val="en-AU"/>
              </w:rPr>
            </w:pPr>
            <w:r w:rsidRPr="004360BF">
              <w:rPr>
                <w:rFonts w:cs="Tahoma"/>
                <w:sz w:val="22"/>
                <w:szCs w:val="22"/>
                <w:lang w:val="en-AU"/>
              </w:rPr>
              <w:t>sets out the proposed tariffs for each tariff class;</w:t>
            </w:r>
          </w:p>
        </w:tc>
        <w:tc>
          <w:tcPr>
            <w:tcW w:w="3178" w:type="dxa"/>
            <w:tcBorders>
              <w:top w:val="single" w:sz="4" w:space="0" w:color="auto"/>
              <w:left w:val="single" w:sz="4" w:space="0" w:color="auto"/>
              <w:right w:val="single" w:sz="4" w:space="0" w:color="auto"/>
            </w:tcBorders>
          </w:tcPr>
          <w:p w14:paraId="19711C6A" w14:textId="13BF95D5" w:rsidR="00161DE1" w:rsidRPr="004360BF" w:rsidRDefault="00161DE1" w:rsidP="00603EFF">
            <w:pPr>
              <w:tabs>
                <w:tab w:val="left" w:pos="710"/>
              </w:tabs>
              <w:spacing w:before="40" w:after="40"/>
              <w:rPr>
                <w:rFonts w:cs="Tahoma"/>
                <w:sz w:val="22"/>
                <w:szCs w:val="22"/>
                <w:lang w:val="en-AU"/>
              </w:rPr>
            </w:pPr>
            <w:r w:rsidRPr="004360BF">
              <w:rPr>
                <w:rFonts w:cs="Tahoma"/>
                <w:sz w:val="22"/>
                <w:szCs w:val="22"/>
                <w:lang w:val="en-AU"/>
              </w:rPr>
              <w:t xml:space="preserve">Chapter </w:t>
            </w:r>
            <w:r w:rsidR="00603EFF" w:rsidRPr="004360BF">
              <w:rPr>
                <w:rFonts w:cs="Tahoma"/>
                <w:sz w:val="22"/>
                <w:szCs w:val="22"/>
                <w:lang w:val="en-AU"/>
              </w:rPr>
              <w:fldChar w:fldCharType="begin"/>
            </w:r>
            <w:r w:rsidR="00603EFF" w:rsidRPr="004360BF">
              <w:rPr>
                <w:rFonts w:cs="Tahoma"/>
                <w:sz w:val="22"/>
                <w:szCs w:val="22"/>
                <w:lang w:val="en-AU"/>
              </w:rPr>
              <w:instrText xml:space="preserve"> REF _Ref291313225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5</w:t>
            </w:r>
            <w:r w:rsidR="00603EFF" w:rsidRPr="004360BF">
              <w:rPr>
                <w:rFonts w:cs="Tahoma"/>
                <w:sz w:val="22"/>
                <w:szCs w:val="22"/>
                <w:lang w:val="en-AU"/>
              </w:rPr>
              <w:fldChar w:fldCharType="end"/>
            </w:r>
            <w:r w:rsidRPr="004360BF">
              <w:rPr>
                <w:rFonts w:cs="Tahoma"/>
                <w:sz w:val="22"/>
                <w:szCs w:val="22"/>
                <w:lang w:val="en-AU"/>
              </w:rPr>
              <w:t xml:space="preserve"> sets out the tariff classes and proposed tariffs for each tariff class. </w:t>
            </w:r>
          </w:p>
        </w:tc>
      </w:tr>
      <w:tr w:rsidR="00E46723" w:rsidRPr="004360BF" w14:paraId="67A20461" w14:textId="77777777" w:rsidTr="00161DE1">
        <w:tc>
          <w:tcPr>
            <w:tcW w:w="6001" w:type="dxa"/>
            <w:tcBorders>
              <w:top w:val="single" w:sz="4" w:space="0" w:color="auto"/>
              <w:left w:val="single" w:sz="4" w:space="0" w:color="auto"/>
              <w:bottom w:val="single" w:sz="4" w:space="0" w:color="auto"/>
              <w:right w:val="single" w:sz="4" w:space="0" w:color="auto"/>
            </w:tcBorders>
          </w:tcPr>
          <w:p w14:paraId="15A8CA21" w14:textId="77777777" w:rsidR="00E46723" w:rsidRPr="004360BF" w:rsidRDefault="00E46723" w:rsidP="00161DE1">
            <w:pPr>
              <w:spacing w:before="40" w:after="40"/>
              <w:ind w:left="992" w:hanging="425"/>
              <w:rPr>
                <w:rFonts w:cs="Tahoma"/>
                <w:sz w:val="22"/>
                <w:szCs w:val="22"/>
                <w:lang w:val="en-AU"/>
              </w:rPr>
            </w:pPr>
            <w:r w:rsidRPr="004360BF">
              <w:rPr>
                <w:rFonts w:cs="Tahoma"/>
                <w:sz w:val="22"/>
                <w:szCs w:val="22"/>
                <w:lang w:val="en-AU"/>
              </w:rPr>
              <w:t>(c)</w:t>
            </w:r>
            <w:r w:rsidRPr="004360BF">
              <w:rPr>
                <w:rFonts w:cs="Tahoma"/>
                <w:sz w:val="22"/>
                <w:szCs w:val="22"/>
                <w:lang w:val="en-AU"/>
              </w:rPr>
              <w:tab/>
              <w:t xml:space="preserve">sets out, for each proposed tariff, the charging parameters and the elements of service to which each charging parameter relates; </w:t>
            </w:r>
          </w:p>
        </w:tc>
        <w:tc>
          <w:tcPr>
            <w:tcW w:w="3178" w:type="dxa"/>
            <w:tcBorders>
              <w:top w:val="single" w:sz="4" w:space="0" w:color="auto"/>
              <w:left w:val="single" w:sz="4" w:space="0" w:color="auto"/>
              <w:bottom w:val="single" w:sz="4" w:space="0" w:color="auto"/>
              <w:right w:val="single" w:sz="4" w:space="0" w:color="auto"/>
            </w:tcBorders>
          </w:tcPr>
          <w:p w14:paraId="075F21D8" w14:textId="7F949D30" w:rsidR="00E46723" w:rsidRPr="004360BF" w:rsidRDefault="00E46723" w:rsidP="00603EFF">
            <w:pPr>
              <w:tabs>
                <w:tab w:val="left" w:pos="710"/>
              </w:tabs>
              <w:spacing w:before="40" w:after="40"/>
              <w:rPr>
                <w:rFonts w:cs="Tahoma"/>
                <w:sz w:val="22"/>
                <w:szCs w:val="22"/>
                <w:lang w:val="en-AU"/>
              </w:rPr>
            </w:pPr>
            <w:r w:rsidRPr="004360BF">
              <w:rPr>
                <w:rFonts w:cs="Tahoma"/>
                <w:sz w:val="22"/>
                <w:szCs w:val="22"/>
                <w:lang w:val="en-AU"/>
              </w:rPr>
              <w:t xml:space="preserve">Chapter </w:t>
            </w:r>
            <w:r w:rsidR="00603EFF" w:rsidRPr="004360BF">
              <w:rPr>
                <w:rFonts w:cs="Tahoma"/>
                <w:sz w:val="22"/>
                <w:szCs w:val="22"/>
                <w:lang w:val="en-AU"/>
              </w:rPr>
              <w:fldChar w:fldCharType="begin"/>
            </w:r>
            <w:r w:rsidR="00603EFF" w:rsidRPr="004360BF">
              <w:rPr>
                <w:rFonts w:cs="Tahoma"/>
                <w:sz w:val="22"/>
                <w:szCs w:val="22"/>
                <w:lang w:val="en-AU"/>
              </w:rPr>
              <w:instrText xml:space="preserve"> REF _Ref291313200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10</w:t>
            </w:r>
            <w:r w:rsidR="00603EFF" w:rsidRPr="004360BF">
              <w:rPr>
                <w:rFonts w:cs="Tahoma"/>
                <w:sz w:val="22"/>
                <w:szCs w:val="22"/>
                <w:lang w:val="en-AU"/>
              </w:rPr>
              <w:fldChar w:fldCharType="end"/>
            </w:r>
            <w:r w:rsidRPr="004360BF">
              <w:rPr>
                <w:rFonts w:cs="Tahoma"/>
                <w:sz w:val="22"/>
                <w:szCs w:val="22"/>
                <w:lang w:val="en-AU"/>
              </w:rPr>
              <w:t xml:space="preserve"> sets out</w:t>
            </w:r>
            <w:r w:rsidR="001C588A" w:rsidRPr="004360BF">
              <w:rPr>
                <w:rFonts w:cs="Tahoma"/>
                <w:sz w:val="22"/>
                <w:szCs w:val="22"/>
                <w:lang w:val="en-AU"/>
              </w:rPr>
              <w:t>, for each proposed tariff,</w:t>
            </w:r>
            <w:r w:rsidRPr="004360BF">
              <w:rPr>
                <w:rFonts w:cs="Tahoma"/>
                <w:sz w:val="22"/>
                <w:szCs w:val="22"/>
                <w:lang w:val="en-AU"/>
              </w:rPr>
              <w:t xml:space="preserve"> the charging parameters</w:t>
            </w:r>
            <w:r w:rsidR="001C588A" w:rsidRPr="004360BF">
              <w:rPr>
                <w:rFonts w:cs="Tahoma"/>
                <w:sz w:val="22"/>
                <w:szCs w:val="22"/>
                <w:lang w:val="en-AU"/>
              </w:rPr>
              <w:t xml:space="preserve"> and the elements of service to which each charging parameter relates.</w:t>
            </w:r>
          </w:p>
        </w:tc>
      </w:tr>
      <w:tr w:rsidR="00E46723" w:rsidRPr="004360BF" w14:paraId="507269BC" w14:textId="77777777" w:rsidTr="00161DE1">
        <w:tc>
          <w:tcPr>
            <w:tcW w:w="6001" w:type="dxa"/>
            <w:tcBorders>
              <w:top w:val="single" w:sz="4" w:space="0" w:color="auto"/>
              <w:left w:val="single" w:sz="4" w:space="0" w:color="auto"/>
              <w:bottom w:val="single" w:sz="4" w:space="0" w:color="auto"/>
              <w:right w:val="single" w:sz="4" w:space="0" w:color="auto"/>
            </w:tcBorders>
          </w:tcPr>
          <w:p w14:paraId="4D8EDDD2" w14:textId="77777777" w:rsidR="00E46723" w:rsidRPr="004360BF" w:rsidRDefault="00E46723" w:rsidP="00161DE1">
            <w:pPr>
              <w:spacing w:before="40" w:after="40"/>
              <w:ind w:left="992" w:hanging="425"/>
              <w:rPr>
                <w:rFonts w:cs="Tahoma"/>
                <w:sz w:val="22"/>
                <w:szCs w:val="22"/>
                <w:lang w:val="en-AU"/>
              </w:rPr>
            </w:pPr>
            <w:r w:rsidRPr="004360BF">
              <w:rPr>
                <w:rFonts w:cs="Tahoma"/>
                <w:sz w:val="22"/>
                <w:szCs w:val="22"/>
                <w:lang w:val="en-AU"/>
              </w:rPr>
              <w:t>(d)</w:t>
            </w:r>
            <w:r w:rsidRPr="004360BF">
              <w:rPr>
                <w:rFonts w:cs="Tahoma"/>
                <w:sz w:val="22"/>
                <w:szCs w:val="22"/>
                <w:lang w:val="en-AU"/>
              </w:rPr>
              <w:tab/>
              <w:t xml:space="preserve">sets out, for each tariff class related to standard control services, the expected weighted average revenue for the relevant </w:t>
            </w:r>
            <w:r w:rsidRPr="004360BF">
              <w:rPr>
                <w:rFonts w:cs="Tahoma"/>
                <w:i/>
                <w:sz w:val="22"/>
                <w:szCs w:val="22"/>
                <w:lang w:val="en-AU"/>
              </w:rPr>
              <w:t>regulatory year</w:t>
            </w:r>
            <w:r w:rsidRPr="004360BF">
              <w:rPr>
                <w:rFonts w:cs="Tahoma"/>
                <w:sz w:val="22"/>
                <w:szCs w:val="22"/>
                <w:lang w:val="en-AU"/>
              </w:rPr>
              <w:t>; and</w:t>
            </w:r>
          </w:p>
        </w:tc>
        <w:tc>
          <w:tcPr>
            <w:tcW w:w="3178" w:type="dxa"/>
            <w:tcBorders>
              <w:top w:val="single" w:sz="4" w:space="0" w:color="auto"/>
              <w:left w:val="single" w:sz="4" w:space="0" w:color="auto"/>
              <w:bottom w:val="single" w:sz="4" w:space="0" w:color="auto"/>
              <w:right w:val="single" w:sz="4" w:space="0" w:color="auto"/>
            </w:tcBorders>
          </w:tcPr>
          <w:p w14:paraId="7CE0A04B" w14:textId="0983B180" w:rsidR="00E46723" w:rsidRPr="004360BF" w:rsidRDefault="00E46723" w:rsidP="00603EFF">
            <w:pPr>
              <w:tabs>
                <w:tab w:val="left" w:pos="710"/>
              </w:tabs>
              <w:spacing w:before="40" w:after="40"/>
              <w:rPr>
                <w:rFonts w:cs="Tahoma"/>
                <w:sz w:val="22"/>
                <w:szCs w:val="22"/>
                <w:lang w:val="en-AU"/>
              </w:rPr>
            </w:pPr>
            <w:r w:rsidRPr="004360BF">
              <w:rPr>
                <w:rFonts w:cs="Tahoma"/>
                <w:sz w:val="22"/>
                <w:szCs w:val="22"/>
                <w:lang w:val="en-AU"/>
              </w:rPr>
              <w:t xml:space="preserve">Section </w:t>
            </w:r>
            <w:r w:rsidR="00603EFF" w:rsidRPr="004360BF">
              <w:rPr>
                <w:rFonts w:cs="Tahoma"/>
                <w:sz w:val="22"/>
                <w:szCs w:val="22"/>
                <w:lang w:val="en-AU"/>
              </w:rPr>
              <w:fldChar w:fldCharType="begin"/>
            </w:r>
            <w:r w:rsidR="00603EFF" w:rsidRPr="004360BF">
              <w:rPr>
                <w:rFonts w:cs="Tahoma"/>
                <w:sz w:val="22"/>
                <w:szCs w:val="22"/>
                <w:lang w:val="en-AU"/>
              </w:rPr>
              <w:instrText xml:space="preserve"> REF _Ref291313260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12.1</w:t>
            </w:r>
            <w:r w:rsidR="00603EFF" w:rsidRPr="004360BF">
              <w:rPr>
                <w:rFonts w:cs="Tahoma"/>
                <w:sz w:val="22"/>
                <w:szCs w:val="22"/>
                <w:lang w:val="en-AU"/>
              </w:rPr>
              <w:fldChar w:fldCharType="end"/>
            </w:r>
            <w:r w:rsidR="00603EFF" w:rsidRPr="004360BF">
              <w:rPr>
                <w:rFonts w:cs="Tahoma"/>
                <w:sz w:val="22"/>
                <w:szCs w:val="22"/>
                <w:lang w:val="en-AU"/>
              </w:rPr>
              <w:t xml:space="preserve"> </w:t>
            </w:r>
            <w:r w:rsidRPr="004360BF">
              <w:rPr>
                <w:rFonts w:cs="Tahoma"/>
                <w:sz w:val="22"/>
                <w:szCs w:val="22"/>
                <w:lang w:val="en-AU"/>
              </w:rPr>
              <w:t>sets out the expected weighted average revenue for each tariff class for 201</w:t>
            </w:r>
            <w:r w:rsidR="00F329CC" w:rsidRPr="004360BF">
              <w:rPr>
                <w:rFonts w:cs="Tahoma"/>
                <w:sz w:val="22"/>
                <w:szCs w:val="22"/>
                <w:lang w:val="en-AU"/>
              </w:rPr>
              <w:t>5</w:t>
            </w:r>
            <w:r w:rsidRPr="004360BF">
              <w:rPr>
                <w:rFonts w:cs="Tahoma"/>
                <w:sz w:val="22"/>
                <w:szCs w:val="22"/>
                <w:lang w:val="en-AU"/>
              </w:rPr>
              <w:t>/1</w:t>
            </w:r>
            <w:r w:rsidR="00F329CC" w:rsidRPr="004360BF">
              <w:rPr>
                <w:rFonts w:cs="Tahoma"/>
                <w:sz w:val="22"/>
                <w:szCs w:val="22"/>
                <w:lang w:val="en-AU"/>
              </w:rPr>
              <w:t>6</w:t>
            </w:r>
            <w:r w:rsidRPr="004360BF">
              <w:rPr>
                <w:rFonts w:cs="Tahoma"/>
                <w:sz w:val="22"/>
                <w:szCs w:val="22"/>
                <w:lang w:val="en-AU"/>
              </w:rPr>
              <w:t>.</w:t>
            </w:r>
          </w:p>
        </w:tc>
      </w:tr>
      <w:tr w:rsidR="00E46723" w:rsidRPr="004360BF" w14:paraId="365DB1FE" w14:textId="77777777" w:rsidTr="00161DE1">
        <w:tc>
          <w:tcPr>
            <w:tcW w:w="6001" w:type="dxa"/>
            <w:tcBorders>
              <w:top w:val="single" w:sz="4" w:space="0" w:color="auto"/>
              <w:left w:val="single" w:sz="4" w:space="0" w:color="auto"/>
              <w:bottom w:val="single" w:sz="4" w:space="0" w:color="auto"/>
              <w:right w:val="single" w:sz="4" w:space="0" w:color="auto"/>
            </w:tcBorders>
          </w:tcPr>
          <w:p w14:paraId="504F4150" w14:textId="77777777" w:rsidR="00E46723" w:rsidRPr="004360BF" w:rsidRDefault="00E46723" w:rsidP="00161DE1">
            <w:pPr>
              <w:spacing w:before="40" w:after="40"/>
              <w:ind w:left="992" w:hanging="425"/>
              <w:rPr>
                <w:rFonts w:cs="Tahoma"/>
                <w:sz w:val="22"/>
                <w:szCs w:val="22"/>
                <w:lang w:val="en-AU"/>
              </w:rPr>
            </w:pPr>
            <w:r w:rsidRPr="004360BF">
              <w:rPr>
                <w:rFonts w:cs="Tahoma"/>
                <w:sz w:val="22"/>
                <w:szCs w:val="22"/>
                <w:lang w:val="en-AU"/>
              </w:rPr>
              <w:t>(e)</w:t>
            </w:r>
            <w:r w:rsidRPr="004360BF">
              <w:rPr>
                <w:rFonts w:cs="Tahoma"/>
                <w:sz w:val="22"/>
                <w:szCs w:val="22"/>
                <w:lang w:val="en-AU"/>
              </w:rPr>
              <w:tab/>
              <w:t xml:space="preserve">sets out the nature of any variation or adjustment to the tariff that could occur during the course of the </w:t>
            </w:r>
            <w:r w:rsidRPr="004360BF">
              <w:rPr>
                <w:rFonts w:cs="Tahoma"/>
                <w:i/>
                <w:sz w:val="22"/>
                <w:szCs w:val="22"/>
                <w:lang w:val="en-AU"/>
              </w:rPr>
              <w:t>regulatory year</w:t>
            </w:r>
            <w:r w:rsidRPr="004360BF">
              <w:rPr>
                <w:rFonts w:cs="Tahoma"/>
                <w:sz w:val="22"/>
                <w:szCs w:val="22"/>
                <w:lang w:val="en-AU"/>
              </w:rPr>
              <w:t xml:space="preserve"> and the basis on which it could occur; and</w:t>
            </w:r>
          </w:p>
        </w:tc>
        <w:tc>
          <w:tcPr>
            <w:tcW w:w="3178" w:type="dxa"/>
            <w:tcBorders>
              <w:top w:val="single" w:sz="4" w:space="0" w:color="auto"/>
              <w:left w:val="single" w:sz="4" w:space="0" w:color="auto"/>
              <w:bottom w:val="single" w:sz="4" w:space="0" w:color="auto"/>
              <w:right w:val="single" w:sz="4" w:space="0" w:color="auto"/>
            </w:tcBorders>
          </w:tcPr>
          <w:p w14:paraId="0B89891C" w14:textId="757BD93E" w:rsidR="00E46723" w:rsidRPr="004360BF" w:rsidRDefault="00E46723" w:rsidP="00161DE1">
            <w:pPr>
              <w:tabs>
                <w:tab w:val="left" w:pos="710"/>
              </w:tabs>
              <w:spacing w:before="40" w:after="40"/>
              <w:rPr>
                <w:rFonts w:cs="Tahoma"/>
                <w:sz w:val="22"/>
                <w:szCs w:val="22"/>
                <w:lang w:val="en-AU"/>
              </w:rPr>
            </w:pPr>
            <w:r w:rsidRPr="004360BF">
              <w:rPr>
                <w:rFonts w:cs="Tahoma"/>
                <w:sz w:val="22"/>
                <w:szCs w:val="22"/>
                <w:lang w:val="en-AU"/>
              </w:rPr>
              <w:t xml:space="preserve">Section </w:t>
            </w:r>
            <w:r w:rsidR="00603EFF" w:rsidRPr="004360BF">
              <w:rPr>
                <w:rFonts w:cs="Tahoma"/>
                <w:sz w:val="22"/>
                <w:szCs w:val="22"/>
                <w:lang w:val="en-AU"/>
              </w:rPr>
              <w:fldChar w:fldCharType="begin"/>
            </w:r>
            <w:r w:rsidR="00603EFF" w:rsidRPr="004360BF">
              <w:rPr>
                <w:rFonts w:cs="Tahoma"/>
                <w:sz w:val="22"/>
                <w:szCs w:val="22"/>
                <w:lang w:val="en-AU"/>
              </w:rPr>
              <w:instrText xml:space="preserve"> REF _Ref387487056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12.2</w:t>
            </w:r>
            <w:r w:rsidR="00603EFF" w:rsidRPr="004360BF">
              <w:rPr>
                <w:rFonts w:cs="Tahoma"/>
                <w:sz w:val="22"/>
                <w:szCs w:val="22"/>
                <w:lang w:val="en-AU"/>
              </w:rPr>
              <w:fldChar w:fldCharType="end"/>
            </w:r>
            <w:r w:rsidRPr="004360BF">
              <w:rPr>
                <w:rFonts w:cs="Tahoma"/>
                <w:sz w:val="22"/>
                <w:szCs w:val="22"/>
                <w:lang w:val="en-AU"/>
              </w:rPr>
              <w:t xml:space="preserve"> sets out the circumstances in which a variation or adjustment to tariffs could occur.</w:t>
            </w:r>
          </w:p>
        </w:tc>
      </w:tr>
      <w:tr w:rsidR="00E46723" w:rsidRPr="004360BF" w14:paraId="73C7DC88" w14:textId="77777777" w:rsidTr="00161DE1">
        <w:tc>
          <w:tcPr>
            <w:tcW w:w="6001" w:type="dxa"/>
            <w:tcBorders>
              <w:top w:val="single" w:sz="4" w:space="0" w:color="auto"/>
              <w:left w:val="single" w:sz="4" w:space="0" w:color="auto"/>
              <w:bottom w:val="single" w:sz="4" w:space="0" w:color="auto"/>
              <w:right w:val="single" w:sz="4" w:space="0" w:color="auto"/>
            </w:tcBorders>
          </w:tcPr>
          <w:p w14:paraId="4382274D" w14:textId="77777777" w:rsidR="00E46723" w:rsidRPr="004360BF" w:rsidRDefault="00E46723" w:rsidP="00161DE1">
            <w:pPr>
              <w:spacing w:before="40" w:after="40"/>
              <w:ind w:left="992" w:hanging="425"/>
              <w:rPr>
                <w:rFonts w:cs="Tahoma"/>
                <w:sz w:val="22"/>
                <w:szCs w:val="22"/>
                <w:lang w:val="en-AU"/>
              </w:rPr>
            </w:pPr>
            <w:r w:rsidRPr="004360BF">
              <w:rPr>
                <w:rFonts w:cs="Tahoma"/>
                <w:sz w:val="22"/>
                <w:szCs w:val="22"/>
                <w:lang w:val="en-AU"/>
              </w:rPr>
              <w:lastRenderedPageBreak/>
              <w:t>(f)</w:t>
            </w:r>
            <w:r w:rsidRPr="004360BF">
              <w:rPr>
                <w:rFonts w:cs="Tahoma"/>
                <w:sz w:val="22"/>
                <w:szCs w:val="22"/>
                <w:lang w:val="en-AU"/>
              </w:rPr>
              <w:tab/>
              <w:t xml:space="preserve">details how the tariffs and charges have been calculated by application of the principles and methods set out in the </w:t>
            </w:r>
            <w:r w:rsidRPr="004360BF">
              <w:rPr>
                <w:rFonts w:cs="Tahoma"/>
                <w:b/>
                <w:i/>
                <w:sz w:val="22"/>
                <w:szCs w:val="22"/>
                <w:lang w:val="en-AU"/>
              </w:rPr>
              <w:t>Network Pricing Principles Statement</w:t>
            </w:r>
            <w:r w:rsidRPr="004360BF">
              <w:rPr>
                <w:rFonts w:cs="Tahoma"/>
                <w:sz w:val="22"/>
                <w:szCs w:val="22"/>
                <w:lang w:val="en-AU"/>
              </w:rPr>
              <w:t xml:space="preserve">; </w:t>
            </w:r>
          </w:p>
          <w:p w14:paraId="732AA07E" w14:textId="77777777" w:rsidR="00161DE1" w:rsidRPr="004360BF" w:rsidRDefault="00161DE1" w:rsidP="000B4698">
            <w:pPr>
              <w:spacing w:before="40" w:after="40"/>
              <w:ind w:left="992" w:hanging="425"/>
              <w:rPr>
                <w:rFonts w:cs="Tahoma"/>
                <w:sz w:val="22"/>
                <w:szCs w:val="22"/>
                <w:lang w:val="en-AU"/>
              </w:rPr>
            </w:pPr>
            <w:r w:rsidRPr="004360BF">
              <w:rPr>
                <w:rFonts w:cs="Tahoma"/>
                <w:sz w:val="22"/>
                <w:szCs w:val="22"/>
                <w:lang w:val="en-AU"/>
              </w:rPr>
              <w:t>(g)</w:t>
            </w:r>
            <w:r w:rsidRPr="004360BF">
              <w:rPr>
                <w:rFonts w:cs="Tahoma"/>
                <w:sz w:val="22"/>
                <w:szCs w:val="22"/>
                <w:lang w:val="en-AU"/>
              </w:rPr>
              <w:tab/>
              <w:t>demonstrates compliance with the principles set out in Chapter 7 of the TPA Code;</w:t>
            </w:r>
          </w:p>
        </w:tc>
        <w:tc>
          <w:tcPr>
            <w:tcW w:w="3178" w:type="dxa"/>
            <w:tcBorders>
              <w:top w:val="single" w:sz="4" w:space="0" w:color="auto"/>
              <w:left w:val="single" w:sz="4" w:space="0" w:color="auto"/>
              <w:bottom w:val="single" w:sz="4" w:space="0" w:color="auto"/>
              <w:right w:val="single" w:sz="4" w:space="0" w:color="auto"/>
            </w:tcBorders>
          </w:tcPr>
          <w:p w14:paraId="455BF4B7" w14:textId="0BB78F24" w:rsidR="00E46723" w:rsidRPr="004360BF" w:rsidRDefault="00161DE1" w:rsidP="00603EFF">
            <w:pPr>
              <w:tabs>
                <w:tab w:val="left" w:pos="710"/>
              </w:tabs>
              <w:spacing w:before="40" w:after="40"/>
              <w:rPr>
                <w:rFonts w:cs="Tahoma"/>
                <w:sz w:val="22"/>
                <w:szCs w:val="22"/>
                <w:lang w:val="en-AU"/>
              </w:rPr>
            </w:pPr>
            <w:r w:rsidRPr="004360BF">
              <w:rPr>
                <w:rFonts w:cs="Tahoma"/>
                <w:sz w:val="22"/>
                <w:szCs w:val="22"/>
                <w:lang w:val="en-AU"/>
              </w:rPr>
              <w:t xml:space="preserve">Chapter </w:t>
            </w:r>
            <w:r w:rsidR="00603EFF" w:rsidRPr="004360BF">
              <w:rPr>
                <w:rFonts w:cs="Tahoma"/>
                <w:sz w:val="22"/>
                <w:szCs w:val="22"/>
                <w:lang w:val="en-AU"/>
              </w:rPr>
              <w:fldChar w:fldCharType="begin"/>
            </w:r>
            <w:r w:rsidR="00603EFF" w:rsidRPr="004360BF">
              <w:rPr>
                <w:rFonts w:cs="Tahoma"/>
                <w:sz w:val="22"/>
                <w:szCs w:val="22"/>
                <w:lang w:val="en-AU"/>
              </w:rPr>
              <w:instrText xml:space="preserve"> REF _Ref258680630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9</w:t>
            </w:r>
            <w:r w:rsidR="00603EFF" w:rsidRPr="004360BF">
              <w:rPr>
                <w:rFonts w:cs="Tahoma"/>
                <w:sz w:val="22"/>
                <w:szCs w:val="22"/>
                <w:lang w:val="en-AU"/>
              </w:rPr>
              <w:fldChar w:fldCharType="end"/>
            </w:r>
            <w:r w:rsidRPr="004360BF">
              <w:rPr>
                <w:rFonts w:cs="Tahoma"/>
                <w:sz w:val="22"/>
                <w:szCs w:val="22"/>
                <w:lang w:val="en-AU"/>
              </w:rPr>
              <w:t xml:space="preserve"> </w:t>
            </w:r>
            <w:r w:rsidR="00E46723" w:rsidRPr="004360BF">
              <w:rPr>
                <w:rFonts w:cs="Tahoma"/>
                <w:sz w:val="22"/>
                <w:szCs w:val="22"/>
                <w:lang w:val="en-AU"/>
              </w:rPr>
              <w:t xml:space="preserve">demonstrates </w:t>
            </w:r>
            <w:r w:rsidRPr="004360BF">
              <w:rPr>
                <w:rFonts w:cs="Tahoma"/>
                <w:sz w:val="22"/>
                <w:szCs w:val="22"/>
                <w:lang w:val="en-AU"/>
              </w:rPr>
              <w:t>compliance with these requirements.</w:t>
            </w:r>
          </w:p>
        </w:tc>
      </w:tr>
      <w:tr w:rsidR="00E46723" w:rsidRPr="004360BF" w14:paraId="62E6F9A2" w14:textId="77777777" w:rsidTr="00161DE1">
        <w:tc>
          <w:tcPr>
            <w:tcW w:w="6001" w:type="dxa"/>
            <w:tcBorders>
              <w:top w:val="single" w:sz="4" w:space="0" w:color="auto"/>
              <w:left w:val="single" w:sz="4" w:space="0" w:color="auto"/>
              <w:bottom w:val="single" w:sz="4" w:space="0" w:color="auto"/>
              <w:right w:val="single" w:sz="4" w:space="0" w:color="auto"/>
            </w:tcBorders>
          </w:tcPr>
          <w:p w14:paraId="55643542" w14:textId="77777777" w:rsidR="00E46723" w:rsidRPr="004360BF" w:rsidRDefault="00E46723" w:rsidP="00161DE1">
            <w:pPr>
              <w:spacing w:before="40" w:after="40"/>
              <w:ind w:left="992" w:hanging="425"/>
              <w:rPr>
                <w:rFonts w:cs="Tahoma"/>
                <w:sz w:val="22"/>
                <w:szCs w:val="22"/>
                <w:lang w:val="en-AU"/>
              </w:rPr>
            </w:pPr>
            <w:r w:rsidRPr="004360BF">
              <w:rPr>
                <w:rFonts w:cs="Tahoma"/>
                <w:sz w:val="22"/>
                <w:szCs w:val="22"/>
                <w:lang w:val="en-AU"/>
              </w:rPr>
              <w:t>(h)</w:t>
            </w:r>
            <w:r w:rsidRPr="004360BF">
              <w:rPr>
                <w:rFonts w:cs="Tahoma"/>
                <w:sz w:val="22"/>
                <w:szCs w:val="22"/>
                <w:lang w:val="en-AU"/>
              </w:rPr>
              <w:tab/>
              <w:t xml:space="preserve">demonstrates compliance with any applicable </w:t>
            </w:r>
            <w:r w:rsidRPr="004360BF">
              <w:rPr>
                <w:rFonts w:cs="Tahoma"/>
                <w:i/>
                <w:sz w:val="22"/>
                <w:szCs w:val="22"/>
                <w:lang w:val="en-AU"/>
              </w:rPr>
              <w:t>network price determination</w:t>
            </w:r>
            <w:r w:rsidRPr="004360BF">
              <w:rPr>
                <w:rFonts w:cs="Tahoma"/>
                <w:sz w:val="22"/>
                <w:szCs w:val="22"/>
                <w:lang w:val="en-AU"/>
              </w:rPr>
              <w:t>, including any side constraints; and</w:t>
            </w:r>
          </w:p>
        </w:tc>
        <w:tc>
          <w:tcPr>
            <w:tcW w:w="3178" w:type="dxa"/>
            <w:tcBorders>
              <w:top w:val="single" w:sz="4" w:space="0" w:color="auto"/>
              <w:left w:val="single" w:sz="4" w:space="0" w:color="auto"/>
              <w:bottom w:val="single" w:sz="4" w:space="0" w:color="auto"/>
              <w:right w:val="single" w:sz="4" w:space="0" w:color="auto"/>
            </w:tcBorders>
          </w:tcPr>
          <w:p w14:paraId="005BF587" w14:textId="6098B27D" w:rsidR="00E46723" w:rsidRPr="004360BF" w:rsidRDefault="00161DE1" w:rsidP="00603EFF">
            <w:pPr>
              <w:tabs>
                <w:tab w:val="left" w:pos="710"/>
              </w:tabs>
              <w:spacing w:before="40" w:after="40"/>
              <w:rPr>
                <w:rFonts w:cs="Tahoma"/>
                <w:sz w:val="22"/>
                <w:szCs w:val="22"/>
                <w:lang w:val="en-AU"/>
              </w:rPr>
            </w:pPr>
            <w:r w:rsidRPr="004360BF">
              <w:rPr>
                <w:rFonts w:cs="Tahoma"/>
                <w:sz w:val="22"/>
                <w:szCs w:val="22"/>
                <w:lang w:val="en-AU"/>
              </w:rPr>
              <w:t xml:space="preserve">Chapter </w:t>
            </w:r>
            <w:r w:rsidR="00603EFF" w:rsidRPr="004360BF">
              <w:rPr>
                <w:rFonts w:cs="Tahoma"/>
                <w:sz w:val="22"/>
                <w:szCs w:val="22"/>
                <w:lang w:val="en-AU"/>
              </w:rPr>
              <w:fldChar w:fldCharType="begin"/>
            </w:r>
            <w:r w:rsidR="00603EFF" w:rsidRPr="004360BF">
              <w:rPr>
                <w:rFonts w:cs="Tahoma"/>
                <w:sz w:val="22"/>
                <w:szCs w:val="22"/>
                <w:lang w:val="en-AU"/>
              </w:rPr>
              <w:instrText xml:space="preserve"> REF _Ref258680643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13</w:t>
            </w:r>
            <w:r w:rsidR="00603EFF" w:rsidRPr="004360BF">
              <w:rPr>
                <w:rFonts w:cs="Tahoma"/>
                <w:sz w:val="22"/>
                <w:szCs w:val="22"/>
                <w:lang w:val="en-AU"/>
              </w:rPr>
              <w:fldChar w:fldCharType="end"/>
            </w:r>
            <w:r w:rsidRPr="004360BF">
              <w:rPr>
                <w:rFonts w:cs="Tahoma"/>
                <w:sz w:val="22"/>
                <w:szCs w:val="22"/>
                <w:lang w:val="en-AU"/>
              </w:rPr>
              <w:t xml:space="preserve"> </w:t>
            </w:r>
            <w:r w:rsidR="00E46723" w:rsidRPr="004360BF">
              <w:rPr>
                <w:rFonts w:cs="Tahoma"/>
                <w:sz w:val="22"/>
                <w:szCs w:val="22"/>
                <w:lang w:val="en-AU"/>
              </w:rPr>
              <w:t xml:space="preserve">demonstrates compliance with the </w:t>
            </w:r>
            <w:r w:rsidRPr="004360BF">
              <w:rPr>
                <w:rFonts w:cs="Tahoma"/>
                <w:sz w:val="22"/>
                <w:szCs w:val="22"/>
                <w:lang w:val="en-AU"/>
              </w:rPr>
              <w:t>2014 NPD Final Determination.</w:t>
            </w:r>
          </w:p>
        </w:tc>
      </w:tr>
      <w:tr w:rsidR="00E46723" w:rsidRPr="004360BF" w14:paraId="15D503BE" w14:textId="77777777" w:rsidTr="00161DE1">
        <w:tc>
          <w:tcPr>
            <w:tcW w:w="6001" w:type="dxa"/>
            <w:tcBorders>
              <w:top w:val="single" w:sz="4" w:space="0" w:color="auto"/>
              <w:left w:val="single" w:sz="4" w:space="0" w:color="auto"/>
              <w:bottom w:val="single" w:sz="4" w:space="0" w:color="auto"/>
              <w:right w:val="single" w:sz="4" w:space="0" w:color="auto"/>
            </w:tcBorders>
          </w:tcPr>
          <w:p w14:paraId="5203A188" w14:textId="77777777" w:rsidR="00E46723" w:rsidRPr="004360BF" w:rsidRDefault="00E46723" w:rsidP="00161DE1">
            <w:pPr>
              <w:spacing w:before="40" w:after="40"/>
              <w:ind w:left="992" w:hanging="425"/>
              <w:rPr>
                <w:rFonts w:cs="Tahoma"/>
                <w:sz w:val="22"/>
                <w:szCs w:val="22"/>
                <w:lang w:val="en-AU"/>
              </w:rPr>
            </w:pPr>
            <w:r w:rsidRPr="004360BF">
              <w:rPr>
                <w:rFonts w:cs="Tahoma"/>
                <w:sz w:val="22"/>
                <w:szCs w:val="22"/>
                <w:lang w:val="en-AU"/>
              </w:rPr>
              <w:t>(</w:t>
            </w:r>
            <w:proofErr w:type="spellStart"/>
            <w:r w:rsidRPr="004360BF">
              <w:rPr>
                <w:rFonts w:cs="Tahoma"/>
                <w:sz w:val="22"/>
                <w:szCs w:val="22"/>
                <w:lang w:val="en-AU"/>
              </w:rPr>
              <w:t>i</w:t>
            </w:r>
            <w:proofErr w:type="spellEnd"/>
            <w:r w:rsidRPr="004360BF">
              <w:rPr>
                <w:rFonts w:cs="Tahoma"/>
                <w:sz w:val="22"/>
                <w:szCs w:val="22"/>
                <w:lang w:val="en-AU"/>
              </w:rPr>
              <w:t>)</w:t>
            </w:r>
            <w:r w:rsidRPr="004360BF">
              <w:rPr>
                <w:rFonts w:cs="Tahoma"/>
                <w:sz w:val="22"/>
                <w:szCs w:val="22"/>
                <w:lang w:val="en-AU"/>
              </w:rPr>
              <w:tab/>
            </w:r>
            <w:proofErr w:type="gramStart"/>
            <w:r w:rsidRPr="004360BF">
              <w:rPr>
                <w:rFonts w:cs="Tahoma"/>
                <w:sz w:val="22"/>
                <w:szCs w:val="22"/>
                <w:lang w:val="en-AU"/>
              </w:rPr>
              <w:t>describes</w:t>
            </w:r>
            <w:proofErr w:type="gramEnd"/>
            <w:r w:rsidRPr="004360BF">
              <w:rPr>
                <w:rFonts w:cs="Tahoma"/>
                <w:sz w:val="22"/>
                <w:szCs w:val="22"/>
                <w:lang w:val="en-AU"/>
              </w:rPr>
              <w:t xml:space="preserve"> the nature and extent of change from the previous </w:t>
            </w:r>
            <w:r w:rsidRPr="004360BF">
              <w:rPr>
                <w:rFonts w:cs="Tahoma"/>
                <w:i/>
                <w:sz w:val="22"/>
                <w:szCs w:val="22"/>
                <w:lang w:val="en-AU"/>
              </w:rPr>
              <w:t>regulatory year</w:t>
            </w:r>
            <w:r w:rsidRPr="004360BF">
              <w:rPr>
                <w:rFonts w:cs="Tahoma"/>
                <w:sz w:val="22"/>
                <w:szCs w:val="22"/>
                <w:lang w:val="en-AU"/>
              </w:rPr>
              <w:t xml:space="preserve">, including the impact on </w:t>
            </w:r>
            <w:r w:rsidRPr="004360BF">
              <w:rPr>
                <w:rFonts w:cs="Tahoma"/>
                <w:i/>
                <w:sz w:val="22"/>
                <w:szCs w:val="22"/>
                <w:lang w:val="en-AU"/>
              </w:rPr>
              <w:t>customers</w:t>
            </w:r>
            <w:r w:rsidRPr="004360BF">
              <w:rPr>
                <w:rFonts w:cs="Tahoma"/>
                <w:sz w:val="22"/>
                <w:szCs w:val="22"/>
                <w:lang w:val="en-AU"/>
              </w:rPr>
              <w:t xml:space="preserve">, and demonstrate that the changes comply with the TPA Code and any applicable </w:t>
            </w:r>
            <w:r w:rsidRPr="004360BF">
              <w:rPr>
                <w:rFonts w:cs="Tahoma"/>
                <w:i/>
                <w:sz w:val="22"/>
                <w:szCs w:val="22"/>
                <w:lang w:val="en-AU"/>
              </w:rPr>
              <w:t>network price determination</w:t>
            </w:r>
            <w:r w:rsidRPr="004360BF">
              <w:rPr>
                <w:rFonts w:cs="Tahoma"/>
                <w:sz w:val="22"/>
                <w:szCs w:val="22"/>
                <w:lang w:val="en-AU"/>
              </w:rPr>
              <w:t>.</w:t>
            </w:r>
          </w:p>
        </w:tc>
        <w:tc>
          <w:tcPr>
            <w:tcW w:w="3178" w:type="dxa"/>
            <w:tcBorders>
              <w:top w:val="single" w:sz="4" w:space="0" w:color="auto"/>
              <w:left w:val="single" w:sz="4" w:space="0" w:color="auto"/>
              <w:bottom w:val="single" w:sz="4" w:space="0" w:color="auto"/>
              <w:right w:val="single" w:sz="4" w:space="0" w:color="auto"/>
            </w:tcBorders>
          </w:tcPr>
          <w:p w14:paraId="7058B2EC" w14:textId="3C77DF43" w:rsidR="00E46723" w:rsidRPr="004360BF" w:rsidRDefault="00E46723" w:rsidP="00603EFF">
            <w:pPr>
              <w:tabs>
                <w:tab w:val="left" w:pos="710"/>
              </w:tabs>
              <w:spacing w:before="40" w:after="40"/>
              <w:rPr>
                <w:rFonts w:cs="Tahoma"/>
                <w:sz w:val="22"/>
                <w:szCs w:val="22"/>
                <w:lang w:val="en-AU"/>
              </w:rPr>
            </w:pPr>
            <w:r w:rsidRPr="004360BF">
              <w:rPr>
                <w:rFonts w:cs="Tahoma"/>
                <w:sz w:val="22"/>
                <w:szCs w:val="22"/>
                <w:lang w:val="en-AU"/>
              </w:rPr>
              <w:t xml:space="preserve">Chapter </w:t>
            </w:r>
            <w:r w:rsidR="00603EFF" w:rsidRPr="004360BF">
              <w:rPr>
                <w:rFonts w:cs="Tahoma"/>
                <w:sz w:val="22"/>
                <w:szCs w:val="22"/>
                <w:lang w:val="en-AU"/>
              </w:rPr>
              <w:fldChar w:fldCharType="begin"/>
            </w:r>
            <w:r w:rsidR="00603EFF" w:rsidRPr="004360BF">
              <w:rPr>
                <w:rFonts w:cs="Tahoma"/>
                <w:sz w:val="22"/>
                <w:szCs w:val="22"/>
                <w:lang w:val="en-AU"/>
              </w:rPr>
              <w:instrText xml:space="preserve"> REF _Ref291313360 \r \h </w:instrText>
            </w:r>
            <w:r w:rsidR="00603EFF" w:rsidRPr="004360BF">
              <w:rPr>
                <w:rFonts w:cs="Tahoma"/>
                <w:sz w:val="22"/>
                <w:szCs w:val="22"/>
                <w:lang w:val="en-AU"/>
              </w:rPr>
            </w:r>
            <w:r w:rsidR="00603EFF" w:rsidRPr="004360BF">
              <w:rPr>
                <w:rFonts w:cs="Tahoma"/>
                <w:sz w:val="22"/>
                <w:szCs w:val="22"/>
                <w:lang w:val="en-AU"/>
              </w:rPr>
              <w:fldChar w:fldCharType="separate"/>
            </w:r>
            <w:r w:rsidR="008D3215">
              <w:rPr>
                <w:rFonts w:cs="Tahoma"/>
                <w:sz w:val="22"/>
                <w:szCs w:val="22"/>
                <w:lang w:val="en-AU"/>
              </w:rPr>
              <w:t>12</w:t>
            </w:r>
            <w:r w:rsidR="00603EFF" w:rsidRPr="004360BF">
              <w:rPr>
                <w:rFonts w:cs="Tahoma"/>
                <w:sz w:val="22"/>
                <w:szCs w:val="22"/>
                <w:lang w:val="en-AU"/>
              </w:rPr>
              <w:fldChar w:fldCharType="end"/>
            </w:r>
            <w:r w:rsidRPr="004360BF">
              <w:rPr>
                <w:rFonts w:cs="Tahoma"/>
                <w:sz w:val="22"/>
                <w:szCs w:val="22"/>
                <w:lang w:val="en-AU"/>
              </w:rPr>
              <w:t xml:space="preserve"> sets out the extent of the changes to network prices in 201</w:t>
            </w:r>
            <w:r w:rsidR="00D34CAB" w:rsidRPr="004360BF">
              <w:rPr>
                <w:rFonts w:cs="Tahoma"/>
                <w:sz w:val="22"/>
                <w:szCs w:val="22"/>
                <w:lang w:val="en-AU"/>
              </w:rPr>
              <w:t>5</w:t>
            </w:r>
            <w:r w:rsidRPr="004360BF">
              <w:rPr>
                <w:rFonts w:cs="Tahoma"/>
                <w:sz w:val="22"/>
                <w:szCs w:val="22"/>
                <w:lang w:val="en-AU"/>
              </w:rPr>
              <w:t>/1</w:t>
            </w:r>
            <w:r w:rsidR="00D34CAB" w:rsidRPr="004360BF">
              <w:rPr>
                <w:rFonts w:cs="Tahoma"/>
                <w:sz w:val="22"/>
                <w:szCs w:val="22"/>
                <w:lang w:val="en-AU"/>
              </w:rPr>
              <w:t>6</w:t>
            </w:r>
            <w:r w:rsidRPr="004360BF">
              <w:rPr>
                <w:rFonts w:cs="Tahoma"/>
                <w:sz w:val="22"/>
                <w:szCs w:val="22"/>
                <w:lang w:val="en-AU"/>
              </w:rPr>
              <w:t xml:space="preserve"> and </w:t>
            </w:r>
            <w:r w:rsidR="00161DE1" w:rsidRPr="004360BF">
              <w:rPr>
                <w:rFonts w:cs="Tahoma"/>
                <w:sz w:val="22"/>
                <w:szCs w:val="22"/>
                <w:lang w:val="en-AU"/>
              </w:rPr>
              <w:t>C</w:t>
            </w:r>
            <w:r w:rsidRPr="004360BF">
              <w:rPr>
                <w:rFonts w:cs="Tahoma"/>
                <w:sz w:val="22"/>
                <w:szCs w:val="22"/>
                <w:lang w:val="en-AU"/>
              </w:rPr>
              <w:t xml:space="preserve">hapter </w:t>
            </w:r>
            <w:r w:rsidR="00161DE1" w:rsidRPr="004360BF">
              <w:rPr>
                <w:rFonts w:cs="Tahoma"/>
                <w:sz w:val="22"/>
                <w:szCs w:val="22"/>
                <w:lang w:val="en-AU"/>
              </w:rPr>
              <w:t xml:space="preserve">13 </w:t>
            </w:r>
            <w:r w:rsidRPr="004360BF">
              <w:rPr>
                <w:rFonts w:cs="Tahoma"/>
                <w:sz w:val="22"/>
                <w:szCs w:val="22"/>
                <w:lang w:val="en-AU"/>
              </w:rPr>
              <w:t>describes the impact on customers.</w:t>
            </w:r>
          </w:p>
        </w:tc>
      </w:tr>
      <w:tr w:rsidR="00161DE1" w:rsidRPr="004360BF" w14:paraId="31EEC1D3" w14:textId="77777777" w:rsidTr="00161DE1">
        <w:tc>
          <w:tcPr>
            <w:tcW w:w="6001" w:type="dxa"/>
            <w:tcBorders>
              <w:top w:val="single" w:sz="4" w:space="0" w:color="auto"/>
              <w:left w:val="single" w:sz="4" w:space="0" w:color="auto"/>
              <w:bottom w:val="single" w:sz="4" w:space="0" w:color="auto"/>
              <w:right w:val="single" w:sz="4" w:space="0" w:color="auto"/>
            </w:tcBorders>
          </w:tcPr>
          <w:p w14:paraId="27FD5B2E" w14:textId="77777777" w:rsidR="00161DE1" w:rsidRPr="004360BF" w:rsidRDefault="00161DE1" w:rsidP="00161DE1">
            <w:pPr>
              <w:tabs>
                <w:tab w:val="left" w:pos="710"/>
              </w:tabs>
              <w:ind w:left="710" w:hanging="710"/>
              <w:jc w:val="both"/>
              <w:rPr>
                <w:rFonts w:cs="Tahoma"/>
                <w:sz w:val="22"/>
                <w:szCs w:val="22"/>
                <w:lang w:val="en-AU"/>
              </w:rPr>
            </w:pPr>
            <w:r w:rsidRPr="004360BF">
              <w:rPr>
                <w:rFonts w:cs="Tahoma"/>
                <w:sz w:val="22"/>
                <w:szCs w:val="22"/>
                <w:lang w:val="en-AU"/>
              </w:rPr>
              <w:t>18.2</w:t>
            </w:r>
            <w:r w:rsidRPr="004360BF">
              <w:rPr>
                <w:rFonts w:cs="Tahoma"/>
                <w:sz w:val="22"/>
                <w:szCs w:val="22"/>
                <w:lang w:val="en-AU"/>
              </w:rPr>
              <w:tab/>
              <w:t>Provide a copy of the model(s) that have been used in the development of the tariff schedules, including any proprietary model(s) provided by a third party;</w:t>
            </w:r>
          </w:p>
        </w:tc>
        <w:tc>
          <w:tcPr>
            <w:tcW w:w="3178" w:type="dxa"/>
            <w:tcBorders>
              <w:top w:val="single" w:sz="4" w:space="0" w:color="auto"/>
              <w:left w:val="single" w:sz="4" w:space="0" w:color="auto"/>
              <w:bottom w:val="single" w:sz="4" w:space="0" w:color="auto"/>
              <w:right w:val="single" w:sz="4" w:space="0" w:color="auto"/>
            </w:tcBorders>
          </w:tcPr>
          <w:p w14:paraId="3D9FAE4E" w14:textId="77777777" w:rsidR="00161DE1" w:rsidRPr="004360BF" w:rsidRDefault="00161DE1">
            <w:pPr>
              <w:tabs>
                <w:tab w:val="left" w:pos="710"/>
              </w:tabs>
              <w:spacing w:before="40" w:after="40"/>
              <w:rPr>
                <w:rFonts w:cs="Tahoma"/>
                <w:sz w:val="22"/>
                <w:szCs w:val="22"/>
                <w:lang w:val="en-AU"/>
              </w:rPr>
            </w:pPr>
            <w:r w:rsidRPr="004360BF">
              <w:rPr>
                <w:rFonts w:cs="Tahoma"/>
                <w:sz w:val="22"/>
                <w:szCs w:val="22"/>
                <w:lang w:val="en-AU"/>
              </w:rPr>
              <w:t xml:space="preserve">Power Networks’ Cost of Supply Model </w:t>
            </w:r>
            <w:r w:rsidR="004B4224" w:rsidRPr="004360BF">
              <w:rPr>
                <w:rFonts w:cs="Tahoma"/>
                <w:sz w:val="22"/>
                <w:szCs w:val="22"/>
                <w:lang w:val="en-AU"/>
              </w:rPr>
              <w:t xml:space="preserve">(2014/15 Pricing Proposal Model) </w:t>
            </w:r>
            <w:r w:rsidRPr="004360BF">
              <w:rPr>
                <w:rFonts w:cs="Tahoma"/>
                <w:sz w:val="22"/>
                <w:szCs w:val="22"/>
                <w:lang w:val="en-AU"/>
              </w:rPr>
              <w:t>has been made available to the Commission on a confidential basis.</w:t>
            </w:r>
          </w:p>
        </w:tc>
      </w:tr>
      <w:bookmarkEnd w:id="561"/>
    </w:tbl>
    <w:p w14:paraId="2F8E8D2D" w14:textId="77777777" w:rsidR="00E46723" w:rsidRPr="004360BF" w:rsidRDefault="00E46723" w:rsidP="00A65824">
      <w:pPr>
        <w:tabs>
          <w:tab w:val="left" w:pos="710"/>
        </w:tabs>
        <w:spacing w:after="0"/>
        <w:jc w:val="both"/>
        <w:rPr>
          <w:rFonts w:cs="Tahoma"/>
          <w:lang w:val="en-AU"/>
        </w:rPr>
      </w:pPr>
    </w:p>
    <w:p w14:paraId="0ACAC2CE" w14:textId="77777777" w:rsidR="00897576" w:rsidRPr="004360BF" w:rsidRDefault="00897576" w:rsidP="00EE7AA1">
      <w:pPr>
        <w:pStyle w:val="Heading3"/>
        <w:numPr>
          <w:ilvl w:val="0"/>
          <w:numId w:val="0"/>
        </w:numPr>
      </w:pPr>
      <w:bookmarkStart w:id="568" w:name="_Toc417291804"/>
      <w:bookmarkStart w:id="569" w:name="_Toc417292572"/>
      <w:bookmarkStart w:id="570" w:name="_Toc291262285"/>
      <w:r w:rsidRPr="004360BF">
        <w:t>A</w:t>
      </w:r>
      <w:r w:rsidR="00A14042" w:rsidRPr="004360BF">
        <w:t>4</w:t>
      </w:r>
      <w:r w:rsidRPr="004360BF">
        <w:t>.3</w:t>
      </w:r>
      <w:r w:rsidRPr="004360BF">
        <w:tab/>
        <w:t>2014 NPD Final Determination requirements</w:t>
      </w:r>
      <w:bookmarkEnd w:id="568"/>
      <w:bookmarkEnd w:id="569"/>
      <w:bookmarkEnd w:id="570"/>
    </w:p>
    <w:p w14:paraId="1FA008F1" w14:textId="7E5AEA1A" w:rsidR="00897576" w:rsidRPr="004360BF" w:rsidRDefault="00897576" w:rsidP="00897576">
      <w:pPr>
        <w:rPr>
          <w:lang w:val="en-AU"/>
        </w:rPr>
      </w:pPr>
      <w:r w:rsidRPr="004360BF">
        <w:rPr>
          <w:lang w:val="en-AU"/>
        </w:rPr>
        <w:t xml:space="preserve">The requirements of the Commission’s 2014 NPD Final Determination in relation to the pricing in this document are set out in </w:t>
      </w:r>
      <w:r w:rsidR="00EE7AA1" w:rsidRPr="004360BF">
        <w:rPr>
          <w:lang w:val="en-AU"/>
        </w:rPr>
        <w:fldChar w:fldCharType="begin"/>
      </w:r>
      <w:r w:rsidR="00EE7AA1" w:rsidRPr="004360BF">
        <w:rPr>
          <w:lang w:val="en-AU"/>
        </w:rPr>
        <w:instrText xml:space="preserve"> REF _Ref291311341 \h </w:instrText>
      </w:r>
      <w:r w:rsidR="00EE7AA1" w:rsidRPr="004360BF">
        <w:rPr>
          <w:lang w:val="en-AU"/>
        </w:rPr>
      </w:r>
      <w:r w:rsidR="00EE7AA1" w:rsidRPr="004360BF">
        <w:rPr>
          <w:lang w:val="en-AU"/>
        </w:rPr>
        <w:fldChar w:fldCharType="separate"/>
      </w:r>
      <w:r w:rsidR="008D3215" w:rsidRPr="004360BF">
        <w:rPr>
          <w:b/>
          <w:bCs/>
          <w:sz w:val="20"/>
          <w:szCs w:val="22"/>
          <w:lang w:val="en-AU"/>
        </w:rPr>
        <w:t xml:space="preserve">Table </w:t>
      </w:r>
      <w:r w:rsidR="008D3215">
        <w:rPr>
          <w:b/>
          <w:bCs/>
          <w:noProof/>
          <w:sz w:val="20"/>
          <w:szCs w:val="22"/>
          <w:lang w:val="en-AU"/>
        </w:rPr>
        <w:t>28</w:t>
      </w:r>
      <w:r w:rsidR="00EE7AA1" w:rsidRPr="004360BF">
        <w:rPr>
          <w:lang w:val="en-AU"/>
        </w:rPr>
        <w:fldChar w:fldCharType="end"/>
      </w:r>
      <w:r w:rsidR="005E0C7B" w:rsidRPr="004360BF">
        <w:rPr>
          <w:lang w:val="en-AU"/>
        </w:rPr>
        <w:t>.</w:t>
      </w:r>
      <w:r w:rsidRPr="004360BF">
        <w:rPr>
          <w:lang w:val="en-AU"/>
        </w:rPr>
        <w:t xml:space="preserve"> </w:t>
      </w:r>
    </w:p>
    <w:p w14:paraId="5983D08E" w14:textId="77777777" w:rsidR="00A65824" w:rsidRPr="004360BF" w:rsidRDefault="00A65824" w:rsidP="00A65824">
      <w:pPr>
        <w:keepNext/>
        <w:spacing w:after="200"/>
        <w:rPr>
          <w:b/>
          <w:bCs/>
          <w:sz w:val="20"/>
          <w:szCs w:val="22"/>
          <w:lang w:val="en-AU"/>
        </w:rPr>
      </w:pPr>
      <w:bookmarkStart w:id="571" w:name="_Ref291311341"/>
      <w:r w:rsidRPr="004360BF">
        <w:rPr>
          <w:b/>
          <w:bCs/>
          <w:sz w:val="20"/>
          <w:szCs w:val="22"/>
          <w:lang w:val="en-AU"/>
        </w:rPr>
        <w:t xml:space="preserve">Table </w:t>
      </w:r>
      <w:r w:rsidR="00517DD9" w:rsidRPr="004360BF">
        <w:rPr>
          <w:b/>
          <w:bCs/>
          <w:sz w:val="20"/>
          <w:szCs w:val="22"/>
          <w:lang w:val="en-AU"/>
        </w:rPr>
        <w:fldChar w:fldCharType="begin"/>
      </w:r>
      <w:r w:rsidRPr="004360BF">
        <w:rPr>
          <w:b/>
          <w:bCs/>
          <w:sz w:val="20"/>
          <w:szCs w:val="22"/>
          <w:lang w:val="en-AU"/>
        </w:rPr>
        <w:instrText xml:space="preserve"> SEQ Table \* ARABIC </w:instrText>
      </w:r>
      <w:r w:rsidR="00517DD9" w:rsidRPr="004360BF">
        <w:rPr>
          <w:b/>
          <w:bCs/>
          <w:sz w:val="20"/>
          <w:szCs w:val="22"/>
          <w:lang w:val="en-AU"/>
        </w:rPr>
        <w:fldChar w:fldCharType="separate"/>
      </w:r>
      <w:r w:rsidR="008D3215">
        <w:rPr>
          <w:b/>
          <w:bCs/>
          <w:noProof/>
          <w:sz w:val="20"/>
          <w:szCs w:val="22"/>
          <w:lang w:val="en-AU"/>
        </w:rPr>
        <w:t>28</w:t>
      </w:r>
      <w:r w:rsidR="00517DD9" w:rsidRPr="004360BF">
        <w:rPr>
          <w:b/>
          <w:bCs/>
          <w:sz w:val="20"/>
          <w:szCs w:val="22"/>
          <w:lang w:val="en-AU"/>
        </w:rPr>
        <w:fldChar w:fldCharType="end"/>
      </w:r>
      <w:bookmarkEnd w:id="571"/>
      <w:r w:rsidRPr="004360BF">
        <w:rPr>
          <w:b/>
          <w:bCs/>
          <w:sz w:val="20"/>
          <w:szCs w:val="22"/>
          <w:lang w:val="en-AU"/>
        </w:rPr>
        <w:t xml:space="preserve"> </w:t>
      </w:r>
      <w:r w:rsidR="00C35AC6" w:rsidRPr="004360BF">
        <w:rPr>
          <w:b/>
          <w:bCs/>
          <w:sz w:val="20"/>
          <w:szCs w:val="22"/>
          <w:lang w:val="en-AU"/>
        </w:rPr>
        <w:t>–</w:t>
      </w:r>
      <w:r w:rsidRPr="004360BF">
        <w:rPr>
          <w:b/>
          <w:bCs/>
          <w:sz w:val="20"/>
          <w:szCs w:val="22"/>
          <w:lang w:val="en-AU"/>
        </w:rPr>
        <w:t xml:space="preserve"> </w:t>
      </w:r>
      <w:r w:rsidR="00C35AC6" w:rsidRPr="004360BF">
        <w:rPr>
          <w:b/>
          <w:bCs/>
          <w:sz w:val="20"/>
          <w:szCs w:val="22"/>
          <w:lang w:val="en-AU"/>
        </w:rPr>
        <w:t xml:space="preserve">2014 NPD Final </w:t>
      </w:r>
      <w:r w:rsidRPr="004360BF">
        <w:rPr>
          <w:b/>
          <w:bCs/>
          <w:sz w:val="20"/>
          <w:szCs w:val="22"/>
          <w:lang w:val="en-AU"/>
        </w:rPr>
        <w:t>Determination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4"/>
        <w:gridCol w:w="3215"/>
      </w:tblGrid>
      <w:tr w:rsidR="008630F7" w:rsidRPr="004360BF" w14:paraId="5EACB067" w14:textId="77777777" w:rsidTr="00C35AC6">
        <w:trPr>
          <w:tblHeader/>
        </w:trPr>
        <w:tc>
          <w:tcPr>
            <w:tcW w:w="5964" w:type="dxa"/>
            <w:tcBorders>
              <w:bottom w:val="single" w:sz="4" w:space="0" w:color="auto"/>
            </w:tcBorders>
            <w:shd w:val="solid" w:color="C6D9F1" w:fill="auto"/>
          </w:tcPr>
          <w:p w14:paraId="30E4AA9C" w14:textId="77777777" w:rsidR="00A65824" w:rsidRPr="004360BF" w:rsidRDefault="00C35AC6" w:rsidP="00C35AC6">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120"/>
              <w:rPr>
                <w:rFonts w:cs="Tahoma"/>
                <w:b/>
                <w:bCs/>
                <w:spacing w:val="-3"/>
                <w:kern w:val="28"/>
                <w:sz w:val="22"/>
                <w:szCs w:val="22"/>
                <w:lang w:val="en-AU" w:eastAsia="en-AU"/>
              </w:rPr>
            </w:pPr>
            <w:r w:rsidRPr="004360BF">
              <w:rPr>
                <w:rFonts w:cs="Tahoma"/>
                <w:b/>
                <w:bCs/>
                <w:spacing w:val="-3"/>
                <w:kern w:val="28"/>
                <w:sz w:val="22"/>
                <w:szCs w:val="22"/>
                <w:lang w:val="en-AU" w:eastAsia="en-AU"/>
              </w:rPr>
              <w:t xml:space="preserve">2014 NPD Final </w:t>
            </w:r>
            <w:r w:rsidR="00A65824" w:rsidRPr="004360BF">
              <w:rPr>
                <w:rFonts w:cs="Tahoma"/>
                <w:b/>
                <w:bCs/>
                <w:spacing w:val="-3"/>
                <w:kern w:val="28"/>
                <w:sz w:val="22"/>
                <w:szCs w:val="22"/>
                <w:lang w:val="en-AU" w:eastAsia="en-AU"/>
              </w:rPr>
              <w:t>Determination requirement</w:t>
            </w:r>
            <w:r w:rsidR="004139E7" w:rsidRPr="004360BF">
              <w:rPr>
                <w:rFonts w:cs="Tahoma"/>
                <w:b/>
                <w:bCs/>
                <w:spacing w:val="-3"/>
                <w:kern w:val="28"/>
                <w:sz w:val="22"/>
                <w:szCs w:val="22"/>
                <w:lang w:val="en-AU" w:eastAsia="en-AU"/>
              </w:rPr>
              <w:t xml:space="preserve"> </w:t>
            </w:r>
          </w:p>
        </w:tc>
        <w:tc>
          <w:tcPr>
            <w:tcW w:w="3215" w:type="dxa"/>
            <w:tcBorders>
              <w:bottom w:val="single" w:sz="4" w:space="0" w:color="auto"/>
            </w:tcBorders>
            <w:shd w:val="solid" w:color="C6D9F1" w:fill="auto"/>
          </w:tcPr>
          <w:p w14:paraId="4F71E00A" w14:textId="77777777" w:rsidR="00A65824" w:rsidRPr="004360BF" w:rsidRDefault="00A65824" w:rsidP="004D05F2">
            <w:pPr>
              <w:autoSpaceDE w:val="0"/>
              <w:autoSpaceDN w:val="0"/>
              <w:spacing w:after="120"/>
              <w:rPr>
                <w:rFonts w:cs="Tahoma"/>
                <w:b/>
                <w:bCs/>
                <w:spacing w:val="-3"/>
                <w:kern w:val="28"/>
                <w:sz w:val="22"/>
                <w:szCs w:val="22"/>
                <w:lang w:val="en-AU" w:eastAsia="en-AU"/>
              </w:rPr>
            </w:pPr>
            <w:r w:rsidRPr="004360BF">
              <w:rPr>
                <w:rFonts w:cs="Tahoma"/>
                <w:b/>
                <w:bCs/>
                <w:spacing w:val="-3"/>
                <w:kern w:val="28"/>
                <w:sz w:val="22"/>
                <w:szCs w:val="22"/>
                <w:lang w:val="en-AU" w:eastAsia="en-AU"/>
              </w:rPr>
              <w:t>P</w:t>
            </w:r>
            <w:r w:rsidR="004D05F2" w:rsidRPr="004360BF">
              <w:rPr>
                <w:rFonts w:cs="Tahoma"/>
                <w:b/>
                <w:bCs/>
                <w:spacing w:val="-3"/>
                <w:kern w:val="28"/>
                <w:sz w:val="22"/>
                <w:szCs w:val="22"/>
                <w:lang w:val="en-AU" w:eastAsia="en-AU"/>
              </w:rPr>
              <w:t>ricing P</w:t>
            </w:r>
            <w:r w:rsidRPr="004360BF">
              <w:rPr>
                <w:rFonts w:cs="Tahoma"/>
                <w:b/>
                <w:bCs/>
                <w:spacing w:val="-3"/>
                <w:kern w:val="28"/>
                <w:sz w:val="22"/>
                <w:szCs w:val="22"/>
                <w:lang w:val="en-AU" w:eastAsia="en-AU"/>
              </w:rPr>
              <w:t>roposal section</w:t>
            </w:r>
          </w:p>
        </w:tc>
      </w:tr>
      <w:tr w:rsidR="00423216" w:rsidRPr="004360BF" w14:paraId="07A4173D" w14:textId="77777777" w:rsidTr="00C35AC6">
        <w:tc>
          <w:tcPr>
            <w:tcW w:w="5964" w:type="dxa"/>
            <w:tcBorders>
              <w:top w:val="single" w:sz="4" w:space="0" w:color="auto"/>
              <w:bottom w:val="single" w:sz="4" w:space="0" w:color="auto"/>
            </w:tcBorders>
            <w:shd w:val="clear" w:color="C6D9F1" w:fill="auto"/>
          </w:tcPr>
          <w:p w14:paraId="21F85848" w14:textId="77777777" w:rsidR="00C35AC6" w:rsidRPr="004360BF" w:rsidRDefault="00C35AC6" w:rsidP="00C35AC6">
            <w:pPr>
              <w:rPr>
                <w:sz w:val="22"/>
                <w:szCs w:val="22"/>
                <w:lang w:val="en-AU"/>
              </w:rPr>
            </w:pPr>
            <w:r w:rsidRPr="004360BF">
              <w:rPr>
                <w:sz w:val="22"/>
                <w:szCs w:val="22"/>
                <w:lang w:val="en-AU"/>
              </w:rPr>
              <w:t>The principal elements of the Commission’s 2014 NPD Final Determination pertaining to pricing are the following Final Decisions:</w:t>
            </w:r>
          </w:p>
          <w:p w14:paraId="4F5F751B" w14:textId="77777777" w:rsidR="00C35AC6" w:rsidRPr="004360BF" w:rsidRDefault="00C35AC6" w:rsidP="00EE7AA1">
            <w:pPr>
              <w:numPr>
                <w:ilvl w:val="0"/>
                <w:numId w:val="1"/>
              </w:numPr>
              <w:spacing w:after="120"/>
              <w:rPr>
                <w:sz w:val="22"/>
                <w:szCs w:val="22"/>
                <w:lang w:val="en-AU"/>
              </w:rPr>
            </w:pPr>
            <w:r w:rsidRPr="004360BF">
              <w:rPr>
                <w:sz w:val="22"/>
                <w:szCs w:val="22"/>
                <w:lang w:val="en-AU"/>
              </w:rPr>
              <w:t>Approved Network Services Classification;</w:t>
            </w:r>
          </w:p>
          <w:p w14:paraId="1C1C7A6E" w14:textId="77777777" w:rsidR="00C35AC6" w:rsidRPr="004360BF" w:rsidRDefault="00C35AC6" w:rsidP="00EE7AA1">
            <w:pPr>
              <w:numPr>
                <w:ilvl w:val="0"/>
                <w:numId w:val="1"/>
              </w:numPr>
              <w:spacing w:after="120"/>
              <w:rPr>
                <w:sz w:val="22"/>
                <w:szCs w:val="22"/>
                <w:lang w:val="en-AU"/>
              </w:rPr>
            </w:pPr>
            <w:r w:rsidRPr="004360BF">
              <w:rPr>
                <w:sz w:val="22"/>
                <w:szCs w:val="22"/>
                <w:lang w:val="en-AU"/>
              </w:rPr>
              <w:t xml:space="preserve">The form of price control; </w:t>
            </w:r>
          </w:p>
          <w:p w14:paraId="0B919DD7" w14:textId="77777777" w:rsidR="00C35AC6" w:rsidRPr="004360BF" w:rsidRDefault="00C35AC6" w:rsidP="00EE7AA1">
            <w:pPr>
              <w:numPr>
                <w:ilvl w:val="0"/>
                <w:numId w:val="1"/>
              </w:numPr>
              <w:spacing w:after="120"/>
              <w:rPr>
                <w:sz w:val="22"/>
                <w:szCs w:val="22"/>
                <w:lang w:val="en-AU"/>
              </w:rPr>
            </w:pPr>
            <w:r w:rsidRPr="004360BF">
              <w:rPr>
                <w:sz w:val="22"/>
                <w:szCs w:val="22"/>
                <w:lang w:val="en-AU"/>
              </w:rPr>
              <w:t>The application of side constraints to the annual movement in the weighted average revenue for tariff classes; and</w:t>
            </w:r>
          </w:p>
          <w:p w14:paraId="6C60E658" w14:textId="77777777" w:rsidR="008630F7" w:rsidRPr="004360BF" w:rsidRDefault="00C35AC6" w:rsidP="00EE7AA1">
            <w:pPr>
              <w:numPr>
                <w:ilvl w:val="0"/>
                <w:numId w:val="1"/>
              </w:numPr>
              <w:spacing w:after="120"/>
              <w:rPr>
                <w:sz w:val="22"/>
                <w:szCs w:val="22"/>
                <w:lang w:val="en-AU"/>
              </w:rPr>
            </w:pPr>
            <w:r w:rsidRPr="004360BF">
              <w:rPr>
                <w:sz w:val="22"/>
                <w:szCs w:val="22"/>
                <w:lang w:val="en-AU"/>
              </w:rPr>
              <w:t>The treatment of unders and overs.</w:t>
            </w:r>
          </w:p>
        </w:tc>
        <w:tc>
          <w:tcPr>
            <w:tcW w:w="3215" w:type="dxa"/>
            <w:tcBorders>
              <w:top w:val="single" w:sz="4" w:space="0" w:color="auto"/>
              <w:bottom w:val="single" w:sz="4" w:space="0" w:color="auto"/>
            </w:tcBorders>
            <w:shd w:val="clear" w:color="C6D9F1" w:fill="auto"/>
          </w:tcPr>
          <w:p w14:paraId="5C71A25F" w14:textId="48942321" w:rsidR="008630F7" w:rsidRPr="004360BF" w:rsidRDefault="00C35AC6" w:rsidP="004D05F2">
            <w:pPr>
              <w:autoSpaceDE w:val="0"/>
              <w:autoSpaceDN w:val="0"/>
              <w:spacing w:after="120"/>
              <w:rPr>
                <w:rFonts w:cs="Tahoma"/>
                <w:bCs/>
                <w:spacing w:val="-3"/>
                <w:kern w:val="28"/>
                <w:sz w:val="22"/>
                <w:szCs w:val="22"/>
                <w:lang w:val="en-AU" w:eastAsia="en-AU"/>
              </w:rPr>
            </w:pPr>
            <w:r w:rsidRPr="004360BF">
              <w:rPr>
                <w:rFonts w:cs="Tahoma"/>
                <w:bCs/>
                <w:spacing w:val="-3"/>
                <w:kern w:val="28"/>
                <w:sz w:val="22"/>
                <w:szCs w:val="22"/>
                <w:lang w:val="en-AU" w:eastAsia="en-AU"/>
              </w:rPr>
              <w:t xml:space="preserve">Chapter </w:t>
            </w:r>
            <w:r w:rsidR="00603EFF" w:rsidRPr="004360BF">
              <w:rPr>
                <w:rFonts w:cs="Tahoma"/>
                <w:bCs/>
                <w:spacing w:val="-3"/>
                <w:kern w:val="28"/>
                <w:sz w:val="22"/>
                <w:szCs w:val="22"/>
                <w:lang w:val="en-AU" w:eastAsia="en-AU"/>
              </w:rPr>
              <w:fldChar w:fldCharType="begin"/>
            </w:r>
            <w:r w:rsidR="00603EFF" w:rsidRPr="004360BF">
              <w:rPr>
                <w:rFonts w:cs="Tahoma"/>
                <w:bCs/>
                <w:spacing w:val="-3"/>
                <w:kern w:val="28"/>
                <w:sz w:val="22"/>
                <w:szCs w:val="22"/>
                <w:lang w:val="en-AU" w:eastAsia="en-AU"/>
              </w:rPr>
              <w:instrText xml:space="preserve"> REF _Ref291313374 \r \h </w:instrText>
            </w:r>
            <w:r w:rsidR="00603EFF" w:rsidRPr="004360BF">
              <w:rPr>
                <w:rFonts w:cs="Tahoma"/>
                <w:bCs/>
                <w:spacing w:val="-3"/>
                <w:kern w:val="28"/>
                <w:sz w:val="22"/>
                <w:szCs w:val="22"/>
                <w:lang w:val="en-AU" w:eastAsia="en-AU"/>
              </w:rPr>
            </w:r>
            <w:r w:rsidR="00603EFF" w:rsidRPr="004360BF">
              <w:rPr>
                <w:rFonts w:cs="Tahoma"/>
                <w:bCs/>
                <w:spacing w:val="-3"/>
                <w:kern w:val="28"/>
                <w:sz w:val="22"/>
                <w:szCs w:val="22"/>
                <w:lang w:val="en-AU" w:eastAsia="en-AU"/>
              </w:rPr>
              <w:fldChar w:fldCharType="separate"/>
            </w:r>
            <w:r w:rsidR="008D3215">
              <w:rPr>
                <w:rFonts w:cs="Tahoma"/>
                <w:bCs/>
                <w:spacing w:val="-3"/>
                <w:kern w:val="28"/>
                <w:sz w:val="22"/>
                <w:szCs w:val="22"/>
                <w:lang w:val="en-AU" w:eastAsia="en-AU"/>
              </w:rPr>
              <w:t>4</w:t>
            </w:r>
            <w:r w:rsidR="00603EFF" w:rsidRPr="004360BF">
              <w:rPr>
                <w:rFonts w:cs="Tahoma"/>
                <w:bCs/>
                <w:spacing w:val="-3"/>
                <w:kern w:val="28"/>
                <w:sz w:val="22"/>
                <w:szCs w:val="22"/>
                <w:lang w:val="en-AU" w:eastAsia="en-AU"/>
              </w:rPr>
              <w:fldChar w:fldCharType="end"/>
            </w:r>
            <w:r w:rsidRPr="004360BF">
              <w:rPr>
                <w:rFonts w:cs="Tahoma"/>
                <w:bCs/>
                <w:spacing w:val="-3"/>
                <w:kern w:val="28"/>
                <w:sz w:val="22"/>
                <w:szCs w:val="22"/>
                <w:lang w:val="en-AU" w:eastAsia="en-AU"/>
              </w:rPr>
              <w:t xml:space="preserve"> discusses the classification of network services.</w:t>
            </w:r>
          </w:p>
          <w:p w14:paraId="0E6EFFA4" w14:textId="7FE52E09" w:rsidR="00C35AC6" w:rsidRPr="004360BF" w:rsidRDefault="00C35AC6" w:rsidP="004D05F2">
            <w:pPr>
              <w:autoSpaceDE w:val="0"/>
              <w:autoSpaceDN w:val="0"/>
              <w:spacing w:after="120"/>
              <w:rPr>
                <w:rFonts w:cs="Tahoma"/>
                <w:bCs/>
                <w:spacing w:val="-3"/>
                <w:kern w:val="28"/>
                <w:sz w:val="22"/>
                <w:szCs w:val="22"/>
                <w:lang w:val="en-AU" w:eastAsia="en-AU"/>
              </w:rPr>
            </w:pPr>
            <w:r w:rsidRPr="004360BF">
              <w:rPr>
                <w:rFonts w:cs="Tahoma"/>
                <w:bCs/>
                <w:spacing w:val="-3"/>
                <w:kern w:val="28"/>
                <w:sz w:val="22"/>
                <w:szCs w:val="22"/>
                <w:lang w:val="en-AU" w:eastAsia="en-AU"/>
              </w:rPr>
              <w:t xml:space="preserve">Chapter </w:t>
            </w:r>
            <w:r w:rsidR="00603EFF" w:rsidRPr="004360BF">
              <w:rPr>
                <w:rFonts w:cs="Tahoma"/>
                <w:bCs/>
                <w:spacing w:val="-3"/>
                <w:kern w:val="28"/>
                <w:sz w:val="22"/>
                <w:szCs w:val="22"/>
                <w:lang w:val="en-AU" w:eastAsia="en-AU"/>
              </w:rPr>
              <w:fldChar w:fldCharType="begin"/>
            </w:r>
            <w:r w:rsidR="00603EFF" w:rsidRPr="004360BF">
              <w:rPr>
                <w:rFonts w:cs="Tahoma"/>
                <w:bCs/>
                <w:spacing w:val="-3"/>
                <w:kern w:val="28"/>
                <w:sz w:val="22"/>
                <w:szCs w:val="22"/>
                <w:lang w:val="en-AU" w:eastAsia="en-AU"/>
              </w:rPr>
              <w:instrText xml:space="preserve"> REF _Ref258680643 \r \h </w:instrText>
            </w:r>
            <w:r w:rsidR="00603EFF" w:rsidRPr="004360BF">
              <w:rPr>
                <w:rFonts w:cs="Tahoma"/>
                <w:bCs/>
                <w:spacing w:val="-3"/>
                <w:kern w:val="28"/>
                <w:sz w:val="22"/>
                <w:szCs w:val="22"/>
                <w:lang w:val="en-AU" w:eastAsia="en-AU"/>
              </w:rPr>
            </w:r>
            <w:r w:rsidR="00603EFF" w:rsidRPr="004360BF">
              <w:rPr>
                <w:rFonts w:cs="Tahoma"/>
                <w:bCs/>
                <w:spacing w:val="-3"/>
                <w:kern w:val="28"/>
                <w:sz w:val="22"/>
                <w:szCs w:val="22"/>
                <w:lang w:val="en-AU" w:eastAsia="en-AU"/>
              </w:rPr>
              <w:fldChar w:fldCharType="separate"/>
            </w:r>
            <w:r w:rsidR="008D3215">
              <w:rPr>
                <w:rFonts w:cs="Tahoma"/>
                <w:bCs/>
                <w:spacing w:val="-3"/>
                <w:kern w:val="28"/>
                <w:sz w:val="22"/>
                <w:szCs w:val="22"/>
                <w:lang w:val="en-AU" w:eastAsia="en-AU"/>
              </w:rPr>
              <w:t>13</w:t>
            </w:r>
            <w:r w:rsidR="00603EFF" w:rsidRPr="004360BF">
              <w:rPr>
                <w:rFonts w:cs="Tahoma"/>
                <w:bCs/>
                <w:spacing w:val="-3"/>
                <w:kern w:val="28"/>
                <w:sz w:val="22"/>
                <w:szCs w:val="22"/>
                <w:lang w:val="en-AU" w:eastAsia="en-AU"/>
              </w:rPr>
              <w:fldChar w:fldCharType="end"/>
            </w:r>
            <w:r w:rsidRPr="004360BF">
              <w:rPr>
                <w:rFonts w:cs="Tahoma"/>
                <w:bCs/>
                <w:spacing w:val="-3"/>
                <w:kern w:val="28"/>
                <w:sz w:val="22"/>
                <w:szCs w:val="22"/>
                <w:lang w:val="en-AU" w:eastAsia="en-AU"/>
              </w:rPr>
              <w:t xml:space="preserve"> demonstrates compliance with the revenue cap and side constraint control mechanisms. </w:t>
            </w:r>
          </w:p>
          <w:p w14:paraId="5351E3FC" w14:textId="483FE414" w:rsidR="00C35AC6" w:rsidRPr="004360BF" w:rsidRDefault="00C35AC6" w:rsidP="00137BDC">
            <w:pPr>
              <w:autoSpaceDE w:val="0"/>
              <w:autoSpaceDN w:val="0"/>
              <w:spacing w:after="120"/>
              <w:rPr>
                <w:rFonts w:cs="Tahoma"/>
                <w:bCs/>
                <w:spacing w:val="-3"/>
                <w:kern w:val="28"/>
                <w:sz w:val="22"/>
                <w:szCs w:val="22"/>
                <w:lang w:val="en-AU" w:eastAsia="en-AU"/>
              </w:rPr>
            </w:pPr>
            <w:r w:rsidRPr="004360BF">
              <w:rPr>
                <w:rFonts w:cs="Tahoma"/>
                <w:bCs/>
                <w:spacing w:val="-3"/>
                <w:kern w:val="28"/>
                <w:sz w:val="22"/>
                <w:szCs w:val="22"/>
                <w:lang w:val="en-AU" w:eastAsia="en-AU"/>
              </w:rPr>
              <w:t>The overs and unders provision will be first implemented in 201</w:t>
            </w:r>
            <w:r w:rsidR="00D34CAB" w:rsidRPr="004360BF">
              <w:rPr>
                <w:rFonts w:cs="Tahoma"/>
                <w:bCs/>
                <w:spacing w:val="-3"/>
                <w:kern w:val="28"/>
                <w:sz w:val="22"/>
                <w:szCs w:val="22"/>
                <w:lang w:val="en-AU" w:eastAsia="en-AU"/>
              </w:rPr>
              <w:t>6</w:t>
            </w:r>
            <w:r w:rsidRPr="004360BF">
              <w:rPr>
                <w:rFonts w:cs="Tahoma"/>
                <w:bCs/>
                <w:spacing w:val="-3"/>
                <w:kern w:val="28"/>
                <w:sz w:val="22"/>
                <w:szCs w:val="22"/>
                <w:lang w:val="en-AU" w:eastAsia="en-AU"/>
              </w:rPr>
              <w:t>/1</w:t>
            </w:r>
            <w:r w:rsidR="00D34CAB" w:rsidRPr="004360BF">
              <w:rPr>
                <w:rFonts w:cs="Tahoma"/>
                <w:bCs/>
                <w:spacing w:val="-3"/>
                <w:kern w:val="28"/>
                <w:sz w:val="22"/>
                <w:szCs w:val="22"/>
                <w:lang w:val="en-AU" w:eastAsia="en-AU"/>
              </w:rPr>
              <w:t>7</w:t>
            </w:r>
            <w:r w:rsidRPr="004360BF">
              <w:rPr>
                <w:rFonts w:cs="Tahoma"/>
                <w:bCs/>
                <w:spacing w:val="-3"/>
                <w:kern w:val="28"/>
                <w:sz w:val="22"/>
                <w:szCs w:val="22"/>
                <w:lang w:val="en-AU" w:eastAsia="en-AU"/>
              </w:rPr>
              <w:t xml:space="preserve"> as there is no</w:t>
            </w:r>
            <w:r w:rsidR="00D34CAB" w:rsidRPr="004360BF">
              <w:rPr>
                <w:rFonts w:cs="Tahoma"/>
                <w:bCs/>
                <w:spacing w:val="-3"/>
                <w:kern w:val="28"/>
                <w:sz w:val="22"/>
                <w:szCs w:val="22"/>
                <w:lang w:val="en-AU" w:eastAsia="en-AU"/>
              </w:rPr>
              <w:t xml:space="preserve"> actual data to support the under recovery evident in 2014/15</w:t>
            </w:r>
            <w:r w:rsidR="00137BDC" w:rsidRPr="004360BF">
              <w:rPr>
                <w:rFonts w:cs="Tahoma"/>
                <w:bCs/>
                <w:spacing w:val="-3"/>
                <w:kern w:val="28"/>
                <w:sz w:val="22"/>
                <w:szCs w:val="22"/>
                <w:lang w:val="en-AU" w:eastAsia="en-AU"/>
              </w:rPr>
              <w:t xml:space="preserve">. </w:t>
            </w:r>
            <w:r w:rsidRPr="004360BF">
              <w:rPr>
                <w:rFonts w:cs="Tahoma"/>
                <w:bCs/>
                <w:spacing w:val="-3"/>
                <w:kern w:val="28"/>
                <w:sz w:val="22"/>
                <w:szCs w:val="22"/>
                <w:lang w:val="en-AU" w:eastAsia="en-AU"/>
              </w:rPr>
              <w:t>Power Networks will demonstrate the application of this mechanism in future annual Pricing Proposals.</w:t>
            </w:r>
          </w:p>
        </w:tc>
      </w:tr>
    </w:tbl>
    <w:p w14:paraId="3D1C26B9" w14:textId="77777777" w:rsidR="00A65824" w:rsidRPr="004360BF" w:rsidRDefault="00A65824" w:rsidP="00C46166">
      <w:pPr>
        <w:tabs>
          <w:tab w:val="left" w:pos="710"/>
        </w:tabs>
        <w:spacing w:after="0"/>
        <w:jc w:val="both"/>
        <w:rPr>
          <w:rFonts w:eastAsia="Times New Roman" w:cs="Tahoma"/>
          <w:lang w:val="en-AU"/>
        </w:rPr>
      </w:pPr>
    </w:p>
    <w:p w14:paraId="7C065D72" w14:textId="77777777" w:rsidR="009874AC" w:rsidRPr="004360BF" w:rsidRDefault="00A65824" w:rsidP="00EE7AA1">
      <w:pPr>
        <w:pStyle w:val="Heading3"/>
        <w:numPr>
          <w:ilvl w:val="0"/>
          <w:numId w:val="0"/>
        </w:numPr>
      </w:pPr>
      <w:bookmarkStart w:id="572" w:name="_Toc417291805"/>
      <w:bookmarkStart w:id="573" w:name="_Toc417292573"/>
      <w:bookmarkStart w:id="574" w:name="_Toc291262286"/>
      <w:r w:rsidRPr="004360BF">
        <w:lastRenderedPageBreak/>
        <w:t>A</w:t>
      </w:r>
      <w:r w:rsidR="00A14042" w:rsidRPr="004360BF">
        <w:t>4.4</w:t>
      </w:r>
      <w:r w:rsidRPr="004360BF">
        <w:tab/>
      </w:r>
      <w:r w:rsidR="009874AC" w:rsidRPr="004360BF">
        <w:t>Rule requirements</w:t>
      </w:r>
      <w:bookmarkEnd w:id="572"/>
      <w:bookmarkEnd w:id="573"/>
      <w:bookmarkEnd w:id="574"/>
    </w:p>
    <w:p w14:paraId="1B3BE13E" w14:textId="77777777" w:rsidR="00C35AC6" w:rsidRPr="004360BF" w:rsidRDefault="00C35AC6" w:rsidP="00C35AC6">
      <w:pPr>
        <w:rPr>
          <w:lang w:val="en-AU"/>
        </w:rPr>
      </w:pPr>
      <w:r w:rsidRPr="004360BF">
        <w:rPr>
          <w:lang w:val="en-AU"/>
        </w:rPr>
        <w:t>For the 2014 Networks Price Determination, the Commission has adopted the pricing requirements of Chapter 6 (Part I) of the Rules to the extent that they are consistent with the TPA Code. This is evidenced in the requirements specified in clauses 16 and 18 of the Commission’s RIN, which address many of the matters required by a Pricing Proposal in Chapter 6 (Part I) of the Rules.</w:t>
      </w:r>
    </w:p>
    <w:p w14:paraId="633CC0B1" w14:textId="77777777" w:rsidR="00C35AC6" w:rsidRPr="004360BF" w:rsidRDefault="00C35AC6" w:rsidP="00C35AC6">
      <w:pPr>
        <w:rPr>
          <w:lang w:val="en-AU"/>
        </w:rPr>
      </w:pPr>
      <w:r w:rsidRPr="004360BF">
        <w:rPr>
          <w:lang w:val="en-AU"/>
        </w:rPr>
        <w:t>In addition to complying with the TPA Code, the Commission’s RIN and 2014 NPD Final Determination, Power and Water has also demonstrated compliance, in the 201</w:t>
      </w:r>
      <w:r w:rsidR="00D34CAB" w:rsidRPr="004360BF">
        <w:rPr>
          <w:lang w:val="en-AU"/>
        </w:rPr>
        <w:t>5</w:t>
      </w:r>
      <w:r w:rsidRPr="004360BF">
        <w:rPr>
          <w:lang w:val="en-AU"/>
        </w:rPr>
        <w:t>/1</w:t>
      </w:r>
      <w:r w:rsidR="00D34CAB" w:rsidRPr="004360BF">
        <w:rPr>
          <w:lang w:val="en-AU"/>
        </w:rPr>
        <w:t>6</w:t>
      </w:r>
      <w:r w:rsidRPr="004360BF">
        <w:rPr>
          <w:lang w:val="en-AU"/>
        </w:rPr>
        <w:t xml:space="preserve"> Pricing Proposal, with the following pricing principle in clause 6.18.5(a) of the Rules.</w:t>
      </w:r>
    </w:p>
    <w:p w14:paraId="2CB936D8" w14:textId="77777777" w:rsidR="009874AC" w:rsidRPr="004360BF" w:rsidRDefault="009874AC" w:rsidP="008365ED">
      <w:pPr>
        <w:pStyle w:val="Caption"/>
        <w:rPr>
          <w:lang w:val="en-AU"/>
        </w:rPr>
      </w:pPr>
      <w:bookmarkStart w:id="575" w:name="_Ref240612052"/>
      <w:r w:rsidRPr="004360BF">
        <w:rPr>
          <w:lang w:val="en-AU"/>
        </w:rPr>
        <w:t xml:space="preserve">Table </w:t>
      </w:r>
      <w:r w:rsidR="00517DD9" w:rsidRPr="004360BF">
        <w:rPr>
          <w:lang w:val="en-AU"/>
        </w:rPr>
        <w:fldChar w:fldCharType="begin"/>
      </w:r>
      <w:r w:rsidR="00217701" w:rsidRPr="004360BF">
        <w:rPr>
          <w:lang w:val="en-AU"/>
        </w:rPr>
        <w:instrText xml:space="preserve"> SEQ Table \* ARABIC </w:instrText>
      </w:r>
      <w:r w:rsidR="00517DD9" w:rsidRPr="004360BF">
        <w:rPr>
          <w:lang w:val="en-AU"/>
        </w:rPr>
        <w:fldChar w:fldCharType="separate"/>
      </w:r>
      <w:r w:rsidR="008D3215">
        <w:rPr>
          <w:noProof/>
          <w:lang w:val="en-AU"/>
        </w:rPr>
        <w:t>29</w:t>
      </w:r>
      <w:r w:rsidR="00517DD9" w:rsidRPr="004360BF">
        <w:rPr>
          <w:lang w:val="en-AU"/>
        </w:rPr>
        <w:fldChar w:fldCharType="end"/>
      </w:r>
      <w:bookmarkEnd w:id="575"/>
      <w:r w:rsidRPr="004360BF">
        <w:rPr>
          <w:lang w:val="en-AU"/>
        </w:rPr>
        <w:t xml:space="preserve"> – Network pricing principles and side constraints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2"/>
        <w:gridCol w:w="2647"/>
      </w:tblGrid>
      <w:tr w:rsidR="009874AC" w:rsidRPr="004360BF" w14:paraId="6BE5E9BD" w14:textId="77777777">
        <w:trPr>
          <w:tblHeader/>
        </w:trPr>
        <w:tc>
          <w:tcPr>
            <w:tcW w:w="6532" w:type="dxa"/>
            <w:tcBorders>
              <w:top w:val="single" w:sz="4" w:space="0" w:color="auto"/>
              <w:left w:val="single" w:sz="4" w:space="0" w:color="auto"/>
              <w:bottom w:val="single" w:sz="4" w:space="0" w:color="auto"/>
              <w:right w:val="single" w:sz="4" w:space="0" w:color="auto"/>
            </w:tcBorders>
            <w:shd w:val="solid" w:color="C6D9F1" w:fill="auto"/>
          </w:tcPr>
          <w:p w14:paraId="5879CF90" w14:textId="77777777" w:rsidR="009874AC" w:rsidRPr="004360BF" w:rsidRDefault="00BF1783" w:rsidP="008365ED">
            <w:pPr>
              <w:spacing w:before="40" w:after="40"/>
              <w:rPr>
                <w:rFonts w:cs="Tahoma"/>
                <w:sz w:val="22"/>
                <w:szCs w:val="22"/>
                <w:lang w:val="en-AU"/>
              </w:rPr>
            </w:pPr>
            <w:r w:rsidRPr="004360BF">
              <w:rPr>
                <w:rFonts w:cs="Tahoma"/>
                <w:sz w:val="22"/>
                <w:szCs w:val="22"/>
                <w:lang w:val="en-AU"/>
              </w:rPr>
              <w:t>Rules</w:t>
            </w:r>
            <w:r w:rsidR="009874AC" w:rsidRPr="004360BF">
              <w:rPr>
                <w:rFonts w:cs="Tahoma"/>
                <w:sz w:val="22"/>
                <w:szCs w:val="22"/>
                <w:lang w:val="en-AU"/>
              </w:rPr>
              <w:t xml:space="preserve"> clause</w:t>
            </w:r>
          </w:p>
        </w:tc>
        <w:tc>
          <w:tcPr>
            <w:tcW w:w="2647" w:type="dxa"/>
            <w:tcBorders>
              <w:top w:val="single" w:sz="4" w:space="0" w:color="auto"/>
              <w:left w:val="single" w:sz="4" w:space="0" w:color="auto"/>
              <w:bottom w:val="single" w:sz="4" w:space="0" w:color="auto"/>
              <w:right w:val="single" w:sz="4" w:space="0" w:color="auto"/>
            </w:tcBorders>
            <w:shd w:val="solid" w:color="C6D9F1" w:fill="auto"/>
          </w:tcPr>
          <w:p w14:paraId="541CB202" w14:textId="77777777" w:rsidR="009874AC" w:rsidRPr="004360BF" w:rsidRDefault="004D05F2" w:rsidP="008365ED">
            <w:pPr>
              <w:spacing w:before="40" w:after="40"/>
              <w:rPr>
                <w:rFonts w:cs="Tahoma"/>
                <w:sz w:val="22"/>
                <w:szCs w:val="22"/>
                <w:lang w:val="en-AU"/>
              </w:rPr>
            </w:pPr>
            <w:r w:rsidRPr="004360BF">
              <w:rPr>
                <w:rFonts w:cs="Tahoma"/>
                <w:sz w:val="22"/>
                <w:szCs w:val="22"/>
                <w:lang w:val="en-AU"/>
              </w:rPr>
              <w:t xml:space="preserve">Pricing </w:t>
            </w:r>
            <w:r w:rsidR="009874AC" w:rsidRPr="004360BF">
              <w:rPr>
                <w:rFonts w:cs="Tahoma"/>
                <w:sz w:val="22"/>
                <w:szCs w:val="22"/>
                <w:lang w:val="en-AU"/>
              </w:rPr>
              <w:t>Proposal section</w:t>
            </w:r>
          </w:p>
        </w:tc>
      </w:tr>
      <w:tr w:rsidR="009874AC" w:rsidRPr="004360BF" w14:paraId="044D9A62" w14:textId="77777777" w:rsidTr="008365ED">
        <w:trPr>
          <w:cantSplit/>
        </w:trPr>
        <w:tc>
          <w:tcPr>
            <w:tcW w:w="6532" w:type="dxa"/>
            <w:tcBorders>
              <w:top w:val="single" w:sz="4" w:space="0" w:color="auto"/>
              <w:left w:val="single" w:sz="4" w:space="0" w:color="auto"/>
              <w:bottom w:val="nil"/>
              <w:right w:val="single" w:sz="4" w:space="0" w:color="auto"/>
            </w:tcBorders>
          </w:tcPr>
          <w:p w14:paraId="6E44F0E4" w14:textId="77777777" w:rsidR="009874AC" w:rsidRPr="004360BF" w:rsidRDefault="009874AC" w:rsidP="008365ED">
            <w:pPr>
              <w:spacing w:before="40" w:after="40"/>
              <w:ind w:left="744" w:hanging="744"/>
              <w:rPr>
                <w:rFonts w:cs="Tahoma"/>
                <w:sz w:val="22"/>
                <w:szCs w:val="22"/>
                <w:lang w:val="en-AU"/>
              </w:rPr>
            </w:pPr>
            <w:r w:rsidRPr="004360BF">
              <w:rPr>
                <w:rFonts w:cs="Tahoma"/>
                <w:sz w:val="22"/>
                <w:szCs w:val="22"/>
                <w:lang w:val="en-AU"/>
              </w:rPr>
              <w:t xml:space="preserve">6.18.5 </w:t>
            </w:r>
            <w:r w:rsidRPr="004360BF">
              <w:rPr>
                <w:rFonts w:cs="Tahoma"/>
                <w:sz w:val="22"/>
                <w:szCs w:val="22"/>
                <w:lang w:val="en-AU"/>
              </w:rPr>
              <w:tab/>
              <w:t>Pricing principles</w:t>
            </w:r>
          </w:p>
        </w:tc>
        <w:tc>
          <w:tcPr>
            <w:tcW w:w="2647" w:type="dxa"/>
            <w:tcBorders>
              <w:top w:val="single" w:sz="4" w:space="0" w:color="auto"/>
              <w:left w:val="single" w:sz="4" w:space="0" w:color="auto"/>
              <w:bottom w:val="nil"/>
              <w:right w:val="single" w:sz="4" w:space="0" w:color="auto"/>
            </w:tcBorders>
          </w:tcPr>
          <w:p w14:paraId="65DA5722" w14:textId="77777777" w:rsidR="009874AC" w:rsidRPr="004360BF" w:rsidRDefault="009874AC" w:rsidP="008365ED">
            <w:pPr>
              <w:spacing w:before="40" w:after="40"/>
              <w:rPr>
                <w:rFonts w:cs="Tahoma"/>
                <w:sz w:val="22"/>
                <w:szCs w:val="22"/>
                <w:lang w:val="en-AU"/>
              </w:rPr>
            </w:pPr>
          </w:p>
        </w:tc>
      </w:tr>
      <w:tr w:rsidR="009874AC" w:rsidRPr="004360BF" w14:paraId="71D9693E" w14:textId="77777777" w:rsidTr="008365ED">
        <w:trPr>
          <w:cantSplit/>
        </w:trPr>
        <w:tc>
          <w:tcPr>
            <w:tcW w:w="6532" w:type="dxa"/>
            <w:tcBorders>
              <w:top w:val="nil"/>
              <w:left w:val="single" w:sz="4" w:space="0" w:color="auto"/>
              <w:bottom w:val="nil"/>
              <w:right w:val="single" w:sz="4" w:space="0" w:color="auto"/>
            </w:tcBorders>
          </w:tcPr>
          <w:p w14:paraId="30284BB6" w14:textId="77777777" w:rsidR="009874AC" w:rsidRPr="004360BF" w:rsidRDefault="009874AC" w:rsidP="008365ED">
            <w:pPr>
              <w:pStyle w:val="Section"/>
              <w:spacing w:before="40" w:after="40"/>
              <w:ind w:left="744" w:hanging="426"/>
              <w:jc w:val="left"/>
              <w:rPr>
                <w:rFonts w:ascii="Tahoma" w:hAnsi="Tahoma" w:cs="Tahoma"/>
                <w:sz w:val="22"/>
                <w:szCs w:val="22"/>
                <w:lang w:val="en-AU"/>
              </w:rPr>
            </w:pPr>
            <w:r w:rsidRPr="004360BF">
              <w:rPr>
                <w:rFonts w:ascii="Tahoma" w:hAnsi="Tahoma" w:cs="Tahoma"/>
                <w:sz w:val="22"/>
                <w:szCs w:val="22"/>
                <w:lang w:val="en-AU"/>
              </w:rPr>
              <w:t xml:space="preserve">(a) </w:t>
            </w:r>
            <w:r w:rsidRPr="004360BF">
              <w:rPr>
                <w:rFonts w:ascii="Tahoma" w:hAnsi="Tahoma" w:cs="Tahoma"/>
                <w:sz w:val="22"/>
                <w:szCs w:val="22"/>
                <w:lang w:val="en-AU"/>
              </w:rPr>
              <w:tab/>
              <w:t xml:space="preserve">For each </w:t>
            </w:r>
            <w:r w:rsidR="00263D11" w:rsidRPr="004360BF">
              <w:rPr>
                <w:rFonts w:ascii="Tahoma" w:hAnsi="Tahoma" w:cs="Tahoma"/>
                <w:iCs/>
                <w:sz w:val="22"/>
                <w:szCs w:val="22"/>
                <w:lang w:val="en-AU"/>
              </w:rPr>
              <w:t>tariff class</w:t>
            </w:r>
            <w:r w:rsidRPr="004360BF">
              <w:rPr>
                <w:rFonts w:ascii="Tahoma" w:hAnsi="Tahoma" w:cs="Tahoma"/>
                <w:sz w:val="22"/>
                <w:szCs w:val="22"/>
                <w:lang w:val="en-AU"/>
              </w:rPr>
              <w:t>, the revenue expected to be recovered should lie on or between:</w:t>
            </w:r>
          </w:p>
        </w:tc>
        <w:tc>
          <w:tcPr>
            <w:tcW w:w="2647" w:type="dxa"/>
            <w:vMerge w:val="restart"/>
            <w:tcBorders>
              <w:top w:val="nil"/>
              <w:left w:val="single" w:sz="4" w:space="0" w:color="auto"/>
              <w:bottom w:val="single" w:sz="4" w:space="0" w:color="auto"/>
              <w:right w:val="single" w:sz="4" w:space="0" w:color="auto"/>
            </w:tcBorders>
          </w:tcPr>
          <w:p w14:paraId="14ED621B" w14:textId="2ABFE82B" w:rsidR="009874AC" w:rsidRPr="004360BF" w:rsidRDefault="009874AC" w:rsidP="00603EFF">
            <w:pPr>
              <w:pStyle w:val="Section"/>
              <w:spacing w:before="40" w:after="40"/>
              <w:jc w:val="left"/>
              <w:rPr>
                <w:rFonts w:ascii="Tahoma" w:hAnsi="Tahoma" w:cs="Tahoma"/>
                <w:sz w:val="22"/>
                <w:szCs w:val="22"/>
                <w:lang w:val="en-AU"/>
              </w:rPr>
            </w:pPr>
            <w:r w:rsidRPr="004360BF">
              <w:rPr>
                <w:rFonts w:ascii="Tahoma" w:hAnsi="Tahoma" w:cs="Tahoma"/>
                <w:sz w:val="22"/>
                <w:szCs w:val="22"/>
                <w:lang w:val="en-AU"/>
              </w:rPr>
              <w:t>Section</w:t>
            </w:r>
            <w:r w:rsidR="00C8006D" w:rsidRPr="004360BF">
              <w:rPr>
                <w:rFonts w:ascii="Tahoma" w:hAnsi="Tahoma" w:cs="Tahoma"/>
                <w:sz w:val="22"/>
                <w:szCs w:val="22"/>
                <w:lang w:val="en-AU"/>
              </w:rPr>
              <w:t xml:space="preserve"> </w:t>
            </w:r>
            <w:r w:rsidR="00603EFF" w:rsidRPr="004360BF">
              <w:rPr>
                <w:rFonts w:ascii="Tahoma" w:hAnsi="Tahoma" w:cs="Tahoma"/>
                <w:sz w:val="22"/>
                <w:szCs w:val="22"/>
                <w:lang w:val="en-AU"/>
              </w:rPr>
              <w:fldChar w:fldCharType="begin"/>
            </w:r>
            <w:r w:rsidR="00603EFF" w:rsidRPr="004360BF">
              <w:rPr>
                <w:rFonts w:ascii="Tahoma" w:hAnsi="Tahoma" w:cs="Tahoma"/>
                <w:sz w:val="22"/>
                <w:szCs w:val="22"/>
                <w:lang w:val="en-AU"/>
              </w:rPr>
              <w:instrText xml:space="preserve"> REF _Ref258684036 \r \h </w:instrText>
            </w:r>
            <w:r w:rsidR="00603EFF" w:rsidRPr="004360BF">
              <w:rPr>
                <w:rFonts w:ascii="Tahoma" w:hAnsi="Tahoma" w:cs="Tahoma"/>
                <w:sz w:val="22"/>
                <w:szCs w:val="22"/>
                <w:lang w:val="en-AU"/>
              </w:rPr>
            </w:r>
            <w:r w:rsidR="00603EFF" w:rsidRPr="004360BF">
              <w:rPr>
                <w:rFonts w:ascii="Tahoma" w:hAnsi="Tahoma" w:cs="Tahoma"/>
                <w:sz w:val="22"/>
                <w:szCs w:val="22"/>
                <w:lang w:val="en-AU"/>
              </w:rPr>
              <w:fldChar w:fldCharType="separate"/>
            </w:r>
            <w:r w:rsidR="008D3215">
              <w:rPr>
                <w:rFonts w:ascii="Tahoma" w:hAnsi="Tahoma" w:cs="Tahoma"/>
                <w:sz w:val="22"/>
                <w:szCs w:val="22"/>
                <w:lang w:val="en-AU"/>
              </w:rPr>
              <w:t>13.3</w:t>
            </w:r>
            <w:r w:rsidR="00603EFF" w:rsidRPr="004360BF">
              <w:rPr>
                <w:rFonts w:ascii="Tahoma" w:hAnsi="Tahoma" w:cs="Tahoma"/>
                <w:sz w:val="22"/>
                <w:szCs w:val="22"/>
                <w:lang w:val="en-AU"/>
              </w:rPr>
              <w:fldChar w:fldCharType="end"/>
            </w:r>
            <w:r w:rsidR="00603EFF" w:rsidRPr="004360BF">
              <w:rPr>
                <w:rFonts w:ascii="Tahoma" w:hAnsi="Tahoma" w:cs="Tahoma"/>
                <w:sz w:val="22"/>
                <w:szCs w:val="22"/>
                <w:lang w:val="en-AU"/>
              </w:rPr>
              <w:t xml:space="preserve"> </w:t>
            </w:r>
            <w:r w:rsidRPr="004360BF">
              <w:rPr>
                <w:rFonts w:ascii="Tahoma" w:hAnsi="Tahoma" w:cs="Tahoma"/>
                <w:sz w:val="22"/>
                <w:szCs w:val="22"/>
                <w:lang w:val="en-AU"/>
              </w:rPr>
              <w:t>demonstrate</w:t>
            </w:r>
            <w:r w:rsidR="00C8006D" w:rsidRPr="004360BF">
              <w:rPr>
                <w:rFonts w:ascii="Tahoma" w:hAnsi="Tahoma" w:cs="Tahoma"/>
                <w:sz w:val="22"/>
                <w:szCs w:val="22"/>
                <w:lang w:val="en-AU"/>
              </w:rPr>
              <w:t>s</w:t>
            </w:r>
            <w:r w:rsidRPr="004360BF">
              <w:rPr>
                <w:rFonts w:ascii="Tahoma" w:hAnsi="Tahoma" w:cs="Tahoma"/>
                <w:sz w:val="22"/>
                <w:szCs w:val="22"/>
                <w:lang w:val="en-AU"/>
              </w:rPr>
              <w:t xml:space="preserve"> that the revenue from tariff classes lies between the bounds of the stand</w:t>
            </w:r>
            <w:r w:rsidR="00D34CAB" w:rsidRPr="004360BF">
              <w:rPr>
                <w:rFonts w:ascii="Tahoma" w:hAnsi="Tahoma" w:cs="Tahoma"/>
                <w:sz w:val="22"/>
                <w:szCs w:val="22"/>
                <w:lang w:val="en-AU"/>
              </w:rPr>
              <w:t>-</w:t>
            </w:r>
            <w:r w:rsidRPr="004360BF">
              <w:rPr>
                <w:rFonts w:ascii="Tahoma" w:hAnsi="Tahoma" w:cs="Tahoma"/>
                <w:sz w:val="22"/>
                <w:szCs w:val="22"/>
                <w:lang w:val="en-AU"/>
              </w:rPr>
              <w:t>alone and avoidable cost.</w:t>
            </w:r>
          </w:p>
        </w:tc>
      </w:tr>
      <w:tr w:rsidR="009874AC" w:rsidRPr="004360BF" w14:paraId="1ED99D17" w14:textId="77777777" w:rsidTr="008365ED">
        <w:trPr>
          <w:cantSplit/>
        </w:trPr>
        <w:tc>
          <w:tcPr>
            <w:tcW w:w="6532" w:type="dxa"/>
            <w:tcBorders>
              <w:top w:val="nil"/>
              <w:left w:val="single" w:sz="4" w:space="0" w:color="auto"/>
              <w:bottom w:val="nil"/>
              <w:right w:val="single" w:sz="4" w:space="0" w:color="auto"/>
            </w:tcBorders>
          </w:tcPr>
          <w:p w14:paraId="3CA75BA5" w14:textId="77777777" w:rsidR="009874AC" w:rsidRPr="004360BF" w:rsidRDefault="009874AC" w:rsidP="008365ED">
            <w:pPr>
              <w:pStyle w:val="Section"/>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 xml:space="preserve">(1) </w:t>
            </w:r>
            <w:r w:rsidRPr="004360BF">
              <w:rPr>
                <w:rFonts w:ascii="Tahoma" w:hAnsi="Tahoma" w:cs="Tahoma"/>
                <w:sz w:val="22"/>
                <w:szCs w:val="22"/>
                <w:lang w:val="en-AU"/>
              </w:rPr>
              <w:tab/>
              <w:t xml:space="preserve">an upper bound representing the stand alone cost of serving the </w:t>
            </w:r>
            <w:r w:rsidRPr="004360BF">
              <w:rPr>
                <w:rFonts w:ascii="Tahoma" w:hAnsi="Tahoma" w:cs="Tahoma"/>
                <w:i/>
                <w:iCs/>
                <w:sz w:val="22"/>
                <w:szCs w:val="22"/>
                <w:lang w:val="en-AU"/>
              </w:rPr>
              <w:t xml:space="preserve">retail customers </w:t>
            </w:r>
            <w:r w:rsidRPr="004360BF">
              <w:rPr>
                <w:rFonts w:ascii="Tahoma" w:hAnsi="Tahoma" w:cs="Tahoma"/>
                <w:sz w:val="22"/>
                <w:szCs w:val="22"/>
                <w:lang w:val="en-AU"/>
              </w:rPr>
              <w:t>who belong to that class; and</w:t>
            </w:r>
          </w:p>
        </w:tc>
        <w:tc>
          <w:tcPr>
            <w:tcW w:w="2647" w:type="dxa"/>
            <w:vMerge/>
            <w:tcBorders>
              <w:top w:val="single" w:sz="4" w:space="0" w:color="auto"/>
              <w:left w:val="single" w:sz="4" w:space="0" w:color="auto"/>
              <w:bottom w:val="single" w:sz="4" w:space="0" w:color="auto"/>
              <w:right w:val="single" w:sz="4" w:space="0" w:color="auto"/>
            </w:tcBorders>
          </w:tcPr>
          <w:p w14:paraId="7B73A6F9" w14:textId="77777777" w:rsidR="009874AC" w:rsidRPr="004360BF" w:rsidRDefault="009874AC" w:rsidP="008365ED">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jc w:val="left"/>
              <w:rPr>
                <w:rFonts w:ascii="Tahoma" w:hAnsi="Tahoma" w:cs="Tahoma"/>
                <w:sz w:val="22"/>
                <w:szCs w:val="22"/>
                <w:lang w:val="en-AU"/>
              </w:rPr>
            </w:pPr>
          </w:p>
        </w:tc>
      </w:tr>
      <w:tr w:rsidR="009874AC" w:rsidRPr="004360BF" w14:paraId="3CF69C6D" w14:textId="77777777" w:rsidTr="008365ED">
        <w:trPr>
          <w:cantSplit/>
        </w:trPr>
        <w:tc>
          <w:tcPr>
            <w:tcW w:w="6532" w:type="dxa"/>
            <w:tcBorders>
              <w:top w:val="nil"/>
              <w:left w:val="single" w:sz="4" w:space="0" w:color="auto"/>
              <w:bottom w:val="single" w:sz="4" w:space="0" w:color="auto"/>
              <w:right w:val="single" w:sz="4" w:space="0" w:color="auto"/>
            </w:tcBorders>
          </w:tcPr>
          <w:p w14:paraId="1D6C2DEF" w14:textId="77777777" w:rsidR="009874AC" w:rsidRPr="004360BF" w:rsidRDefault="009874AC" w:rsidP="008365ED">
            <w:pPr>
              <w:pStyle w:val="Section"/>
              <w:spacing w:before="40" w:after="40"/>
              <w:ind w:left="1170" w:hanging="426"/>
              <w:jc w:val="left"/>
              <w:rPr>
                <w:rFonts w:ascii="Tahoma" w:hAnsi="Tahoma" w:cs="Tahoma"/>
                <w:sz w:val="22"/>
                <w:szCs w:val="22"/>
                <w:lang w:val="en-AU"/>
              </w:rPr>
            </w:pPr>
            <w:r w:rsidRPr="004360BF">
              <w:rPr>
                <w:rFonts w:ascii="Tahoma" w:hAnsi="Tahoma" w:cs="Tahoma"/>
                <w:sz w:val="22"/>
                <w:szCs w:val="22"/>
                <w:lang w:val="en-AU"/>
              </w:rPr>
              <w:t>(2)</w:t>
            </w:r>
            <w:r w:rsidRPr="004360BF">
              <w:rPr>
                <w:rFonts w:ascii="Tahoma" w:hAnsi="Tahoma" w:cs="Tahoma"/>
                <w:sz w:val="22"/>
                <w:szCs w:val="22"/>
                <w:lang w:val="en-AU"/>
              </w:rPr>
              <w:tab/>
            </w:r>
            <w:proofErr w:type="gramStart"/>
            <w:r w:rsidRPr="004360BF">
              <w:rPr>
                <w:rFonts w:ascii="Tahoma" w:hAnsi="Tahoma" w:cs="Tahoma"/>
                <w:sz w:val="22"/>
                <w:szCs w:val="22"/>
                <w:lang w:val="en-AU"/>
              </w:rPr>
              <w:t>a</w:t>
            </w:r>
            <w:proofErr w:type="gramEnd"/>
            <w:r w:rsidRPr="004360BF">
              <w:rPr>
                <w:rFonts w:ascii="Tahoma" w:hAnsi="Tahoma" w:cs="Tahoma"/>
                <w:sz w:val="22"/>
                <w:szCs w:val="22"/>
                <w:lang w:val="en-AU"/>
              </w:rPr>
              <w:t xml:space="preserve"> lower bound representing the avoidable cost of not serving those </w:t>
            </w:r>
            <w:r w:rsidRPr="004360BF">
              <w:rPr>
                <w:rFonts w:ascii="Tahoma" w:hAnsi="Tahoma" w:cs="Tahoma"/>
                <w:i/>
                <w:iCs/>
                <w:sz w:val="22"/>
                <w:szCs w:val="22"/>
                <w:lang w:val="en-AU"/>
              </w:rPr>
              <w:t>retail customers</w:t>
            </w:r>
            <w:r w:rsidRPr="004360BF">
              <w:rPr>
                <w:rFonts w:ascii="Tahoma" w:hAnsi="Tahoma" w:cs="Tahoma"/>
                <w:sz w:val="22"/>
                <w:szCs w:val="22"/>
                <w:lang w:val="en-AU"/>
              </w:rPr>
              <w:t>.</w:t>
            </w:r>
          </w:p>
        </w:tc>
        <w:tc>
          <w:tcPr>
            <w:tcW w:w="2647" w:type="dxa"/>
            <w:vMerge/>
            <w:tcBorders>
              <w:top w:val="single" w:sz="4" w:space="0" w:color="auto"/>
              <w:left w:val="single" w:sz="4" w:space="0" w:color="auto"/>
              <w:bottom w:val="single" w:sz="4" w:space="0" w:color="auto"/>
              <w:right w:val="single" w:sz="4" w:space="0" w:color="auto"/>
            </w:tcBorders>
          </w:tcPr>
          <w:p w14:paraId="5A2AF49A" w14:textId="77777777" w:rsidR="009874AC" w:rsidRPr="004360BF" w:rsidRDefault="009874AC" w:rsidP="008365ED">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0" w:after="40"/>
              <w:jc w:val="left"/>
              <w:rPr>
                <w:rFonts w:ascii="Tahoma" w:hAnsi="Tahoma" w:cs="Tahoma"/>
                <w:sz w:val="22"/>
                <w:szCs w:val="22"/>
                <w:lang w:val="en-AU"/>
              </w:rPr>
            </w:pPr>
          </w:p>
        </w:tc>
      </w:tr>
    </w:tbl>
    <w:p w14:paraId="5BDBCB53" w14:textId="77777777" w:rsidR="00C23F16" w:rsidRPr="004360BF" w:rsidRDefault="00C23F16" w:rsidP="00EE7AA1">
      <w:pPr>
        <w:pStyle w:val="Heading1"/>
        <w:pageBreakBefore/>
        <w:numPr>
          <w:ilvl w:val="0"/>
          <w:numId w:val="0"/>
        </w:numPr>
      </w:pPr>
      <w:bookmarkStart w:id="576" w:name="_Toc417291277"/>
      <w:bookmarkStart w:id="577" w:name="_Toc417291806"/>
      <w:bookmarkStart w:id="578" w:name="_Toc417292574"/>
      <w:bookmarkStart w:id="579" w:name="_Toc291262287"/>
      <w:bookmarkStart w:id="580" w:name="_Toc417458040"/>
      <w:bookmarkStart w:id="581" w:name="_Toc418608709"/>
      <w:bookmarkEnd w:id="542"/>
      <w:r w:rsidRPr="004360BF">
        <w:lastRenderedPageBreak/>
        <w:t xml:space="preserve">Attachment </w:t>
      </w:r>
      <w:r w:rsidR="00A14042" w:rsidRPr="004360BF">
        <w:t>5</w:t>
      </w:r>
      <w:r w:rsidR="004B4224" w:rsidRPr="004360BF">
        <w:t xml:space="preserve"> – </w:t>
      </w:r>
      <w:r w:rsidRPr="004360BF">
        <w:t>Glossary</w:t>
      </w:r>
      <w:bookmarkEnd w:id="576"/>
      <w:bookmarkEnd w:id="577"/>
      <w:bookmarkEnd w:id="578"/>
      <w:bookmarkEnd w:id="579"/>
      <w:bookmarkEnd w:id="580"/>
      <w:bookmarkEnd w:id="5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6336"/>
      </w:tblGrid>
      <w:tr w:rsidR="00F101A3" w:rsidRPr="004360BF" w14:paraId="3D20A931" w14:textId="77777777" w:rsidTr="00AC4029">
        <w:trPr>
          <w:tblHeader/>
        </w:trPr>
        <w:tc>
          <w:tcPr>
            <w:tcW w:w="0" w:type="auto"/>
            <w:shd w:val="solid" w:color="C6D9F1" w:themeColor="text2" w:themeTint="33" w:fill="auto"/>
          </w:tcPr>
          <w:p w14:paraId="1A14252B" w14:textId="77777777" w:rsidR="00C23F16" w:rsidRPr="004360BF" w:rsidRDefault="00C23F16" w:rsidP="00C23F16">
            <w:pPr>
              <w:spacing w:before="40" w:after="40"/>
              <w:rPr>
                <w:b/>
                <w:lang w:val="en-AU"/>
              </w:rPr>
            </w:pPr>
            <w:r w:rsidRPr="004360BF">
              <w:rPr>
                <w:b/>
                <w:lang w:val="en-AU"/>
              </w:rPr>
              <w:t>Term</w:t>
            </w:r>
          </w:p>
        </w:tc>
        <w:tc>
          <w:tcPr>
            <w:tcW w:w="0" w:type="auto"/>
            <w:shd w:val="solid" w:color="C6D9F1" w:themeColor="text2" w:themeTint="33" w:fill="auto"/>
          </w:tcPr>
          <w:p w14:paraId="11E29952" w14:textId="77777777" w:rsidR="00C23F16" w:rsidRPr="004360BF" w:rsidRDefault="00C23F16" w:rsidP="00C23F16">
            <w:pPr>
              <w:spacing w:before="40" w:after="40"/>
              <w:rPr>
                <w:b/>
                <w:lang w:val="en-AU"/>
              </w:rPr>
            </w:pPr>
            <w:r w:rsidRPr="004360BF">
              <w:rPr>
                <w:b/>
                <w:lang w:val="en-AU"/>
              </w:rPr>
              <w:t>Definition</w:t>
            </w:r>
          </w:p>
        </w:tc>
      </w:tr>
      <w:tr w:rsidR="00F101A3" w:rsidRPr="004360BF" w14:paraId="295914FA" w14:textId="77777777" w:rsidTr="004D2F3A">
        <w:tc>
          <w:tcPr>
            <w:tcW w:w="0" w:type="auto"/>
            <w:shd w:val="clear" w:color="auto" w:fill="auto"/>
          </w:tcPr>
          <w:p w14:paraId="2907A4CE" w14:textId="77777777" w:rsidR="00BF1783" w:rsidRPr="004360BF" w:rsidRDefault="00BF1783" w:rsidP="00C23F16">
            <w:pPr>
              <w:spacing w:before="40" w:after="40"/>
              <w:rPr>
                <w:lang w:val="en-AU"/>
              </w:rPr>
            </w:pPr>
            <w:r w:rsidRPr="004360BF">
              <w:rPr>
                <w:lang w:val="en-AU"/>
              </w:rPr>
              <w:t>2009 Regulatory Control Period</w:t>
            </w:r>
          </w:p>
        </w:tc>
        <w:tc>
          <w:tcPr>
            <w:tcW w:w="0" w:type="auto"/>
            <w:shd w:val="clear" w:color="auto" w:fill="auto"/>
          </w:tcPr>
          <w:p w14:paraId="254A2ACF" w14:textId="77777777" w:rsidR="00BF1783" w:rsidRPr="004360BF" w:rsidRDefault="00BF1783" w:rsidP="00C23F16">
            <w:pPr>
              <w:spacing w:before="40" w:after="40"/>
              <w:rPr>
                <w:lang w:val="en-AU"/>
              </w:rPr>
            </w:pPr>
            <w:r w:rsidRPr="004360BF">
              <w:rPr>
                <w:lang w:val="en-AU"/>
              </w:rPr>
              <w:t>The regulatory period 1 July 2009 to 30 June 2014</w:t>
            </w:r>
          </w:p>
        </w:tc>
      </w:tr>
      <w:tr w:rsidR="00F101A3" w:rsidRPr="004360BF" w14:paraId="66FA4026" w14:textId="77777777" w:rsidTr="004D2F3A">
        <w:tc>
          <w:tcPr>
            <w:tcW w:w="0" w:type="auto"/>
            <w:shd w:val="clear" w:color="auto" w:fill="auto"/>
          </w:tcPr>
          <w:p w14:paraId="59868320" w14:textId="77777777" w:rsidR="00AC4029" w:rsidRPr="004360BF" w:rsidRDefault="00AC4029" w:rsidP="00F101A3">
            <w:pPr>
              <w:spacing w:before="40" w:after="40"/>
              <w:rPr>
                <w:lang w:val="en-AU"/>
              </w:rPr>
            </w:pPr>
            <w:r w:rsidRPr="004360BF">
              <w:rPr>
                <w:lang w:val="en-AU"/>
              </w:rPr>
              <w:t>2014 N</w:t>
            </w:r>
            <w:r w:rsidR="00F101A3" w:rsidRPr="004360BF">
              <w:rPr>
                <w:lang w:val="en-AU"/>
              </w:rPr>
              <w:t>PD Final Determination</w:t>
            </w:r>
          </w:p>
        </w:tc>
        <w:tc>
          <w:tcPr>
            <w:tcW w:w="0" w:type="auto"/>
            <w:shd w:val="clear" w:color="auto" w:fill="auto"/>
          </w:tcPr>
          <w:p w14:paraId="18614755" w14:textId="77777777" w:rsidR="00AC4029" w:rsidRPr="004360BF" w:rsidRDefault="00AC4029" w:rsidP="00C23F16">
            <w:pPr>
              <w:spacing w:before="40" w:after="40"/>
              <w:rPr>
                <w:lang w:val="en-AU"/>
              </w:rPr>
            </w:pPr>
            <w:r w:rsidRPr="004360BF">
              <w:rPr>
                <w:lang w:val="en-AU"/>
              </w:rPr>
              <w:t xml:space="preserve">The Commission’s </w:t>
            </w:r>
            <w:r w:rsidR="00F101A3" w:rsidRPr="004360BF">
              <w:rPr>
                <w:lang w:val="en-AU"/>
              </w:rPr>
              <w:t>F</w:t>
            </w:r>
            <w:r w:rsidRPr="004360BF">
              <w:rPr>
                <w:lang w:val="en-AU"/>
              </w:rPr>
              <w:t>inal Determination</w:t>
            </w:r>
            <w:r w:rsidR="00F101A3" w:rsidRPr="004360BF">
              <w:rPr>
                <w:lang w:val="en-AU"/>
              </w:rPr>
              <w:t xml:space="preserve"> for the 2014 Networks Price Determination</w:t>
            </w:r>
          </w:p>
        </w:tc>
      </w:tr>
      <w:tr w:rsidR="00F101A3" w:rsidRPr="004360BF" w14:paraId="5A84895A" w14:textId="77777777" w:rsidTr="004D2F3A">
        <w:tc>
          <w:tcPr>
            <w:tcW w:w="0" w:type="auto"/>
            <w:shd w:val="clear" w:color="auto" w:fill="auto"/>
          </w:tcPr>
          <w:p w14:paraId="297BDB75" w14:textId="77777777" w:rsidR="00AC4029" w:rsidRPr="004360BF" w:rsidRDefault="00AC4029" w:rsidP="00C23F16">
            <w:pPr>
              <w:spacing w:before="40" w:after="40"/>
              <w:rPr>
                <w:lang w:val="en-AU"/>
              </w:rPr>
            </w:pPr>
            <w:r w:rsidRPr="004360BF">
              <w:rPr>
                <w:lang w:val="en-AU"/>
              </w:rPr>
              <w:t>ABS</w:t>
            </w:r>
          </w:p>
        </w:tc>
        <w:tc>
          <w:tcPr>
            <w:tcW w:w="0" w:type="auto"/>
            <w:shd w:val="clear" w:color="auto" w:fill="auto"/>
          </w:tcPr>
          <w:p w14:paraId="0F9ECF54" w14:textId="77777777" w:rsidR="00AC4029" w:rsidRPr="004360BF" w:rsidRDefault="00AC4029" w:rsidP="00C23F16">
            <w:pPr>
              <w:spacing w:before="40" w:after="40"/>
              <w:rPr>
                <w:lang w:val="en-AU"/>
              </w:rPr>
            </w:pPr>
            <w:r w:rsidRPr="004360BF">
              <w:rPr>
                <w:lang w:val="en-AU"/>
              </w:rPr>
              <w:t>Australian Bureau of Statistics</w:t>
            </w:r>
          </w:p>
        </w:tc>
      </w:tr>
      <w:tr w:rsidR="00F101A3" w:rsidRPr="004360BF" w14:paraId="29F3CE05" w14:textId="77777777" w:rsidTr="004D2F3A">
        <w:tc>
          <w:tcPr>
            <w:tcW w:w="0" w:type="auto"/>
            <w:shd w:val="clear" w:color="auto" w:fill="auto"/>
          </w:tcPr>
          <w:p w14:paraId="2996389C" w14:textId="77777777" w:rsidR="00AC4029" w:rsidRPr="004360BF" w:rsidRDefault="00AC4029" w:rsidP="00C23F16">
            <w:pPr>
              <w:spacing w:before="40" w:after="40"/>
              <w:rPr>
                <w:lang w:val="en-AU"/>
              </w:rPr>
            </w:pPr>
            <w:r w:rsidRPr="004360BF">
              <w:rPr>
                <w:lang w:val="en-AU"/>
              </w:rPr>
              <w:t>AER</w:t>
            </w:r>
          </w:p>
        </w:tc>
        <w:tc>
          <w:tcPr>
            <w:tcW w:w="0" w:type="auto"/>
            <w:shd w:val="clear" w:color="auto" w:fill="auto"/>
          </w:tcPr>
          <w:p w14:paraId="03067644" w14:textId="77777777" w:rsidR="00AC4029" w:rsidRPr="004360BF" w:rsidRDefault="00AC4029" w:rsidP="00C23F16">
            <w:pPr>
              <w:spacing w:before="40" w:after="40"/>
              <w:rPr>
                <w:lang w:val="en-AU"/>
              </w:rPr>
            </w:pPr>
            <w:r w:rsidRPr="004360BF">
              <w:rPr>
                <w:lang w:val="en-AU"/>
              </w:rPr>
              <w:t>Australian Energy Regulator</w:t>
            </w:r>
          </w:p>
        </w:tc>
      </w:tr>
      <w:tr w:rsidR="00F101A3" w:rsidRPr="004360BF" w14:paraId="5819EED5" w14:textId="77777777" w:rsidTr="004D2F3A">
        <w:tc>
          <w:tcPr>
            <w:tcW w:w="0" w:type="auto"/>
            <w:shd w:val="clear" w:color="auto" w:fill="auto"/>
          </w:tcPr>
          <w:p w14:paraId="09335BF5" w14:textId="77777777" w:rsidR="00AC4029" w:rsidRPr="004360BF" w:rsidRDefault="00AC4029" w:rsidP="00C23F16">
            <w:pPr>
              <w:spacing w:before="40" w:after="40"/>
              <w:rPr>
                <w:lang w:val="en-AU"/>
              </w:rPr>
            </w:pPr>
            <w:r w:rsidRPr="004360BF">
              <w:rPr>
                <w:lang w:val="en-AU"/>
              </w:rPr>
              <w:t>Alternative Control Service</w:t>
            </w:r>
          </w:p>
        </w:tc>
        <w:tc>
          <w:tcPr>
            <w:tcW w:w="0" w:type="auto"/>
            <w:shd w:val="clear" w:color="auto" w:fill="auto"/>
          </w:tcPr>
          <w:p w14:paraId="125B6AB9" w14:textId="494AB037" w:rsidR="00AC4029" w:rsidRPr="004360BF" w:rsidRDefault="00AC4029" w:rsidP="00137BDC">
            <w:pPr>
              <w:spacing w:before="40" w:after="40"/>
              <w:rPr>
                <w:lang w:val="en-AU"/>
              </w:rPr>
            </w:pPr>
            <w:r w:rsidRPr="004360BF">
              <w:rPr>
                <w:lang w:val="en-AU"/>
              </w:rPr>
              <w:t xml:space="preserve">As defined in </w:t>
            </w:r>
            <w:r w:rsidR="00923177" w:rsidRPr="004360BF">
              <w:rPr>
                <w:lang w:val="en-AU"/>
              </w:rPr>
              <w:t xml:space="preserve">approved Network Services Classification, at Attachment </w:t>
            </w:r>
            <w:r w:rsidR="00137BDC" w:rsidRPr="004360BF">
              <w:rPr>
                <w:lang w:val="en-AU"/>
              </w:rPr>
              <w:t>1</w:t>
            </w:r>
          </w:p>
        </w:tc>
      </w:tr>
      <w:tr w:rsidR="00F101A3" w:rsidRPr="004360BF" w14:paraId="45FD3D80" w14:textId="77777777" w:rsidTr="004D2F3A">
        <w:tc>
          <w:tcPr>
            <w:tcW w:w="0" w:type="auto"/>
            <w:shd w:val="clear" w:color="auto" w:fill="auto"/>
          </w:tcPr>
          <w:p w14:paraId="75EC40FC" w14:textId="77777777" w:rsidR="00AC4029" w:rsidRPr="004360BF" w:rsidRDefault="00AC4029" w:rsidP="00C23F16">
            <w:pPr>
              <w:spacing w:before="40" w:after="40"/>
              <w:rPr>
                <w:lang w:val="en-AU"/>
              </w:rPr>
            </w:pPr>
            <w:r w:rsidRPr="004360BF">
              <w:rPr>
                <w:lang w:val="en-AU"/>
              </w:rPr>
              <w:t>Charging Parameters</w:t>
            </w:r>
          </w:p>
        </w:tc>
        <w:tc>
          <w:tcPr>
            <w:tcW w:w="0" w:type="auto"/>
            <w:shd w:val="clear" w:color="auto" w:fill="auto"/>
          </w:tcPr>
          <w:p w14:paraId="0385FB10" w14:textId="77777777" w:rsidR="00AC4029" w:rsidRPr="004360BF" w:rsidRDefault="00AC4029" w:rsidP="00C23F16">
            <w:pPr>
              <w:spacing w:before="40" w:after="40"/>
              <w:rPr>
                <w:lang w:val="en-AU"/>
              </w:rPr>
            </w:pPr>
            <w:r w:rsidRPr="004360BF">
              <w:rPr>
                <w:lang w:val="en-AU"/>
              </w:rPr>
              <w:t>As defined in Chapter 10 of the Rules</w:t>
            </w:r>
          </w:p>
        </w:tc>
      </w:tr>
      <w:tr w:rsidR="00F101A3" w:rsidRPr="004360BF" w14:paraId="46AA57D9" w14:textId="77777777" w:rsidTr="004D2F3A">
        <w:tc>
          <w:tcPr>
            <w:tcW w:w="0" w:type="auto"/>
            <w:shd w:val="clear" w:color="auto" w:fill="auto"/>
          </w:tcPr>
          <w:p w14:paraId="1F2D232E" w14:textId="77777777" w:rsidR="00AC4029" w:rsidRPr="004360BF" w:rsidRDefault="00AC4029" w:rsidP="00C23F16">
            <w:pPr>
              <w:spacing w:before="40" w:after="40"/>
              <w:rPr>
                <w:lang w:val="en-AU"/>
              </w:rPr>
            </w:pPr>
            <w:r w:rsidRPr="004360BF">
              <w:rPr>
                <w:lang w:val="en-AU"/>
              </w:rPr>
              <w:t>Commission</w:t>
            </w:r>
          </w:p>
        </w:tc>
        <w:tc>
          <w:tcPr>
            <w:tcW w:w="0" w:type="auto"/>
            <w:shd w:val="clear" w:color="auto" w:fill="auto"/>
          </w:tcPr>
          <w:p w14:paraId="21AB60B9" w14:textId="77777777" w:rsidR="00AC4029" w:rsidRPr="004360BF" w:rsidRDefault="00AC4029" w:rsidP="00C23F16">
            <w:pPr>
              <w:spacing w:before="40" w:after="40"/>
              <w:rPr>
                <w:lang w:val="en-AU"/>
              </w:rPr>
            </w:pPr>
            <w:r w:rsidRPr="004360BF">
              <w:rPr>
                <w:lang w:val="en-AU"/>
              </w:rPr>
              <w:t>The Utilities Commission</w:t>
            </w:r>
          </w:p>
        </w:tc>
      </w:tr>
      <w:tr w:rsidR="00F101A3" w:rsidRPr="004360BF" w14:paraId="1711213C" w14:textId="77777777" w:rsidTr="004D2F3A">
        <w:tc>
          <w:tcPr>
            <w:tcW w:w="0" w:type="auto"/>
            <w:shd w:val="clear" w:color="auto" w:fill="auto"/>
          </w:tcPr>
          <w:p w14:paraId="0FF8F3FB" w14:textId="77777777" w:rsidR="00AC4029" w:rsidRPr="004360BF" w:rsidRDefault="00AC4029" w:rsidP="00C23F16">
            <w:pPr>
              <w:spacing w:before="40" w:after="40"/>
              <w:rPr>
                <w:lang w:val="en-AU"/>
              </w:rPr>
            </w:pPr>
            <w:r w:rsidRPr="004360BF">
              <w:rPr>
                <w:lang w:val="en-AU"/>
              </w:rPr>
              <w:t>Connection</w:t>
            </w:r>
          </w:p>
        </w:tc>
        <w:tc>
          <w:tcPr>
            <w:tcW w:w="0" w:type="auto"/>
            <w:shd w:val="clear" w:color="auto" w:fill="auto"/>
          </w:tcPr>
          <w:p w14:paraId="5CB496FC" w14:textId="77777777" w:rsidR="00AC4029" w:rsidRPr="004360BF" w:rsidRDefault="00AC4029" w:rsidP="00923177">
            <w:pPr>
              <w:spacing w:before="40" w:after="40"/>
              <w:rPr>
                <w:lang w:val="en-AU"/>
              </w:rPr>
            </w:pPr>
            <w:r w:rsidRPr="004360BF">
              <w:rPr>
                <w:lang w:val="en-AU"/>
              </w:rPr>
              <w:t xml:space="preserve">As defined in </w:t>
            </w:r>
            <w:r w:rsidR="00923177" w:rsidRPr="004360BF">
              <w:rPr>
                <w:lang w:val="en-AU"/>
              </w:rPr>
              <w:t>the Electricity Networks (Third Party Access) Code</w:t>
            </w:r>
          </w:p>
        </w:tc>
      </w:tr>
      <w:tr w:rsidR="00F101A3" w:rsidRPr="004360BF" w14:paraId="5EC18C59" w14:textId="77777777" w:rsidTr="004D2F3A">
        <w:tc>
          <w:tcPr>
            <w:tcW w:w="0" w:type="auto"/>
            <w:shd w:val="clear" w:color="auto" w:fill="auto"/>
          </w:tcPr>
          <w:p w14:paraId="0734AC8E" w14:textId="77777777" w:rsidR="00AC4029" w:rsidRPr="004360BF" w:rsidRDefault="00AC4029" w:rsidP="00C23F16">
            <w:pPr>
              <w:spacing w:before="40" w:after="40"/>
              <w:rPr>
                <w:lang w:val="en-AU"/>
              </w:rPr>
            </w:pPr>
            <w:r w:rsidRPr="004360BF">
              <w:rPr>
                <w:lang w:val="en-AU"/>
              </w:rPr>
              <w:t>Connection Point</w:t>
            </w:r>
          </w:p>
        </w:tc>
        <w:tc>
          <w:tcPr>
            <w:tcW w:w="0" w:type="auto"/>
            <w:shd w:val="clear" w:color="auto" w:fill="auto"/>
          </w:tcPr>
          <w:p w14:paraId="0ACC6814" w14:textId="77777777" w:rsidR="00AC4029" w:rsidRPr="004360BF" w:rsidRDefault="00AC4029" w:rsidP="00C23F16">
            <w:pPr>
              <w:spacing w:before="40" w:after="40"/>
              <w:rPr>
                <w:lang w:val="en-AU"/>
              </w:rPr>
            </w:pPr>
            <w:r w:rsidRPr="004360BF">
              <w:rPr>
                <w:lang w:val="en-AU"/>
              </w:rPr>
              <w:t xml:space="preserve">As defined in </w:t>
            </w:r>
            <w:r w:rsidR="00923177" w:rsidRPr="004360BF">
              <w:rPr>
                <w:lang w:val="en-AU"/>
              </w:rPr>
              <w:t>the Electricity Networks (Third Party Access) Code</w:t>
            </w:r>
          </w:p>
        </w:tc>
      </w:tr>
      <w:tr w:rsidR="00F101A3" w:rsidRPr="004360BF" w14:paraId="7180B0F5" w14:textId="77777777" w:rsidTr="004D2F3A">
        <w:tc>
          <w:tcPr>
            <w:tcW w:w="0" w:type="auto"/>
            <w:shd w:val="clear" w:color="auto" w:fill="auto"/>
          </w:tcPr>
          <w:p w14:paraId="42321E4E" w14:textId="77777777" w:rsidR="00AC4029" w:rsidRPr="004360BF" w:rsidRDefault="00AC4029" w:rsidP="00C23F16">
            <w:pPr>
              <w:spacing w:before="40" w:after="40"/>
              <w:rPr>
                <w:lang w:val="en-AU"/>
              </w:rPr>
            </w:pPr>
            <w:r w:rsidRPr="004360BF">
              <w:rPr>
                <w:lang w:val="en-AU"/>
              </w:rPr>
              <w:t>CPI</w:t>
            </w:r>
          </w:p>
        </w:tc>
        <w:tc>
          <w:tcPr>
            <w:tcW w:w="0" w:type="auto"/>
            <w:shd w:val="clear" w:color="auto" w:fill="auto"/>
          </w:tcPr>
          <w:p w14:paraId="17C1665D" w14:textId="77777777" w:rsidR="00AC4029" w:rsidRPr="004360BF" w:rsidRDefault="00AC4029" w:rsidP="00C23F16">
            <w:pPr>
              <w:spacing w:before="40" w:after="40"/>
              <w:rPr>
                <w:lang w:val="en-AU"/>
              </w:rPr>
            </w:pPr>
            <w:r w:rsidRPr="004360BF">
              <w:rPr>
                <w:lang w:val="en-AU"/>
              </w:rPr>
              <w:t>Consumer Price Index</w:t>
            </w:r>
          </w:p>
        </w:tc>
      </w:tr>
      <w:tr w:rsidR="00F101A3" w:rsidRPr="004360BF" w14:paraId="493A88EA" w14:textId="77777777" w:rsidTr="004D2F3A">
        <w:tc>
          <w:tcPr>
            <w:tcW w:w="0" w:type="auto"/>
            <w:shd w:val="clear" w:color="auto" w:fill="auto"/>
          </w:tcPr>
          <w:p w14:paraId="7111A987" w14:textId="77777777" w:rsidR="00AC4029" w:rsidRPr="004360BF" w:rsidRDefault="00AC4029" w:rsidP="00C23F16">
            <w:pPr>
              <w:spacing w:before="40" w:after="40"/>
              <w:rPr>
                <w:lang w:val="en-AU"/>
              </w:rPr>
            </w:pPr>
            <w:r w:rsidRPr="004360BF">
              <w:rPr>
                <w:lang w:val="en-AU"/>
              </w:rPr>
              <w:t>Customer</w:t>
            </w:r>
          </w:p>
        </w:tc>
        <w:tc>
          <w:tcPr>
            <w:tcW w:w="0" w:type="auto"/>
            <w:shd w:val="clear" w:color="auto" w:fill="auto"/>
          </w:tcPr>
          <w:p w14:paraId="4DA18A11" w14:textId="77777777" w:rsidR="00AC4029" w:rsidRPr="004360BF" w:rsidRDefault="00AC4029" w:rsidP="00C23F16">
            <w:pPr>
              <w:spacing w:before="40" w:after="40"/>
              <w:rPr>
                <w:lang w:val="en-AU"/>
              </w:rPr>
            </w:pPr>
            <w:r w:rsidRPr="004360BF">
              <w:rPr>
                <w:lang w:val="en-AU"/>
              </w:rPr>
              <w:t>Network User (terms are used interchangeably)</w:t>
            </w:r>
          </w:p>
        </w:tc>
      </w:tr>
      <w:tr w:rsidR="00F101A3" w:rsidRPr="004360BF" w14:paraId="7174C61C" w14:textId="77777777" w:rsidTr="004D2F3A">
        <w:tc>
          <w:tcPr>
            <w:tcW w:w="0" w:type="auto"/>
            <w:shd w:val="clear" w:color="auto" w:fill="auto"/>
          </w:tcPr>
          <w:p w14:paraId="65A35192" w14:textId="77777777" w:rsidR="00AC4029" w:rsidRPr="004360BF" w:rsidRDefault="00AC4029" w:rsidP="00C23F16">
            <w:pPr>
              <w:spacing w:before="40" w:after="40"/>
              <w:rPr>
                <w:lang w:val="en-AU"/>
              </w:rPr>
            </w:pPr>
            <w:r w:rsidRPr="004360BF">
              <w:rPr>
                <w:lang w:val="en-AU"/>
              </w:rPr>
              <w:t>Direct Control Services</w:t>
            </w:r>
          </w:p>
        </w:tc>
        <w:tc>
          <w:tcPr>
            <w:tcW w:w="0" w:type="auto"/>
            <w:shd w:val="clear" w:color="auto" w:fill="auto"/>
          </w:tcPr>
          <w:p w14:paraId="457D42B4" w14:textId="710D144F" w:rsidR="00AC4029" w:rsidRPr="004360BF" w:rsidRDefault="00923177" w:rsidP="00C23F16">
            <w:pPr>
              <w:spacing w:before="40" w:after="40"/>
              <w:rPr>
                <w:lang w:val="en-AU"/>
              </w:rPr>
            </w:pPr>
            <w:r w:rsidRPr="004360BF">
              <w:rPr>
                <w:lang w:val="en-AU"/>
              </w:rPr>
              <w:t>As defined in approved Network Services</w:t>
            </w:r>
            <w:r w:rsidR="00137BDC" w:rsidRPr="004360BF">
              <w:rPr>
                <w:lang w:val="en-AU"/>
              </w:rPr>
              <w:t xml:space="preserve"> Classification, at Attachment 1</w:t>
            </w:r>
          </w:p>
        </w:tc>
      </w:tr>
      <w:tr w:rsidR="00F101A3" w:rsidRPr="004360BF" w14:paraId="001D725D" w14:textId="77777777" w:rsidTr="004D2F3A">
        <w:tc>
          <w:tcPr>
            <w:tcW w:w="0" w:type="auto"/>
            <w:shd w:val="clear" w:color="auto" w:fill="auto"/>
          </w:tcPr>
          <w:p w14:paraId="27E10E65" w14:textId="77777777" w:rsidR="00AC4029" w:rsidRPr="004360BF" w:rsidRDefault="00AC4029" w:rsidP="00C23F16">
            <w:pPr>
              <w:spacing w:before="40" w:after="40"/>
              <w:rPr>
                <w:lang w:val="en-AU"/>
              </w:rPr>
            </w:pPr>
            <w:r w:rsidRPr="004360BF">
              <w:rPr>
                <w:lang w:val="en-AU"/>
              </w:rPr>
              <w:t>HV</w:t>
            </w:r>
          </w:p>
        </w:tc>
        <w:tc>
          <w:tcPr>
            <w:tcW w:w="0" w:type="auto"/>
            <w:shd w:val="clear" w:color="auto" w:fill="auto"/>
          </w:tcPr>
          <w:p w14:paraId="7FF1F3A8" w14:textId="77777777" w:rsidR="00AC4029" w:rsidRPr="004360BF" w:rsidRDefault="00AC4029" w:rsidP="00F101A3">
            <w:pPr>
              <w:spacing w:before="40" w:after="40"/>
              <w:rPr>
                <w:lang w:val="en-AU"/>
              </w:rPr>
            </w:pPr>
            <w:r w:rsidRPr="004360BF">
              <w:rPr>
                <w:lang w:val="en-AU"/>
              </w:rPr>
              <w:t xml:space="preserve">High </w:t>
            </w:r>
            <w:r w:rsidR="00F101A3" w:rsidRPr="004360BF">
              <w:rPr>
                <w:lang w:val="en-AU"/>
              </w:rPr>
              <w:t>v</w:t>
            </w:r>
            <w:r w:rsidRPr="004360BF">
              <w:rPr>
                <w:lang w:val="en-AU"/>
              </w:rPr>
              <w:t>oltage (a nominal voltage level of 11,000 volts</w:t>
            </w:r>
            <w:r w:rsidR="00F101A3" w:rsidRPr="004360BF">
              <w:rPr>
                <w:lang w:val="en-AU"/>
              </w:rPr>
              <w:t xml:space="preserve"> or 22,000 volts</w:t>
            </w:r>
            <w:r w:rsidRPr="004360BF">
              <w:rPr>
                <w:lang w:val="en-AU"/>
              </w:rPr>
              <w:t>)</w:t>
            </w:r>
          </w:p>
        </w:tc>
      </w:tr>
      <w:tr w:rsidR="00F101A3" w:rsidRPr="004360BF" w14:paraId="011C6DDC" w14:textId="77777777" w:rsidTr="004D2F3A">
        <w:tc>
          <w:tcPr>
            <w:tcW w:w="0" w:type="auto"/>
            <w:shd w:val="clear" w:color="auto" w:fill="auto"/>
          </w:tcPr>
          <w:p w14:paraId="04B916DB" w14:textId="77777777" w:rsidR="00AC4029" w:rsidRPr="004360BF" w:rsidRDefault="00AC4029" w:rsidP="00C23F16">
            <w:pPr>
              <w:spacing w:before="40" w:after="40"/>
              <w:rPr>
                <w:lang w:val="en-AU"/>
              </w:rPr>
            </w:pPr>
            <w:r w:rsidRPr="004360BF">
              <w:rPr>
                <w:lang w:val="en-AU"/>
              </w:rPr>
              <w:t>kV</w:t>
            </w:r>
          </w:p>
        </w:tc>
        <w:tc>
          <w:tcPr>
            <w:tcW w:w="0" w:type="auto"/>
            <w:shd w:val="clear" w:color="auto" w:fill="auto"/>
          </w:tcPr>
          <w:p w14:paraId="4BAE8476" w14:textId="77777777" w:rsidR="00AC4029" w:rsidRPr="004360BF" w:rsidRDefault="00AC4029" w:rsidP="00C23F16">
            <w:pPr>
              <w:spacing w:before="40" w:after="40"/>
              <w:rPr>
                <w:lang w:val="en-AU"/>
              </w:rPr>
            </w:pPr>
            <w:r w:rsidRPr="004360BF">
              <w:rPr>
                <w:lang w:val="en-AU"/>
              </w:rPr>
              <w:t>Kilovolt, a unit of electrical voltage.</w:t>
            </w:r>
          </w:p>
        </w:tc>
      </w:tr>
      <w:tr w:rsidR="00F101A3" w:rsidRPr="004360BF" w14:paraId="4CF295BE" w14:textId="77777777" w:rsidTr="004D2F3A">
        <w:tc>
          <w:tcPr>
            <w:tcW w:w="0" w:type="auto"/>
            <w:shd w:val="clear" w:color="auto" w:fill="auto"/>
          </w:tcPr>
          <w:p w14:paraId="3AAF4D17" w14:textId="77777777" w:rsidR="00AC4029" w:rsidRPr="004360BF" w:rsidRDefault="00AC4029" w:rsidP="00C23F16">
            <w:pPr>
              <w:spacing w:before="40" w:after="40"/>
              <w:rPr>
                <w:lang w:val="en-AU"/>
              </w:rPr>
            </w:pPr>
            <w:r w:rsidRPr="004360BF">
              <w:rPr>
                <w:lang w:val="en-AU"/>
              </w:rPr>
              <w:t>LV</w:t>
            </w:r>
          </w:p>
        </w:tc>
        <w:tc>
          <w:tcPr>
            <w:tcW w:w="0" w:type="auto"/>
            <w:shd w:val="clear" w:color="auto" w:fill="auto"/>
          </w:tcPr>
          <w:p w14:paraId="722D3FB9" w14:textId="77777777" w:rsidR="00AC4029" w:rsidRPr="004360BF" w:rsidRDefault="00AC4029" w:rsidP="00AC4029">
            <w:pPr>
              <w:spacing w:before="40" w:after="40"/>
              <w:rPr>
                <w:lang w:val="en-AU"/>
              </w:rPr>
            </w:pPr>
            <w:r w:rsidRPr="004360BF">
              <w:rPr>
                <w:lang w:val="en-AU"/>
              </w:rPr>
              <w:t xml:space="preserve">Low </w:t>
            </w:r>
            <w:r w:rsidR="00F101A3" w:rsidRPr="004360BF">
              <w:rPr>
                <w:lang w:val="en-AU"/>
              </w:rPr>
              <w:t>v</w:t>
            </w:r>
            <w:r w:rsidRPr="004360BF">
              <w:rPr>
                <w:lang w:val="en-AU"/>
              </w:rPr>
              <w:t>oltage (a nominal voltage level of 230/400 volts)</w:t>
            </w:r>
          </w:p>
        </w:tc>
      </w:tr>
      <w:tr w:rsidR="00F101A3" w:rsidRPr="004360BF" w14:paraId="6EAC4362" w14:textId="77777777" w:rsidTr="004D2F3A">
        <w:tc>
          <w:tcPr>
            <w:tcW w:w="0" w:type="auto"/>
            <w:shd w:val="clear" w:color="auto" w:fill="auto"/>
          </w:tcPr>
          <w:p w14:paraId="1167657B" w14:textId="77777777" w:rsidR="00AC4029" w:rsidRPr="004360BF" w:rsidRDefault="00AC4029" w:rsidP="00C23F16">
            <w:pPr>
              <w:spacing w:before="40" w:after="40"/>
              <w:rPr>
                <w:lang w:val="en-AU"/>
              </w:rPr>
            </w:pPr>
            <w:r w:rsidRPr="004360BF">
              <w:rPr>
                <w:lang w:val="en-AU"/>
              </w:rPr>
              <w:t>Network User</w:t>
            </w:r>
          </w:p>
        </w:tc>
        <w:tc>
          <w:tcPr>
            <w:tcW w:w="0" w:type="auto"/>
            <w:shd w:val="clear" w:color="auto" w:fill="auto"/>
          </w:tcPr>
          <w:p w14:paraId="46ACCFCA" w14:textId="77777777" w:rsidR="00AC4029" w:rsidRPr="004360BF" w:rsidRDefault="00AC4029" w:rsidP="00C23F16">
            <w:pPr>
              <w:spacing w:before="40" w:after="40"/>
              <w:rPr>
                <w:lang w:val="en-AU"/>
              </w:rPr>
            </w:pPr>
            <w:r w:rsidRPr="004360BF">
              <w:rPr>
                <w:lang w:val="en-AU"/>
              </w:rPr>
              <w:t>As defined in the Electricity Networks (Third Party Access) Code</w:t>
            </w:r>
          </w:p>
        </w:tc>
      </w:tr>
      <w:tr w:rsidR="00F101A3" w:rsidRPr="004360BF" w14:paraId="03BC5692" w14:textId="77777777" w:rsidTr="004D2F3A">
        <w:tc>
          <w:tcPr>
            <w:tcW w:w="0" w:type="auto"/>
            <w:shd w:val="clear" w:color="auto" w:fill="auto"/>
          </w:tcPr>
          <w:p w14:paraId="61A1FFFC" w14:textId="77777777" w:rsidR="00AC4029" w:rsidRPr="004360BF" w:rsidRDefault="00AC4029" w:rsidP="00C23F16">
            <w:pPr>
              <w:spacing w:before="40" w:after="40"/>
              <w:rPr>
                <w:lang w:val="en-AU"/>
              </w:rPr>
            </w:pPr>
            <w:r w:rsidRPr="004360BF">
              <w:rPr>
                <w:lang w:val="en-AU"/>
              </w:rPr>
              <w:t>Pricing Proposal</w:t>
            </w:r>
            <w:r w:rsidR="00F101A3" w:rsidRPr="004360BF">
              <w:rPr>
                <w:lang w:val="en-AU"/>
              </w:rPr>
              <w:t>/ Network Pricing Proposal</w:t>
            </w:r>
          </w:p>
        </w:tc>
        <w:tc>
          <w:tcPr>
            <w:tcW w:w="0" w:type="auto"/>
            <w:shd w:val="clear" w:color="auto" w:fill="auto"/>
          </w:tcPr>
          <w:p w14:paraId="1EE64A47" w14:textId="77777777" w:rsidR="00AC4029" w:rsidRPr="004360BF" w:rsidRDefault="00AC4029" w:rsidP="00F101A3">
            <w:pPr>
              <w:spacing w:before="40" w:after="40"/>
              <w:rPr>
                <w:lang w:val="en-AU"/>
              </w:rPr>
            </w:pPr>
            <w:r w:rsidRPr="004360BF">
              <w:rPr>
                <w:lang w:val="en-AU"/>
              </w:rPr>
              <w:t xml:space="preserve">As defined in </w:t>
            </w:r>
            <w:r w:rsidR="00F101A3" w:rsidRPr="004360BF">
              <w:rPr>
                <w:lang w:val="en-AU"/>
              </w:rPr>
              <w:t>clause 16 of the Regulatory Information Notice</w:t>
            </w:r>
          </w:p>
        </w:tc>
      </w:tr>
      <w:tr w:rsidR="00F101A3" w:rsidRPr="004360BF" w14:paraId="6F05C13A" w14:textId="77777777" w:rsidTr="004D2F3A">
        <w:tc>
          <w:tcPr>
            <w:tcW w:w="0" w:type="auto"/>
            <w:shd w:val="clear" w:color="auto" w:fill="auto"/>
          </w:tcPr>
          <w:p w14:paraId="6B51CB2B" w14:textId="77777777" w:rsidR="00AC4029" w:rsidRPr="004360BF" w:rsidRDefault="00AC4029" w:rsidP="00C23F16">
            <w:pPr>
              <w:spacing w:before="40" w:after="40"/>
              <w:rPr>
                <w:lang w:val="en-AU"/>
              </w:rPr>
            </w:pPr>
            <w:r w:rsidRPr="004360BF">
              <w:rPr>
                <w:lang w:val="en-AU"/>
              </w:rPr>
              <w:t>Previous Regulatory Control Period</w:t>
            </w:r>
          </w:p>
        </w:tc>
        <w:tc>
          <w:tcPr>
            <w:tcW w:w="0" w:type="auto"/>
            <w:shd w:val="clear" w:color="auto" w:fill="auto"/>
          </w:tcPr>
          <w:p w14:paraId="3BEC304D" w14:textId="77777777" w:rsidR="00AC4029" w:rsidRPr="004360BF" w:rsidRDefault="00AC4029" w:rsidP="00C23F16">
            <w:pPr>
              <w:spacing w:before="40" w:after="40"/>
              <w:rPr>
                <w:lang w:val="en-AU"/>
              </w:rPr>
            </w:pPr>
            <w:r w:rsidRPr="004360BF">
              <w:rPr>
                <w:lang w:val="en-AU"/>
              </w:rPr>
              <w:t>The regulatory period 1 July 2004 to 30 June 2009</w:t>
            </w:r>
          </w:p>
        </w:tc>
      </w:tr>
      <w:tr w:rsidR="00F101A3" w:rsidRPr="004360BF" w14:paraId="314CEC1E" w14:textId="77777777" w:rsidTr="004D2F3A">
        <w:tc>
          <w:tcPr>
            <w:tcW w:w="0" w:type="auto"/>
            <w:shd w:val="clear" w:color="auto" w:fill="auto"/>
          </w:tcPr>
          <w:p w14:paraId="4AD2C44F" w14:textId="77777777" w:rsidR="00AC4029" w:rsidRPr="004360BF" w:rsidRDefault="00AC4029" w:rsidP="00C23F16">
            <w:pPr>
              <w:spacing w:before="40" w:after="40"/>
              <w:rPr>
                <w:lang w:val="en-AU"/>
              </w:rPr>
            </w:pPr>
            <w:r w:rsidRPr="004360BF">
              <w:rPr>
                <w:lang w:val="en-AU"/>
              </w:rPr>
              <w:t>RIN</w:t>
            </w:r>
          </w:p>
        </w:tc>
        <w:tc>
          <w:tcPr>
            <w:tcW w:w="0" w:type="auto"/>
            <w:shd w:val="clear" w:color="auto" w:fill="auto"/>
          </w:tcPr>
          <w:p w14:paraId="12C1D674" w14:textId="77777777" w:rsidR="00AC4029" w:rsidRPr="004360BF" w:rsidRDefault="00AC4029" w:rsidP="00C23F16">
            <w:pPr>
              <w:spacing w:before="40" w:after="40"/>
              <w:rPr>
                <w:lang w:val="en-AU"/>
              </w:rPr>
            </w:pPr>
            <w:r w:rsidRPr="004360BF">
              <w:rPr>
                <w:lang w:val="en-AU"/>
              </w:rPr>
              <w:t>Regulatory Information Notice</w:t>
            </w:r>
            <w:r w:rsidR="00F101A3" w:rsidRPr="004360BF">
              <w:rPr>
                <w:lang w:val="en-AU"/>
              </w:rPr>
              <w:t>, as issued by the Utilities Commission by Power</w:t>
            </w:r>
            <w:r w:rsidR="00110030" w:rsidRPr="004360BF">
              <w:rPr>
                <w:lang w:val="en-AU"/>
              </w:rPr>
              <w:t xml:space="preserve"> and Water Corporation in April </w:t>
            </w:r>
            <w:r w:rsidR="00F101A3" w:rsidRPr="004360BF">
              <w:rPr>
                <w:lang w:val="en-AU"/>
              </w:rPr>
              <w:t xml:space="preserve">2013. </w:t>
            </w:r>
          </w:p>
        </w:tc>
      </w:tr>
      <w:tr w:rsidR="00F101A3" w:rsidRPr="004360BF" w14:paraId="5BB53FFD" w14:textId="77777777" w:rsidTr="004D2F3A">
        <w:tc>
          <w:tcPr>
            <w:tcW w:w="0" w:type="auto"/>
            <w:shd w:val="clear" w:color="auto" w:fill="auto"/>
          </w:tcPr>
          <w:p w14:paraId="6F0B1BC7" w14:textId="77777777" w:rsidR="00AC4029" w:rsidRPr="004360BF" w:rsidRDefault="00AC4029" w:rsidP="00C23F16">
            <w:pPr>
              <w:spacing w:before="40" w:after="40"/>
              <w:rPr>
                <w:lang w:val="en-AU"/>
              </w:rPr>
            </w:pPr>
            <w:r w:rsidRPr="004360BF">
              <w:rPr>
                <w:lang w:val="en-AU"/>
              </w:rPr>
              <w:t>Rules</w:t>
            </w:r>
          </w:p>
        </w:tc>
        <w:tc>
          <w:tcPr>
            <w:tcW w:w="0" w:type="auto"/>
            <w:shd w:val="clear" w:color="auto" w:fill="auto"/>
          </w:tcPr>
          <w:p w14:paraId="18359C2E" w14:textId="77777777" w:rsidR="00AC4029" w:rsidRPr="004360BF" w:rsidRDefault="00AC4029" w:rsidP="00C23F16">
            <w:pPr>
              <w:spacing w:before="40" w:after="40"/>
              <w:rPr>
                <w:lang w:val="en-AU"/>
              </w:rPr>
            </w:pPr>
            <w:r w:rsidRPr="004360BF">
              <w:rPr>
                <w:lang w:val="en-AU"/>
              </w:rPr>
              <w:t>National Electricity Rules</w:t>
            </w:r>
          </w:p>
        </w:tc>
      </w:tr>
      <w:tr w:rsidR="00F101A3" w:rsidRPr="004360BF" w14:paraId="78DB852E" w14:textId="77777777" w:rsidTr="004D2F3A">
        <w:tc>
          <w:tcPr>
            <w:tcW w:w="0" w:type="auto"/>
            <w:shd w:val="clear" w:color="auto" w:fill="auto"/>
          </w:tcPr>
          <w:p w14:paraId="5364BE5A" w14:textId="77777777" w:rsidR="00AC4029" w:rsidRPr="004360BF" w:rsidRDefault="00AC4029" w:rsidP="00C23F16">
            <w:pPr>
              <w:spacing w:before="40" w:after="40"/>
              <w:rPr>
                <w:lang w:val="en-AU"/>
              </w:rPr>
            </w:pPr>
            <w:r w:rsidRPr="004360BF">
              <w:rPr>
                <w:lang w:val="en-AU"/>
              </w:rPr>
              <w:t>Standard Control Services</w:t>
            </w:r>
          </w:p>
        </w:tc>
        <w:tc>
          <w:tcPr>
            <w:tcW w:w="0" w:type="auto"/>
            <w:shd w:val="clear" w:color="auto" w:fill="auto"/>
          </w:tcPr>
          <w:p w14:paraId="5AE75CAF" w14:textId="1A1E29CC" w:rsidR="00AC4029" w:rsidRPr="004360BF" w:rsidRDefault="00923177" w:rsidP="00C23F16">
            <w:pPr>
              <w:spacing w:before="40" w:after="40"/>
              <w:rPr>
                <w:lang w:val="en-AU"/>
              </w:rPr>
            </w:pPr>
            <w:r w:rsidRPr="004360BF">
              <w:rPr>
                <w:lang w:val="en-AU"/>
              </w:rPr>
              <w:t>As defined in approved Network Services</w:t>
            </w:r>
            <w:r w:rsidR="00137BDC" w:rsidRPr="004360BF">
              <w:rPr>
                <w:lang w:val="en-AU"/>
              </w:rPr>
              <w:t xml:space="preserve"> Classification, at Attachment 1</w:t>
            </w:r>
          </w:p>
        </w:tc>
      </w:tr>
      <w:tr w:rsidR="00F101A3" w:rsidRPr="004360BF" w14:paraId="28568828" w14:textId="77777777" w:rsidTr="004D2F3A">
        <w:tc>
          <w:tcPr>
            <w:tcW w:w="0" w:type="auto"/>
            <w:shd w:val="clear" w:color="auto" w:fill="auto"/>
          </w:tcPr>
          <w:p w14:paraId="18912D39" w14:textId="77777777" w:rsidR="00AC4029" w:rsidRPr="004360BF" w:rsidRDefault="00AC4029" w:rsidP="00C23F16">
            <w:pPr>
              <w:spacing w:before="40" w:after="40"/>
              <w:rPr>
                <w:lang w:val="en-AU"/>
              </w:rPr>
            </w:pPr>
            <w:r w:rsidRPr="004360BF">
              <w:rPr>
                <w:lang w:val="en-AU"/>
              </w:rPr>
              <w:t>ToU</w:t>
            </w:r>
          </w:p>
        </w:tc>
        <w:tc>
          <w:tcPr>
            <w:tcW w:w="0" w:type="auto"/>
            <w:shd w:val="clear" w:color="auto" w:fill="auto"/>
          </w:tcPr>
          <w:p w14:paraId="1480B2C2" w14:textId="77777777" w:rsidR="00AC4029" w:rsidRPr="004360BF" w:rsidRDefault="00AC4029" w:rsidP="00C23F16">
            <w:pPr>
              <w:spacing w:before="40" w:after="40"/>
              <w:rPr>
                <w:lang w:val="en-AU"/>
              </w:rPr>
            </w:pPr>
            <w:r w:rsidRPr="004360BF">
              <w:rPr>
                <w:lang w:val="en-AU"/>
              </w:rPr>
              <w:t>Time of Use, a system of pricing where the usage rate varies with the time of day</w:t>
            </w:r>
            <w:r w:rsidR="00E903B7" w:rsidRPr="004360BF">
              <w:rPr>
                <w:lang w:val="en-AU"/>
              </w:rPr>
              <w:t xml:space="preserve"> </w:t>
            </w:r>
          </w:p>
        </w:tc>
      </w:tr>
      <w:tr w:rsidR="00F101A3" w:rsidRPr="004360BF" w14:paraId="06B93CDD" w14:textId="77777777" w:rsidTr="004D2F3A">
        <w:tc>
          <w:tcPr>
            <w:tcW w:w="0" w:type="auto"/>
            <w:shd w:val="clear" w:color="auto" w:fill="auto"/>
          </w:tcPr>
          <w:p w14:paraId="1AB22B8B" w14:textId="77777777" w:rsidR="00AC4029" w:rsidRPr="004360BF" w:rsidRDefault="00AC4029" w:rsidP="00C23F16">
            <w:pPr>
              <w:spacing w:before="40" w:after="40"/>
              <w:rPr>
                <w:lang w:val="en-AU"/>
              </w:rPr>
            </w:pPr>
            <w:r w:rsidRPr="004360BF">
              <w:rPr>
                <w:lang w:val="en-AU"/>
              </w:rPr>
              <w:t xml:space="preserve">TPA Code </w:t>
            </w:r>
          </w:p>
        </w:tc>
        <w:tc>
          <w:tcPr>
            <w:tcW w:w="0" w:type="auto"/>
            <w:shd w:val="clear" w:color="auto" w:fill="auto"/>
          </w:tcPr>
          <w:p w14:paraId="403D3223" w14:textId="77777777" w:rsidR="00AC4029" w:rsidRPr="004360BF" w:rsidRDefault="00AC4029" w:rsidP="00C23F16">
            <w:pPr>
              <w:spacing w:before="40" w:after="40"/>
              <w:rPr>
                <w:lang w:val="en-AU"/>
              </w:rPr>
            </w:pPr>
            <w:r w:rsidRPr="004360BF">
              <w:rPr>
                <w:lang w:val="en-AU"/>
              </w:rPr>
              <w:t xml:space="preserve">Electricity Networks </w:t>
            </w:r>
            <w:r w:rsidR="00754089" w:rsidRPr="004360BF">
              <w:rPr>
                <w:lang w:val="en-AU"/>
              </w:rPr>
              <w:t>(</w:t>
            </w:r>
            <w:r w:rsidRPr="004360BF">
              <w:rPr>
                <w:lang w:val="en-AU"/>
              </w:rPr>
              <w:t>Third Party Access</w:t>
            </w:r>
            <w:r w:rsidR="00754089" w:rsidRPr="004360BF">
              <w:rPr>
                <w:lang w:val="en-AU"/>
              </w:rPr>
              <w:t>)</w:t>
            </w:r>
            <w:r w:rsidRPr="004360BF">
              <w:rPr>
                <w:lang w:val="en-AU"/>
              </w:rPr>
              <w:t xml:space="preserve"> Code</w:t>
            </w:r>
          </w:p>
        </w:tc>
      </w:tr>
    </w:tbl>
    <w:p w14:paraId="0B609D17" w14:textId="77777777" w:rsidR="000F5097" w:rsidRPr="004360BF" w:rsidRDefault="000F5097" w:rsidP="00F101A3">
      <w:pPr>
        <w:tabs>
          <w:tab w:val="left" w:pos="710"/>
        </w:tabs>
        <w:jc w:val="both"/>
        <w:rPr>
          <w:rFonts w:cs="Tahoma"/>
          <w:lang w:val="en-AU"/>
        </w:rPr>
      </w:pPr>
    </w:p>
    <w:sectPr w:rsidR="000F5097" w:rsidRPr="004360BF" w:rsidSect="00B87B8D">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0E61C" w14:textId="77777777" w:rsidR="008D3215" w:rsidRDefault="008D3215" w:rsidP="00B05B2A">
      <w:pPr>
        <w:spacing w:after="0"/>
      </w:pPr>
      <w:r>
        <w:separator/>
      </w:r>
    </w:p>
  </w:endnote>
  <w:endnote w:type="continuationSeparator" w:id="0">
    <w:p w14:paraId="2B3189D5" w14:textId="77777777" w:rsidR="008D3215" w:rsidRDefault="008D3215" w:rsidP="00B05B2A">
      <w:pPr>
        <w:spacing w:after="0"/>
      </w:pPr>
      <w:r>
        <w:continuationSeparator/>
      </w:r>
    </w:p>
  </w:endnote>
  <w:endnote w:type="continuationNotice" w:id="1">
    <w:p w14:paraId="511C67DE" w14:textId="77777777" w:rsidR="008D3215" w:rsidRDefault="008D32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28B7A" w14:textId="77777777" w:rsidR="008D3215" w:rsidRDefault="008D3215" w:rsidP="00DD3FA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7D78">
      <w:rPr>
        <w:rStyle w:val="PageNumber"/>
        <w:noProof/>
      </w:rPr>
      <w:t>ii</w:t>
    </w:r>
    <w:r>
      <w:rPr>
        <w:rStyle w:val="PageNumber"/>
      </w:rPr>
      <w:fldChar w:fldCharType="end"/>
    </w:r>
  </w:p>
  <w:p w14:paraId="714D911F" w14:textId="77777777" w:rsidR="008D3215" w:rsidRPr="00DD3FAF" w:rsidRDefault="008D3215" w:rsidP="00DD3FAF">
    <w:pPr>
      <w:pStyle w:val="Footer"/>
      <w:ind w:right="360"/>
      <w:jc w:val="center"/>
      <w:rPr>
        <w:noProof/>
      </w:rPr>
    </w:pPr>
  </w:p>
  <w:p w14:paraId="47C54F3E" w14:textId="77777777" w:rsidR="008D3215" w:rsidRDefault="008D3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95E03" w14:textId="77777777" w:rsidR="008D3215" w:rsidRDefault="008D3215" w:rsidP="00DD3FA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7D78">
      <w:rPr>
        <w:rStyle w:val="PageNumber"/>
        <w:noProof/>
      </w:rPr>
      <w:t>iii</w:t>
    </w:r>
    <w:r>
      <w:rPr>
        <w:rStyle w:val="PageNumber"/>
      </w:rPr>
      <w:fldChar w:fldCharType="end"/>
    </w:r>
  </w:p>
  <w:p w14:paraId="63B8575A" w14:textId="77777777" w:rsidR="008D3215" w:rsidRPr="00DD3FAF" w:rsidRDefault="008D3215" w:rsidP="00DD3FAF">
    <w:pPr>
      <w:pStyle w:val="Footer"/>
      <w:ind w:right="360"/>
      <w:jc w:val="center"/>
    </w:pPr>
  </w:p>
  <w:p w14:paraId="31FC15BA" w14:textId="77777777" w:rsidR="008D3215" w:rsidRDefault="008D3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A281F" w14:textId="77777777" w:rsidR="008D3215" w:rsidRDefault="008D3215" w:rsidP="00B05B2A">
      <w:pPr>
        <w:spacing w:after="0"/>
      </w:pPr>
      <w:r>
        <w:separator/>
      </w:r>
    </w:p>
  </w:footnote>
  <w:footnote w:type="continuationSeparator" w:id="0">
    <w:p w14:paraId="1FAC70AD" w14:textId="77777777" w:rsidR="008D3215" w:rsidRDefault="008D3215" w:rsidP="00B05B2A">
      <w:pPr>
        <w:spacing w:after="0"/>
      </w:pPr>
      <w:r>
        <w:continuationSeparator/>
      </w:r>
    </w:p>
  </w:footnote>
  <w:footnote w:type="continuationNotice" w:id="1">
    <w:p w14:paraId="7254DDA6" w14:textId="77777777" w:rsidR="008D3215" w:rsidRDefault="008D3215">
      <w:pPr>
        <w:spacing w:after="0"/>
      </w:pPr>
    </w:p>
  </w:footnote>
  <w:footnote w:id="2">
    <w:p w14:paraId="5DB24D36" w14:textId="77777777" w:rsidR="008D3215" w:rsidRPr="009A19FD" w:rsidRDefault="008D3215" w:rsidP="00917F81">
      <w:pPr>
        <w:pStyle w:val="FootnoteText"/>
        <w:rPr>
          <w:sz w:val="18"/>
          <w:szCs w:val="18"/>
        </w:rPr>
      </w:pPr>
      <w:r w:rsidRPr="009A19FD">
        <w:rPr>
          <w:rStyle w:val="FootnoteReference"/>
          <w:sz w:val="18"/>
          <w:szCs w:val="18"/>
        </w:rPr>
        <w:footnoteRef/>
      </w:r>
      <w:r w:rsidRPr="009A19FD">
        <w:rPr>
          <w:sz w:val="18"/>
          <w:szCs w:val="18"/>
        </w:rPr>
        <w:t xml:space="preserve">        Termed as either ‘standard control network tariffs’ or ‘network tariffs’ hereafter.</w:t>
      </w:r>
    </w:p>
  </w:footnote>
  <w:footnote w:id="3">
    <w:p w14:paraId="1C48F5C6" w14:textId="77777777" w:rsidR="008D3215" w:rsidRPr="009A19FD" w:rsidRDefault="008D3215" w:rsidP="00917F81">
      <w:pPr>
        <w:pStyle w:val="FootnoteText"/>
        <w:rPr>
          <w:sz w:val="18"/>
          <w:szCs w:val="18"/>
        </w:rPr>
      </w:pPr>
      <w:r w:rsidRPr="009A19FD">
        <w:rPr>
          <w:rStyle w:val="FootnoteReference"/>
          <w:sz w:val="18"/>
          <w:szCs w:val="18"/>
        </w:rPr>
        <w:footnoteRef/>
      </w:r>
      <w:r w:rsidRPr="009A19FD">
        <w:rPr>
          <w:sz w:val="18"/>
          <w:szCs w:val="18"/>
        </w:rPr>
        <w:t xml:space="preserve">        Utilities Commission, </w:t>
      </w:r>
      <w:r w:rsidRPr="009A19FD">
        <w:rPr>
          <w:i/>
          <w:sz w:val="18"/>
          <w:szCs w:val="18"/>
        </w:rPr>
        <w:t>2014 Network Price Determination: Final Determination Part A – Statement of Reasons &amp; Part B – Network Price Determination</w:t>
      </w:r>
      <w:r w:rsidRPr="009A19FD">
        <w:rPr>
          <w:sz w:val="18"/>
          <w:szCs w:val="18"/>
        </w:rPr>
        <w:t>, April 2014.</w:t>
      </w:r>
    </w:p>
  </w:footnote>
  <w:footnote w:id="4">
    <w:p w14:paraId="360968A6" w14:textId="77777777" w:rsidR="008D3215" w:rsidRPr="009A19FD" w:rsidRDefault="008D3215" w:rsidP="00917F81">
      <w:pPr>
        <w:pStyle w:val="FootnoteText"/>
        <w:rPr>
          <w:sz w:val="18"/>
          <w:szCs w:val="18"/>
        </w:rPr>
      </w:pPr>
      <w:r w:rsidRPr="009A19FD">
        <w:rPr>
          <w:rStyle w:val="FootnoteReference"/>
          <w:sz w:val="18"/>
          <w:szCs w:val="18"/>
        </w:rPr>
        <w:footnoteRef/>
      </w:r>
      <w:r w:rsidRPr="009A19FD">
        <w:rPr>
          <w:sz w:val="18"/>
          <w:szCs w:val="18"/>
        </w:rPr>
        <w:t xml:space="preserve">        </w:t>
      </w:r>
      <w:r w:rsidRPr="009A19FD">
        <w:rPr>
          <w:sz w:val="18"/>
          <w:szCs w:val="18"/>
          <w:lang w:val="en-US"/>
        </w:rPr>
        <w:t xml:space="preserve">Utilities Commission, </w:t>
      </w:r>
      <w:r w:rsidRPr="009A19FD">
        <w:rPr>
          <w:i/>
          <w:sz w:val="18"/>
          <w:szCs w:val="18"/>
        </w:rPr>
        <w:t>Regulatory Information Notice under Section 25 of the Utilities Commission Act and Clause 22 of Network Licence,</w:t>
      </w:r>
      <w:r w:rsidRPr="009A19FD">
        <w:rPr>
          <w:sz w:val="18"/>
          <w:szCs w:val="18"/>
        </w:rPr>
        <w:t xml:space="preserve"> </w:t>
      </w:r>
      <w:r w:rsidRPr="009A19FD">
        <w:rPr>
          <w:sz w:val="18"/>
          <w:szCs w:val="18"/>
          <w:lang w:val="en-US"/>
        </w:rPr>
        <w:t>April 2013, clauses 16 &amp; 18, p. 51-53.</w:t>
      </w:r>
    </w:p>
  </w:footnote>
  <w:footnote w:id="5">
    <w:p w14:paraId="2200793B" w14:textId="77777777" w:rsidR="008D3215" w:rsidRPr="009A19FD" w:rsidRDefault="008D3215" w:rsidP="00917F81">
      <w:pPr>
        <w:pStyle w:val="FootnoteText"/>
        <w:rPr>
          <w:sz w:val="18"/>
          <w:szCs w:val="18"/>
        </w:rPr>
      </w:pPr>
      <w:r w:rsidRPr="009A19FD">
        <w:rPr>
          <w:rStyle w:val="FootnoteReference"/>
          <w:sz w:val="18"/>
          <w:szCs w:val="18"/>
        </w:rPr>
        <w:footnoteRef/>
      </w:r>
      <w:r w:rsidRPr="009A19FD">
        <w:rPr>
          <w:sz w:val="18"/>
          <w:szCs w:val="18"/>
        </w:rPr>
        <w:t xml:space="preserve">        Electricity Networks (Third Part Access) Code, Chapter 7.</w:t>
      </w:r>
    </w:p>
  </w:footnote>
  <w:footnote w:id="6">
    <w:p w14:paraId="07378682" w14:textId="77777777" w:rsidR="008D3215" w:rsidRPr="009A19FD" w:rsidRDefault="008D3215" w:rsidP="00917F81">
      <w:pPr>
        <w:pStyle w:val="FootnoteText"/>
        <w:rPr>
          <w:sz w:val="18"/>
          <w:szCs w:val="18"/>
        </w:rPr>
      </w:pPr>
      <w:r w:rsidRPr="009A19FD">
        <w:rPr>
          <w:rStyle w:val="FootnoteReference"/>
          <w:sz w:val="18"/>
          <w:szCs w:val="18"/>
        </w:rPr>
        <w:footnoteRef/>
      </w:r>
      <w:r w:rsidRPr="009A19FD">
        <w:rPr>
          <w:sz w:val="18"/>
          <w:szCs w:val="18"/>
        </w:rPr>
        <w:t xml:space="preserve"> </w:t>
      </w:r>
      <w:r w:rsidRPr="009A19FD">
        <w:rPr>
          <w:sz w:val="18"/>
          <w:szCs w:val="18"/>
          <w:lang w:val="en-US"/>
        </w:rPr>
        <w:tab/>
        <w:t xml:space="preserve">Utilities Commission, </w:t>
      </w:r>
      <w:r w:rsidRPr="009A19FD">
        <w:rPr>
          <w:i/>
          <w:sz w:val="18"/>
          <w:szCs w:val="18"/>
        </w:rPr>
        <w:t>2014-2019 Network Price Determination Framework And Approach Decision Paper</w:t>
      </w:r>
      <w:r w:rsidRPr="009A19FD">
        <w:rPr>
          <w:sz w:val="18"/>
          <w:szCs w:val="18"/>
        </w:rPr>
        <w:t xml:space="preserve">, </w:t>
      </w:r>
      <w:r w:rsidRPr="009A19FD">
        <w:rPr>
          <w:sz w:val="18"/>
          <w:szCs w:val="18"/>
          <w:lang w:val="en-US"/>
        </w:rPr>
        <w:t>November 2012, p. 1.</w:t>
      </w:r>
    </w:p>
  </w:footnote>
  <w:footnote w:id="7">
    <w:p w14:paraId="782FD3EF" w14:textId="77777777" w:rsidR="008D3215" w:rsidRPr="009A19FD" w:rsidRDefault="008D3215" w:rsidP="00917F81">
      <w:pPr>
        <w:pStyle w:val="FootnoteText"/>
        <w:rPr>
          <w:sz w:val="18"/>
          <w:szCs w:val="18"/>
        </w:rPr>
      </w:pPr>
      <w:r w:rsidRPr="009A19FD">
        <w:rPr>
          <w:rStyle w:val="FootnoteReference"/>
          <w:sz w:val="18"/>
          <w:szCs w:val="18"/>
        </w:rPr>
        <w:footnoteRef/>
      </w:r>
      <w:r w:rsidRPr="009A19FD">
        <w:rPr>
          <w:sz w:val="18"/>
          <w:szCs w:val="18"/>
        </w:rPr>
        <w:t xml:space="preserve">        Utilities Commission, </w:t>
      </w:r>
      <w:r w:rsidRPr="009A19FD">
        <w:rPr>
          <w:i/>
          <w:sz w:val="18"/>
          <w:szCs w:val="18"/>
        </w:rPr>
        <w:t>2014 Network Price Determination: Final Determination Part A – Statement of Reasons</w:t>
      </w:r>
      <w:r w:rsidRPr="009A19FD">
        <w:rPr>
          <w:sz w:val="18"/>
          <w:szCs w:val="18"/>
        </w:rPr>
        <w:t>, April 2014, clause 4.56 &amp; 4.57, p. 40.</w:t>
      </w:r>
    </w:p>
  </w:footnote>
  <w:footnote w:id="8">
    <w:p w14:paraId="5DE26631" w14:textId="77777777" w:rsidR="008D3215" w:rsidRPr="009A19FD" w:rsidRDefault="008D3215" w:rsidP="00C24855">
      <w:pPr>
        <w:pStyle w:val="FootnoteText"/>
        <w:rPr>
          <w:sz w:val="18"/>
          <w:szCs w:val="18"/>
        </w:rPr>
      </w:pPr>
      <w:r w:rsidRPr="009A19FD">
        <w:rPr>
          <w:rStyle w:val="FootnoteReference"/>
          <w:sz w:val="18"/>
          <w:szCs w:val="18"/>
        </w:rPr>
        <w:footnoteRef/>
      </w:r>
      <w:r w:rsidRPr="009A19FD">
        <w:rPr>
          <w:sz w:val="18"/>
          <w:szCs w:val="18"/>
        </w:rPr>
        <w:t xml:space="preserve">       </w:t>
      </w:r>
      <w:proofErr w:type="gramStart"/>
      <w:r w:rsidRPr="009A19FD">
        <w:rPr>
          <w:sz w:val="18"/>
          <w:szCs w:val="18"/>
        </w:rPr>
        <w:t>Electricity Networks (Third Party Access) Code, clause 75(5).</w:t>
      </w:r>
      <w:proofErr w:type="gramEnd"/>
    </w:p>
  </w:footnote>
  <w:footnote w:id="9">
    <w:p w14:paraId="51775512" w14:textId="77777777" w:rsidR="008D3215" w:rsidRPr="009A19FD" w:rsidRDefault="008D3215" w:rsidP="00C24855">
      <w:pPr>
        <w:pStyle w:val="FootnoteText"/>
        <w:rPr>
          <w:sz w:val="18"/>
          <w:szCs w:val="18"/>
        </w:rPr>
      </w:pPr>
      <w:r w:rsidRPr="009A19FD">
        <w:rPr>
          <w:rStyle w:val="FootnoteReference"/>
          <w:sz w:val="18"/>
          <w:szCs w:val="18"/>
        </w:rPr>
        <w:footnoteRef/>
      </w:r>
      <w:r w:rsidRPr="009A19FD">
        <w:rPr>
          <w:sz w:val="18"/>
          <w:szCs w:val="18"/>
        </w:rPr>
        <w:t xml:space="preserve">       </w:t>
      </w:r>
      <w:proofErr w:type="gramStart"/>
      <w:r w:rsidRPr="009A19FD">
        <w:rPr>
          <w:sz w:val="18"/>
          <w:szCs w:val="18"/>
        </w:rPr>
        <w:t>Electricity Networks (Third Party Access) Code, clause 78(1) &amp; clause 78(2).</w:t>
      </w:r>
      <w:proofErr w:type="gramEnd"/>
    </w:p>
  </w:footnote>
  <w:footnote w:id="10">
    <w:p w14:paraId="6A076343" w14:textId="77777777" w:rsidR="008D3215" w:rsidRDefault="008D3215" w:rsidP="00C24855">
      <w:pPr>
        <w:pStyle w:val="FootnoteText"/>
      </w:pPr>
      <w:r w:rsidRPr="009A19FD">
        <w:rPr>
          <w:rStyle w:val="FootnoteReference"/>
          <w:sz w:val="18"/>
          <w:szCs w:val="18"/>
        </w:rPr>
        <w:footnoteRef/>
      </w:r>
      <w:r w:rsidRPr="009A19FD">
        <w:rPr>
          <w:sz w:val="18"/>
          <w:szCs w:val="18"/>
        </w:rPr>
        <w:t xml:space="preserve">       </w:t>
      </w:r>
      <w:r w:rsidRPr="009A19FD">
        <w:rPr>
          <w:sz w:val="18"/>
          <w:szCs w:val="18"/>
          <w:lang w:val="en-US"/>
        </w:rPr>
        <w:t xml:space="preserve">Utilities Commission, </w:t>
      </w:r>
      <w:r w:rsidRPr="009A19FD">
        <w:rPr>
          <w:i/>
          <w:sz w:val="18"/>
          <w:szCs w:val="18"/>
        </w:rPr>
        <w:t>Regulatory Information Notice under Section 25 of the Utilities Commission Act and Clause 22 of Network Licence,</w:t>
      </w:r>
      <w:r w:rsidRPr="009A19FD">
        <w:rPr>
          <w:sz w:val="18"/>
          <w:szCs w:val="18"/>
        </w:rPr>
        <w:t xml:space="preserve"> </w:t>
      </w:r>
      <w:r w:rsidRPr="009A19FD">
        <w:rPr>
          <w:sz w:val="18"/>
          <w:szCs w:val="18"/>
          <w:lang w:val="en-US"/>
        </w:rPr>
        <w:t>April 2013, clause 18, p. 53.</w:t>
      </w:r>
    </w:p>
  </w:footnote>
  <w:footnote w:id="11">
    <w:p w14:paraId="3877E55F" w14:textId="77777777" w:rsidR="008D3215" w:rsidRPr="009A19FD" w:rsidRDefault="008D3215" w:rsidP="004B5A14">
      <w:pPr>
        <w:pStyle w:val="FootnoteText"/>
        <w:rPr>
          <w:sz w:val="18"/>
          <w:szCs w:val="18"/>
          <w:lang w:val="en-US"/>
        </w:rPr>
      </w:pPr>
      <w:r w:rsidRPr="009A19FD">
        <w:rPr>
          <w:rStyle w:val="FootnoteReference"/>
          <w:sz w:val="18"/>
          <w:szCs w:val="18"/>
        </w:rPr>
        <w:footnoteRef/>
      </w:r>
      <w:r w:rsidRPr="009A19FD">
        <w:rPr>
          <w:sz w:val="18"/>
          <w:szCs w:val="18"/>
        </w:rPr>
        <w:t xml:space="preserve">  </w:t>
      </w:r>
      <w:r w:rsidRPr="009A19FD">
        <w:rPr>
          <w:sz w:val="18"/>
          <w:szCs w:val="18"/>
          <w:lang w:val="en-US"/>
        </w:rPr>
        <w:tab/>
        <w:t xml:space="preserve">Utilities Commission, </w:t>
      </w:r>
      <w:r w:rsidRPr="009A19FD">
        <w:rPr>
          <w:i/>
          <w:sz w:val="18"/>
          <w:szCs w:val="18"/>
        </w:rPr>
        <w:t>Regulatory Information Notice under Section 25 of the Utilities Commission Act and Clause 22 of Network Licence,</w:t>
      </w:r>
      <w:r w:rsidRPr="009A19FD">
        <w:rPr>
          <w:sz w:val="18"/>
          <w:szCs w:val="18"/>
        </w:rPr>
        <w:t xml:space="preserve"> </w:t>
      </w:r>
      <w:r w:rsidRPr="009A19FD">
        <w:rPr>
          <w:sz w:val="18"/>
          <w:szCs w:val="18"/>
          <w:lang w:val="en-US"/>
        </w:rPr>
        <w:t>April 2013, clause 18.</w:t>
      </w:r>
    </w:p>
  </w:footnote>
  <w:footnote w:id="12">
    <w:p w14:paraId="6AA733CB" w14:textId="77777777" w:rsidR="008D3215" w:rsidRPr="0039029F" w:rsidRDefault="008D3215" w:rsidP="00D301FF">
      <w:pPr>
        <w:pStyle w:val="FootnoteText"/>
        <w:rPr>
          <w:lang w:val="en-US"/>
        </w:rPr>
      </w:pPr>
      <w:r w:rsidRPr="009A19FD">
        <w:rPr>
          <w:rStyle w:val="FootnoteReference"/>
          <w:sz w:val="18"/>
          <w:szCs w:val="18"/>
        </w:rPr>
        <w:footnoteRef/>
      </w:r>
      <w:r w:rsidRPr="009A19FD">
        <w:rPr>
          <w:sz w:val="18"/>
          <w:szCs w:val="18"/>
        </w:rPr>
        <w:t xml:space="preserve">  </w:t>
      </w:r>
      <w:r w:rsidRPr="009A19FD">
        <w:rPr>
          <w:sz w:val="18"/>
          <w:szCs w:val="18"/>
          <w:lang w:val="en-US"/>
        </w:rPr>
        <w:tab/>
        <w:t xml:space="preserve">Utilities Commission, </w:t>
      </w:r>
      <w:r w:rsidRPr="009A19FD">
        <w:rPr>
          <w:i/>
          <w:sz w:val="18"/>
          <w:szCs w:val="18"/>
        </w:rPr>
        <w:t>Regulatory Information Notice under Section 25 of the Utilities Commission Act and Clause 22 of Network Licence,</w:t>
      </w:r>
      <w:r w:rsidRPr="009A19FD">
        <w:rPr>
          <w:sz w:val="18"/>
          <w:szCs w:val="18"/>
        </w:rPr>
        <w:t xml:space="preserve"> </w:t>
      </w:r>
      <w:r w:rsidRPr="009A19FD">
        <w:rPr>
          <w:sz w:val="18"/>
          <w:szCs w:val="18"/>
          <w:lang w:val="en-US"/>
        </w:rPr>
        <w:t>April 2013, clause 18.</w:t>
      </w:r>
    </w:p>
  </w:footnote>
  <w:footnote w:id="13">
    <w:p w14:paraId="2B7ADB1F" w14:textId="77777777" w:rsidR="008D3215" w:rsidRPr="009A19FD" w:rsidRDefault="008D3215" w:rsidP="00C24855">
      <w:pPr>
        <w:pStyle w:val="FootnoteText"/>
        <w:rPr>
          <w:sz w:val="18"/>
          <w:szCs w:val="18"/>
        </w:rPr>
      </w:pPr>
      <w:r w:rsidRPr="009A19FD">
        <w:rPr>
          <w:rStyle w:val="FootnoteReference"/>
          <w:sz w:val="18"/>
          <w:szCs w:val="18"/>
        </w:rPr>
        <w:footnoteRef/>
      </w:r>
      <w:r w:rsidRPr="009A19FD">
        <w:rPr>
          <w:sz w:val="18"/>
          <w:szCs w:val="18"/>
        </w:rPr>
        <w:t xml:space="preserve">       Utilities Commission, </w:t>
      </w:r>
      <w:r w:rsidRPr="009A19FD">
        <w:rPr>
          <w:i/>
          <w:sz w:val="18"/>
          <w:szCs w:val="18"/>
          <w:lang w:val="en-US"/>
        </w:rPr>
        <w:t xml:space="preserve">2014 Network Price Determination Final Determination Part A – Statement of </w:t>
      </w:r>
      <w:proofErr w:type="gramStart"/>
      <w:r w:rsidRPr="009A19FD">
        <w:rPr>
          <w:i/>
          <w:sz w:val="18"/>
          <w:szCs w:val="18"/>
          <w:lang w:val="en-US"/>
        </w:rPr>
        <w:t xml:space="preserve">Reasons </w:t>
      </w:r>
      <w:r w:rsidRPr="009A19FD">
        <w:rPr>
          <w:sz w:val="18"/>
          <w:szCs w:val="18"/>
          <w:lang w:val="en-US"/>
        </w:rPr>
        <w:t>,</w:t>
      </w:r>
      <w:proofErr w:type="gramEnd"/>
      <w:r w:rsidRPr="009A19FD">
        <w:rPr>
          <w:sz w:val="18"/>
          <w:szCs w:val="18"/>
          <w:lang w:val="en-US"/>
        </w:rPr>
        <w:t xml:space="preserve"> April 2014, Appendix A, p. 160.</w:t>
      </w:r>
    </w:p>
  </w:footnote>
  <w:footnote w:id="14">
    <w:p w14:paraId="23350F14" w14:textId="77777777" w:rsidR="008D3215" w:rsidRPr="00EB771D" w:rsidRDefault="008D3215" w:rsidP="00C24855">
      <w:pPr>
        <w:pStyle w:val="FootnoteText"/>
        <w:rPr>
          <w:lang w:val="en-US"/>
        </w:rPr>
      </w:pPr>
      <w:r w:rsidRPr="009A19FD">
        <w:rPr>
          <w:rStyle w:val="FootnoteReference"/>
          <w:sz w:val="18"/>
          <w:szCs w:val="18"/>
        </w:rPr>
        <w:footnoteRef/>
      </w:r>
      <w:r w:rsidRPr="009A19FD">
        <w:rPr>
          <w:sz w:val="18"/>
          <w:szCs w:val="18"/>
        </w:rPr>
        <w:t xml:space="preserve"> </w:t>
      </w:r>
      <w:r w:rsidRPr="009A19FD">
        <w:rPr>
          <w:sz w:val="18"/>
          <w:szCs w:val="18"/>
          <w:lang w:val="en-US"/>
        </w:rPr>
        <w:tab/>
      </w:r>
      <w:proofErr w:type="gramStart"/>
      <w:r w:rsidRPr="009A19FD">
        <w:rPr>
          <w:sz w:val="18"/>
          <w:szCs w:val="18"/>
        </w:rPr>
        <w:t>Ibid.</w:t>
      </w:r>
      <w:r w:rsidRPr="009A19FD">
        <w:rPr>
          <w:sz w:val="18"/>
          <w:szCs w:val="18"/>
          <w:lang w:val="en-US"/>
        </w:rPr>
        <w:t>,</w:t>
      </w:r>
      <w:proofErr w:type="gramEnd"/>
      <w:r w:rsidRPr="009A19FD">
        <w:rPr>
          <w:sz w:val="18"/>
          <w:szCs w:val="18"/>
          <w:lang w:val="en-US"/>
        </w:rPr>
        <w:t xml:space="preserve"> p. 39.</w:t>
      </w:r>
    </w:p>
  </w:footnote>
  <w:footnote w:id="15">
    <w:p w14:paraId="79E3D92F" w14:textId="65E43FDE" w:rsidR="008D3215" w:rsidRPr="00B20C6B" w:rsidRDefault="008D3215">
      <w:pPr>
        <w:pStyle w:val="FootnoteText"/>
        <w:rPr>
          <w:lang w:val="en-US"/>
        </w:rPr>
      </w:pPr>
      <w:r>
        <w:rPr>
          <w:rStyle w:val="FootnoteReference"/>
        </w:rPr>
        <w:footnoteRef/>
      </w:r>
      <w:r>
        <w:t xml:space="preserve"> </w:t>
      </w:r>
      <w:r>
        <w:rPr>
          <w:lang w:val="en-US"/>
        </w:rPr>
        <w:tab/>
        <w:t>The Commission subsequently confirmed that the use of the December quarter CPI would be acceptable.</w:t>
      </w:r>
    </w:p>
  </w:footnote>
  <w:footnote w:id="16">
    <w:p w14:paraId="45902B70" w14:textId="11C6290E" w:rsidR="008D3215" w:rsidRPr="009A19FD" w:rsidRDefault="008D3215" w:rsidP="007015D6">
      <w:pPr>
        <w:pStyle w:val="FootnoteText"/>
        <w:rPr>
          <w:sz w:val="18"/>
          <w:szCs w:val="18"/>
          <w:lang w:val="en-US"/>
        </w:rPr>
      </w:pPr>
      <w:r w:rsidRPr="009A19FD">
        <w:rPr>
          <w:rStyle w:val="FootnoteReference"/>
          <w:sz w:val="18"/>
          <w:szCs w:val="18"/>
        </w:rPr>
        <w:footnoteRef/>
      </w:r>
      <w:r w:rsidRPr="009A19FD">
        <w:rPr>
          <w:sz w:val="18"/>
          <w:szCs w:val="18"/>
        </w:rPr>
        <w:t xml:space="preserve"> </w:t>
      </w:r>
      <w:r w:rsidRPr="009A19FD">
        <w:rPr>
          <w:sz w:val="18"/>
          <w:szCs w:val="18"/>
          <w:lang w:val="en-US"/>
        </w:rPr>
        <w:tab/>
      </w:r>
      <w:proofErr w:type="gramStart"/>
      <w:r w:rsidRPr="009A19FD">
        <w:rPr>
          <w:sz w:val="18"/>
          <w:szCs w:val="18"/>
        </w:rPr>
        <w:t xml:space="preserve">Utilities Commission, </w:t>
      </w:r>
      <w:r w:rsidRPr="009A19FD">
        <w:rPr>
          <w:i/>
          <w:sz w:val="18"/>
          <w:szCs w:val="18"/>
        </w:rPr>
        <w:t>Network (Variation) Price Determination - Variation Determination and Statement (sic) of Reasons</w:t>
      </w:r>
      <w:r w:rsidRPr="009A19FD">
        <w:rPr>
          <w:sz w:val="18"/>
          <w:szCs w:val="18"/>
        </w:rPr>
        <w:t>, April 2015, p.4</w:t>
      </w:r>
      <w:r w:rsidRPr="009A19FD">
        <w:rPr>
          <w:sz w:val="18"/>
          <w:szCs w:val="18"/>
          <w:lang w:val="en-US"/>
        </w:rPr>
        <w:t>.</w:t>
      </w:r>
      <w:proofErr w:type="gramEnd"/>
    </w:p>
  </w:footnote>
  <w:footnote w:id="17">
    <w:p w14:paraId="46DF31DE" w14:textId="77777777" w:rsidR="008D3215" w:rsidRPr="009A19FD" w:rsidRDefault="008D3215" w:rsidP="00C24855">
      <w:pPr>
        <w:pStyle w:val="FootnoteText"/>
        <w:rPr>
          <w:sz w:val="18"/>
          <w:szCs w:val="18"/>
          <w:lang w:val="en-US"/>
        </w:rPr>
      </w:pPr>
      <w:r w:rsidRPr="009A19FD">
        <w:rPr>
          <w:rStyle w:val="FootnoteReference"/>
          <w:sz w:val="18"/>
          <w:szCs w:val="18"/>
        </w:rPr>
        <w:footnoteRef/>
      </w:r>
      <w:r w:rsidRPr="009A19FD">
        <w:rPr>
          <w:sz w:val="18"/>
          <w:szCs w:val="18"/>
        </w:rPr>
        <w:t xml:space="preserve"> </w:t>
      </w:r>
      <w:r w:rsidRPr="009A19FD">
        <w:rPr>
          <w:sz w:val="18"/>
          <w:szCs w:val="18"/>
          <w:lang w:val="en-US"/>
        </w:rPr>
        <w:tab/>
        <w:t xml:space="preserve">Utilities Commission, </w:t>
      </w:r>
      <w:r w:rsidRPr="009A19FD">
        <w:rPr>
          <w:i/>
          <w:sz w:val="18"/>
          <w:szCs w:val="18"/>
          <w:lang w:val="en-US"/>
        </w:rPr>
        <w:t>2014 Network Price Determination: Final Determination Part B – Network Price Determination</w:t>
      </w:r>
      <w:r w:rsidRPr="009A19FD">
        <w:rPr>
          <w:sz w:val="18"/>
          <w:szCs w:val="18"/>
          <w:lang w:val="en-US"/>
        </w:rPr>
        <w:t>, April 2014 Schedule 5, p. 53.</w:t>
      </w:r>
    </w:p>
  </w:footnote>
  <w:footnote w:id="18">
    <w:p w14:paraId="7B88E4BE" w14:textId="77777777" w:rsidR="008D3215" w:rsidRPr="009A19FD" w:rsidRDefault="008D3215" w:rsidP="00C24855">
      <w:pPr>
        <w:pStyle w:val="FootnoteText"/>
        <w:rPr>
          <w:sz w:val="18"/>
          <w:szCs w:val="18"/>
        </w:rPr>
      </w:pPr>
      <w:r>
        <w:rPr>
          <w:rStyle w:val="FootnoteReference"/>
        </w:rPr>
        <w:footnoteRef/>
      </w:r>
      <w:r>
        <w:t xml:space="preserve">       </w:t>
      </w:r>
      <w:r w:rsidRPr="009A19FD">
        <w:rPr>
          <w:sz w:val="18"/>
          <w:szCs w:val="18"/>
          <w:lang w:val="en-US"/>
        </w:rPr>
        <w:t xml:space="preserve">Utilities Commission, </w:t>
      </w:r>
      <w:r w:rsidRPr="009A19FD">
        <w:rPr>
          <w:i/>
          <w:sz w:val="18"/>
          <w:szCs w:val="18"/>
        </w:rPr>
        <w:t>Regulatory Information Notice under Section 25 of the Utilities Commission Act and Clause 22 of Network Licence,</w:t>
      </w:r>
      <w:r w:rsidRPr="009A19FD">
        <w:rPr>
          <w:sz w:val="18"/>
          <w:szCs w:val="18"/>
        </w:rPr>
        <w:t xml:space="preserve"> </w:t>
      </w:r>
      <w:r w:rsidRPr="009A19FD">
        <w:rPr>
          <w:sz w:val="18"/>
          <w:szCs w:val="18"/>
          <w:lang w:val="en-US"/>
        </w:rPr>
        <w:t>April 2013, clause 16 , p. 51.</w:t>
      </w:r>
    </w:p>
  </w:footnote>
  <w:footnote w:id="19">
    <w:p w14:paraId="4DBC37B9" w14:textId="77777777" w:rsidR="008D3215" w:rsidRPr="009A19FD" w:rsidRDefault="008D3215" w:rsidP="00C24855">
      <w:pPr>
        <w:pStyle w:val="FootnoteText"/>
        <w:rPr>
          <w:sz w:val="18"/>
          <w:szCs w:val="18"/>
        </w:rPr>
      </w:pPr>
      <w:r w:rsidRPr="009A19FD">
        <w:rPr>
          <w:rStyle w:val="FootnoteReference"/>
          <w:sz w:val="18"/>
          <w:szCs w:val="18"/>
        </w:rPr>
        <w:footnoteRef/>
      </w:r>
      <w:r w:rsidRPr="009A19FD">
        <w:rPr>
          <w:sz w:val="18"/>
          <w:szCs w:val="18"/>
        </w:rPr>
        <w:t xml:space="preserve">       </w:t>
      </w:r>
      <w:proofErr w:type="gramStart"/>
      <w:r w:rsidRPr="009A19FD">
        <w:rPr>
          <w:sz w:val="18"/>
          <w:szCs w:val="18"/>
        </w:rPr>
        <w:t>Northern Territory Electricity Networks (Third Party Access) Code.</w:t>
      </w:r>
      <w:proofErr w:type="gramEnd"/>
    </w:p>
  </w:footnote>
  <w:footnote w:id="20">
    <w:p w14:paraId="48B280DC" w14:textId="77777777" w:rsidR="008D3215" w:rsidRPr="00D71FC5" w:rsidRDefault="008D3215" w:rsidP="00C24855">
      <w:pPr>
        <w:pStyle w:val="FootnoteText"/>
      </w:pPr>
      <w:r w:rsidRPr="009A19FD">
        <w:rPr>
          <w:rStyle w:val="FootnoteReference"/>
          <w:sz w:val="18"/>
          <w:szCs w:val="18"/>
        </w:rPr>
        <w:footnoteRef/>
      </w:r>
      <w:r w:rsidRPr="009A19FD">
        <w:rPr>
          <w:sz w:val="18"/>
          <w:szCs w:val="18"/>
        </w:rPr>
        <w:t xml:space="preserve">       Utilities Commission, </w:t>
      </w:r>
      <w:r w:rsidRPr="009A19FD">
        <w:rPr>
          <w:i/>
          <w:sz w:val="18"/>
          <w:szCs w:val="18"/>
          <w:lang w:val="en-US"/>
        </w:rPr>
        <w:t>2014 Network Price Determination Final Determination Part A – Statement of Reasons</w:t>
      </w:r>
      <w:r w:rsidRPr="009A19FD">
        <w:rPr>
          <w:sz w:val="18"/>
          <w:szCs w:val="18"/>
          <w:lang w:val="en-US"/>
        </w:rPr>
        <w:t>, April 2014, Appendix A, p. 160.</w:t>
      </w:r>
    </w:p>
  </w:footnote>
  <w:footnote w:id="21">
    <w:p w14:paraId="03064ACC" w14:textId="07F3B7C6" w:rsidR="008D3215" w:rsidRPr="009A19FD" w:rsidRDefault="008D3215" w:rsidP="00C24855">
      <w:pPr>
        <w:pStyle w:val="FootnoteText"/>
        <w:rPr>
          <w:sz w:val="18"/>
          <w:szCs w:val="18"/>
        </w:rPr>
      </w:pPr>
      <w:r w:rsidRPr="009A19FD">
        <w:rPr>
          <w:rStyle w:val="FootnoteReference"/>
          <w:sz w:val="18"/>
          <w:szCs w:val="18"/>
        </w:rPr>
        <w:footnoteRef/>
      </w:r>
      <w:r w:rsidRPr="009A19FD">
        <w:rPr>
          <w:sz w:val="18"/>
          <w:szCs w:val="18"/>
        </w:rPr>
        <w:t xml:space="preserve"> </w:t>
      </w:r>
      <w:r>
        <w:rPr>
          <w:sz w:val="18"/>
          <w:szCs w:val="18"/>
        </w:rPr>
        <w:t>Excludes</w:t>
      </w:r>
      <w:r w:rsidRPr="009A19FD">
        <w:rPr>
          <w:sz w:val="18"/>
          <w:szCs w:val="18"/>
        </w:rPr>
        <w:t xml:space="preserve"> unmetered consumption.</w:t>
      </w:r>
    </w:p>
  </w:footnote>
  <w:footnote w:id="22">
    <w:p w14:paraId="2370238B" w14:textId="77777777" w:rsidR="008D3215" w:rsidRPr="009A19FD" w:rsidRDefault="008D3215" w:rsidP="003E03AA">
      <w:pPr>
        <w:pStyle w:val="FootnoteText"/>
        <w:rPr>
          <w:sz w:val="18"/>
          <w:szCs w:val="18"/>
        </w:rPr>
      </w:pPr>
      <w:r w:rsidRPr="009A19FD">
        <w:rPr>
          <w:rStyle w:val="FootnoteReference"/>
          <w:sz w:val="18"/>
          <w:szCs w:val="18"/>
        </w:rPr>
        <w:footnoteRef/>
      </w:r>
      <w:r w:rsidRPr="009A19FD">
        <w:rPr>
          <w:sz w:val="18"/>
          <w:szCs w:val="18"/>
        </w:rPr>
        <w:t xml:space="preserve">       </w:t>
      </w:r>
      <w:r w:rsidRPr="009A19FD">
        <w:rPr>
          <w:sz w:val="18"/>
          <w:szCs w:val="18"/>
          <w:lang w:val="en-US"/>
        </w:rPr>
        <w:t xml:space="preserve">Utilities Commission, </w:t>
      </w:r>
      <w:r w:rsidRPr="009A19FD">
        <w:rPr>
          <w:i/>
          <w:sz w:val="18"/>
          <w:szCs w:val="18"/>
        </w:rPr>
        <w:t>Regulatory Information Notice under Section 25 of the Utilities Commission Act and Clause 22 of Network Licence,</w:t>
      </w:r>
      <w:r w:rsidRPr="009A19FD">
        <w:rPr>
          <w:sz w:val="18"/>
          <w:szCs w:val="18"/>
        </w:rPr>
        <w:t xml:space="preserve"> </w:t>
      </w:r>
      <w:r w:rsidRPr="009A19FD">
        <w:rPr>
          <w:sz w:val="18"/>
          <w:szCs w:val="18"/>
          <w:lang w:val="en-US"/>
        </w:rPr>
        <w:t>April 2013, clause 18 , p. 53.</w:t>
      </w:r>
    </w:p>
  </w:footnote>
  <w:footnote w:id="23">
    <w:p w14:paraId="20103E27" w14:textId="77777777" w:rsidR="008D3215" w:rsidRDefault="008D3215">
      <w:pPr>
        <w:pStyle w:val="FootnoteText"/>
      </w:pPr>
      <w:r w:rsidRPr="009A19FD">
        <w:rPr>
          <w:rStyle w:val="FootnoteReference"/>
          <w:sz w:val="18"/>
          <w:szCs w:val="18"/>
        </w:rPr>
        <w:footnoteRef/>
      </w:r>
      <w:r w:rsidRPr="009A19FD">
        <w:rPr>
          <w:sz w:val="18"/>
          <w:szCs w:val="18"/>
        </w:rPr>
        <w:t xml:space="preserve"> </w:t>
      </w:r>
      <w:r w:rsidRPr="009A19FD">
        <w:rPr>
          <w:sz w:val="18"/>
          <w:szCs w:val="18"/>
        </w:rPr>
        <w:tab/>
      </w:r>
      <w:proofErr w:type="gramStart"/>
      <w:r w:rsidRPr="009A19FD">
        <w:rPr>
          <w:sz w:val="18"/>
          <w:szCs w:val="18"/>
          <w:lang w:val="en-US"/>
        </w:rPr>
        <w:t>Northern Territory Electricity Networks (Third Party Access) Code.</w:t>
      </w:r>
      <w:proofErr w:type="gramEnd"/>
    </w:p>
  </w:footnote>
  <w:footnote w:id="24">
    <w:p w14:paraId="2A2D208E" w14:textId="77777777" w:rsidR="008D3215" w:rsidRPr="009A19FD" w:rsidRDefault="008D3215" w:rsidP="00886545">
      <w:pPr>
        <w:pStyle w:val="FootnoteText"/>
        <w:rPr>
          <w:sz w:val="18"/>
          <w:szCs w:val="18"/>
        </w:rPr>
      </w:pPr>
      <w:r w:rsidRPr="009A19FD">
        <w:rPr>
          <w:rStyle w:val="FootnoteReference"/>
          <w:rFonts w:eastAsia="MS Gothic"/>
          <w:sz w:val="18"/>
          <w:szCs w:val="18"/>
        </w:rPr>
        <w:footnoteRef/>
      </w:r>
      <w:r w:rsidRPr="009A19FD">
        <w:rPr>
          <w:sz w:val="18"/>
          <w:szCs w:val="18"/>
        </w:rPr>
        <w:t xml:space="preserve"> </w:t>
      </w:r>
      <w:r w:rsidRPr="009A19FD">
        <w:rPr>
          <w:sz w:val="18"/>
          <w:szCs w:val="18"/>
          <w:lang w:val="en-US"/>
        </w:rPr>
        <w:tab/>
      </w:r>
      <w:r w:rsidRPr="009A19FD">
        <w:rPr>
          <w:sz w:val="18"/>
          <w:szCs w:val="18"/>
        </w:rPr>
        <w:t xml:space="preserve">Utilities Commission, </w:t>
      </w:r>
      <w:r w:rsidRPr="009A19FD">
        <w:rPr>
          <w:i/>
          <w:sz w:val="18"/>
          <w:szCs w:val="18"/>
        </w:rPr>
        <w:t>2014 Network Price Determination: Final Determination Part A – Statement of Reasons</w:t>
      </w:r>
      <w:r w:rsidRPr="009A19FD">
        <w:rPr>
          <w:sz w:val="18"/>
          <w:szCs w:val="18"/>
        </w:rPr>
        <w:t>, April 2014, clause 13.79, p. 136.</w:t>
      </w:r>
    </w:p>
  </w:footnote>
  <w:footnote w:id="25">
    <w:p w14:paraId="2046BEE1" w14:textId="77777777" w:rsidR="008D3215" w:rsidRPr="009A19FD" w:rsidRDefault="008D3215" w:rsidP="008640F6">
      <w:pPr>
        <w:pStyle w:val="FootnoteText"/>
        <w:rPr>
          <w:sz w:val="18"/>
          <w:szCs w:val="18"/>
        </w:rPr>
      </w:pPr>
      <w:r w:rsidRPr="009A19FD">
        <w:rPr>
          <w:rStyle w:val="FootnoteReference"/>
          <w:sz w:val="18"/>
          <w:szCs w:val="18"/>
        </w:rPr>
        <w:footnoteRef/>
      </w:r>
      <w:r w:rsidRPr="009A19FD">
        <w:rPr>
          <w:sz w:val="18"/>
          <w:szCs w:val="18"/>
        </w:rPr>
        <w:t xml:space="preserve"> </w:t>
      </w:r>
      <w:r w:rsidRPr="009A19FD">
        <w:rPr>
          <w:sz w:val="18"/>
          <w:szCs w:val="18"/>
          <w:lang w:val="en-US"/>
        </w:rPr>
        <w:tab/>
      </w:r>
      <w:proofErr w:type="gramStart"/>
      <w:r w:rsidRPr="009A19FD">
        <w:rPr>
          <w:sz w:val="18"/>
          <w:szCs w:val="18"/>
          <w:lang w:val="en-US"/>
        </w:rPr>
        <w:t>Ibid.,</w:t>
      </w:r>
      <w:proofErr w:type="gramEnd"/>
      <w:r w:rsidRPr="009A19FD">
        <w:rPr>
          <w:sz w:val="18"/>
          <w:szCs w:val="18"/>
          <w:lang w:val="en-US"/>
        </w:rPr>
        <w:t xml:space="preserve"> clause 13.80, p. 136.</w:t>
      </w:r>
    </w:p>
  </w:footnote>
  <w:footnote w:id="26">
    <w:p w14:paraId="551588AA" w14:textId="77777777" w:rsidR="008D3215" w:rsidRDefault="008D3215">
      <w:pPr>
        <w:pStyle w:val="FootnoteText"/>
      </w:pPr>
      <w:r w:rsidRPr="009A19FD">
        <w:rPr>
          <w:rStyle w:val="FootnoteReference"/>
          <w:sz w:val="18"/>
          <w:szCs w:val="18"/>
        </w:rPr>
        <w:footnoteRef/>
      </w:r>
      <w:r w:rsidRPr="009A19FD">
        <w:rPr>
          <w:sz w:val="18"/>
          <w:szCs w:val="18"/>
        </w:rPr>
        <w:t xml:space="preserve">      Utilities Commission, </w:t>
      </w:r>
      <w:r w:rsidRPr="009A19FD">
        <w:rPr>
          <w:i/>
          <w:sz w:val="18"/>
          <w:szCs w:val="18"/>
        </w:rPr>
        <w:t>2014 Network Price Determination: Final Determination Part B – Network Price Determination</w:t>
      </w:r>
      <w:r w:rsidRPr="009A19FD">
        <w:rPr>
          <w:sz w:val="18"/>
          <w:szCs w:val="18"/>
        </w:rPr>
        <w:t>, April 2014, clause 3.3, p. 25.</w:t>
      </w:r>
    </w:p>
  </w:footnote>
  <w:footnote w:id="27">
    <w:p w14:paraId="3628D42D" w14:textId="77777777" w:rsidR="008D3215" w:rsidRPr="009A19FD" w:rsidRDefault="008D3215" w:rsidP="005D67CB">
      <w:pPr>
        <w:pStyle w:val="FootnoteText"/>
        <w:rPr>
          <w:sz w:val="18"/>
          <w:szCs w:val="18"/>
        </w:rPr>
      </w:pPr>
      <w:r w:rsidRPr="009A19FD">
        <w:rPr>
          <w:rStyle w:val="FootnoteReference"/>
          <w:sz w:val="18"/>
          <w:szCs w:val="18"/>
        </w:rPr>
        <w:footnoteRef/>
      </w:r>
      <w:r w:rsidRPr="009A19FD">
        <w:rPr>
          <w:sz w:val="18"/>
          <w:szCs w:val="18"/>
        </w:rPr>
        <w:t xml:space="preserve"> </w:t>
      </w:r>
      <w:r w:rsidRPr="009A19FD">
        <w:rPr>
          <w:sz w:val="18"/>
          <w:szCs w:val="18"/>
          <w:lang w:val="en-US"/>
        </w:rPr>
        <w:tab/>
        <w:t>AEMC, Consultation Paper - National Electricity Amendment (Distribution Network Pricing Arrangements) Rule 2014, Rule Proponents Independent Pricing and Regulatory Tribunal of NSW, Standing Council on Energy and Resources, 14 November 2013.</w:t>
      </w:r>
    </w:p>
  </w:footnote>
  <w:footnote w:id="28">
    <w:p w14:paraId="576083D5" w14:textId="77777777" w:rsidR="008D3215" w:rsidRPr="009A19FD" w:rsidRDefault="008D3215" w:rsidP="00983E11">
      <w:pPr>
        <w:pStyle w:val="FootnoteText"/>
        <w:rPr>
          <w:sz w:val="18"/>
          <w:szCs w:val="18"/>
        </w:rPr>
      </w:pPr>
      <w:r w:rsidRPr="009A19FD">
        <w:rPr>
          <w:rStyle w:val="FootnoteReference"/>
          <w:sz w:val="18"/>
          <w:szCs w:val="18"/>
        </w:rPr>
        <w:footnoteRef/>
      </w:r>
      <w:r w:rsidRPr="009A19FD">
        <w:rPr>
          <w:sz w:val="18"/>
          <w:szCs w:val="18"/>
        </w:rPr>
        <w:t xml:space="preserve"> </w:t>
      </w:r>
      <w:r w:rsidRPr="009A19FD">
        <w:rPr>
          <w:sz w:val="18"/>
          <w:szCs w:val="18"/>
        </w:rPr>
        <w:tab/>
      </w:r>
      <w:r w:rsidRPr="009A19FD">
        <w:rPr>
          <w:sz w:val="18"/>
          <w:szCs w:val="18"/>
          <w:lang w:val="en-US"/>
        </w:rPr>
        <w:t xml:space="preserve">Energy Networks Association (UK), </w:t>
      </w:r>
      <w:r w:rsidRPr="009A19FD">
        <w:rPr>
          <w:sz w:val="18"/>
          <w:szCs w:val="18"/>
        </w:rPr>
        <w:t>CDCM model user manual Model Version: 102, 28 February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39C8"/>
    <w:multiLevelType w:val="hybridMultilevel"/>
    <w:tmpl w:val="E7C6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8329B4"/>
    <w:multiLevelType w:val="hybridMultilevel"/>
    <w:tmpl w:val="1744F36C"/>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hint="default"/>
      </w:rPr>
    </w:lvl>
    <w:lvl w:ilvl="5" w:tplc="04090005">
      <w:start w:val="1"/>
      <w:numFmt w:val="bullet"/>
      <w:lvlText w:val=""/>
      <w:lvlJc w:val="left"/>
      <w:pPr>
        <w:ind w:left="4387" w:hanging="360"/>
      </w:pPr>
      <w:rPr>
        <w:rFonts w:ascii="Wingdings" w:hAnsi="Wingdings" w:hint="default"/>
      </w:rPr>
    </w:lvl>
    <w:lvl w:ilvl="6" w:tplc="04090001">
      <w:start w:val="1"/>
      <w:numFmt w:val="bullet"/>
      <w:lvlText w:val=""/>
      <w:lvlJc w:val="left"/>
      <w:pPr>
        <w:ind w:left="5107" w:hanging="360"/>
      </w:pPr>
      <w:rPr>
        <w:rFonts w:ascii="Symbol" w:hAnsi="Symbol" w:hint="default"/>
      </w:rPr>
    </w:lvl>
    <w:lvl w:ilvl="7" w:tplc="04090003">
      <w:start w:val="1"/>
      <w:numFmt w:val="bullet"/>
      <w:lvlText w:val="o"/>
      <w:lvlJc w:val="left"/>
      <w:pPr>
        <w:ind w:left="5827" w:hanging="360"/>
      </w:pPr>
      <w:rPr>
        <w:rFonts w:ascii="Courier New" w:hAnsi="Courier New" w:hint="default"/>
      </w:rPr>
    </w:lvl>
    <w:lvl w:ilvl="8" w:tplc="04090005">
      <w:start w:val="1"/>
      <w:numFmt w:val="bullet"/>
      <w:lvlText w:val=""/>
      <w:lvlJc w:val="left"/>
      <w:pPr>
        <w:ind w:left="6547" w:hanging="360"/>
      </w:pPr>
      <w:rPr>
        <w:rFonts w:ascii="Wingdings" w:hAnsi="Wingdings" w:hint="default"/>
      </w:rPr>
    </w:lvl>
  </w:abstractNum>
  <w:abstractNum w:abstractNumId="2">
    <w:nsid w:val="1369684F"/>
    <w:multiLevelType w:val="hybridMultilevel"/>
    <w:tmpl w:val="C2EE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5C49F4"/>
    <w:multiLevelType w:val="hybridMultilevel"/>
    <w:tmpl w:val="BD785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9F3D84"/>
    <w:multiLevelType w:val="hybridMultilevel"/>
    <w:tmpl w:val="95487EBC"/>
    <w:lvl w:ilvl="0" w:tplc="69F8B75A">
      <w:start w:val="1"/>
      <w:numFmt w:val="lowerLetter"/>
      <w:lvlText w:val="(%1)"/>
      <w:lvlJc w:val="left"/>
      <w:pPr>
        <w:ind w:left="1077" w:hanging="360"/>
      </w:pPr>
      <w:rPr>
        <w:rFonts w:ascii="Tahoma" w:hAnsi="Tahoma" w:hint="default"/>
        <w:b w:val="0"/>
        <w:bCs w:val="0"/>
        <w:i w:val="0"/>
        <w:iCs w:val="0"/>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1BCC2156"/>
    <w:multiLevelType w:val="hybridMultilevel"/>
    <w:tmpl w:val="178EE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BD69B3"/>
    <w:multiLevelType w:val="hybridMultilevel"/>
    <w:tmpl w:val="B0265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415013"/>
    <w:multiLevelType w:val="hybridMultilevel"/>
    <w:tmpl w:val="6DD27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A0006DA"/>
    <w:multiLevelType w:val="hybridMultilevel"/>
    <w:tmpl w:val="13642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7F46F3"/>
    <w:multiLevelType w:val="hybridMultilevel"/>
    <w:tmpl w:val="2C204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8808FF"/>
    <w:multiLevelType w:val="hybridMultilevel"/>
    <w:tmpl w:val="8E7CD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4AD7ECB"/>
    <w:multiLevelType w:val="hybridMultilevel"/>
    <w:tmpl w:val="95487EBC"/>
    <w:lvl w:ilvl="0" w:tplc="69F8B75A">
      <w:start w:val="1"/>
      <w:numFmt w:val="lowerLetter"/>
      <w:lvlText w:val="(%1)"/>
      <w:lvlJc w:val="left"/>
      <w:pPr>
        <w:ind w:left="1077" w:hanging="360"/>
      </w:pPr>
      <w:rPr>
        <w:rFonts w:ascii="Tahoma" w:hAnsi="Tahoma" w:hint="default"/>
        <w:b w:val="0"/>
        <w:bCs w:val="0"/>
        <w:i w:val="0"/>
        <w:iCs w:val="0"/>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nsid w:val="35B224C3"/>
    <w:multiLevelType w:val="hybridMultilevel"/>
    <w:tmpl w:val="1D360E5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378768F0"/>
    <w:multiLevelType w:val="hybridMultilevel"/>
    <w:tmpl w:val="3ABCD04E"/>
    <w:lvl w:ilvl="0" w:tplc="728CF8B4">
      <w:start w:val="1"/>
      <w:numFmt w:val="bullet"/>
      <w:lvlText w:val="•"/>
      <w:lvlJc w:val="left"/>
      <w:pPr>
        <w:ind w:left="720" w:hanging="360"/>
      </w:pPr>
      <w:rPr>
        <w:rFonts w:ascii="Cambria"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6E7DC2"/>
    <w:multiLevelType w:val="hybridMultilevel"/>
    <w:tmpl w:val="AA6EC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1E3773"/>
    <w:multiLevelType w:val="hybridMultilevel"/>
    <w:tmpl w:val="0D2826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B73793E"/>
    <w:multiLevelType w:val="multilevel"/>
    <w:tmpl w:val="7B76F730"/>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1429" w:hanging="719"/>
      </w:pPr>
      <w:rPr>
        <w:rFonts w:hint="default"/>
      </w:rPr>
    </w:lvl>
    <w:lvl w:ilvl="3">
      <w:start w:val="1"/>
      <w:numFmt w:val="decimal"/>
      <w:pStyle w:val="Heading4"/>
      <w:lvlText w:val="%1.%2.%3.%4"/>
      <w:lvlJc w:val="left"/>
      <w:pPr>
        <w:ind w:left="862" w:hanging="862"/>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3C9851AF"/>
    <w:multiLevelType w:val="hybridMultilevel"/>
    <w:tmpl w:val="E312E9F8"/>
    <w:lvl w:ilvl="0" w:tplc="FD2C315C">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8">
    <w:nsid w:val="46672225"/>
    <w:multiLevelType w:val="hybridMultilevel"/>
    <w:tmpl w:val="28E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AF13F0C"/>
    <w:multiLevelType w:val="hybridMultilevel"/>
    <w:tmpl w:val="5DC48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E914CDB"/>
    <w:multiLevelType w:val="hybridMultilevel"/>
    <w:tmpl w:val="593C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8D21E2"/>
    <w:multiLevelType w:val="hybridMultilevel"/>
    <w:tmpl w:val="FB245C88"/>
    <w:lvl w:ilvl="0" w:tplc="EF96FC6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nsid w:val="5483727F"/>
    <w:multiLevelType w:val="hybridMultilevel"/>
    <w:tmpl w:val="91B0B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CC2C9D"/>
    <w:multiLevelType w:val="hybridMultilevel"/>
    <w:tmpl w:val="9D265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DDD1672"/>
    <w:multiLevelType w:val="hybridMultilevel"/>
    <w:tmpl w:val="B2E238F0"/>
    <w:lvl w:ilvl="0" w:tplc="329A959E">
      <w:start w:val="1"/>
      <w:numFmt w:val="lowerRoman"/>
      <w:lvlText w:val="(%1)"/>
      <w:lvlJc w:val="left"/>
      <w:pPr>
        <w:ind w:left="1854" w:hanging="360"/>
      </w:pPr>
      <w:rPr>
        <w:rFonts w:ascii="Tahoma" w:hAnsi="Tahoma" w:cs="Times New Roman" w:hint="default"/>
        <w:b w:val="0"/>
        <w:bCs w:val="0"/>
        <w:i w:val="0"/>
        <w:iCs w:val="0"/>
        <w:sz w:val="24"/>
        <w:szCs w:val="24"/>
      </w:rPr>
    </w:lvl>
    <w:lvl w:ilvl="1" w:tplc="C600A118">
      <w:start w:val="1"/>
      <w:numFmt w:val="lowerRoman"/>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E5503EC"/>
    <w:multiLevelType w:val="hybridMultilevel"/>
    <w:tmpl w:val="69B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956341A"/>
    <w:multiLevelType w:val="hybridMultilevel"/>
    <w:tmpl w:val="432A10D2"/>
    <w:lvl w:ilvl="0" w:tplc="CFB85D00">
      <w:start w:val="1"/>
      <w:numFmt w:val="bullet"/>
      <w:pStyle w:val="D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12"/>
  </w:num>
  <w:num w:numId="5">
    <w:abstractNumId w:val="15"/>
  </w:num>
  <w:num w:numId="6">
    <w:abstractNumId w:val="24"/>
  </w:num>
  <w:num w:numId="7">
    <w:abstractNumId w:val="6"/>
  </w:num>
  <w:num w:numId="8">
    <w:abstractNumId w:val="1"/>
  </w:num>
  <w:num w:numId="9">
    <w:abstractNumId w:val="4"/>
  </w:num>
  <w:num w:numId="10">
    <w:abstractNumId w:val="11"/>
  </w:num>
  <w:num w:numId="11">
    <w:abstractNumId w:val="10"/>
  </w:num>
  <w:num w:numId="12">
    <w:abstractNumId w:val="9"/>
  </w:num>
  <w:num w:numId="13">
    <w:abstractNumId w:val="19"/>
  </w:num>
  <w:num w:numId="14">
    <w:abstractNumId w:val="14"/>
  </w:num>
  <w:num w:numId="15">
    <w:abstractNumId w:val="22"/>
  </w:num>
  <w:num w:numId="16">
    <w:abstractNumId w:val="25"/>
  </w:num>
  <w:num w:numId="17">
    <w:abstractNumId w:val="5"/>
  </w:num>
  <w:num w:numId="18">
    <w:abstractNumId w:val="0"/>
  </w:num>
  <w:num w:numId="19">
    <w:abstractNumId w:val="23"/>
  </w:num>
  <w:num w:numId="20">
    <w:abstractNumId w:val="8"/>
  </w:num>
  <w:num w:numId="21">
    <w:abstractNumId w:val="3"/>
  </w:num>
  <w:num w:numId="22">
    <w:abstractNumId w:val="18"/>
  </w:num>
  <w:num w:numId="23">
    <w:abstractNumId w:val="16"/>
  </w:num>
  <w:num w:numId="24">
    <w:abstractNumId w:val="17"/>
  </w:num>
  <w:num w:numId="25">
    <w:abstractNumId w:val="21"/>
  </w:num>
  <w:num w:numId="26">
    <w:abstractNumId w:val="20"/>
  </w:num>
  <w:num w:numId="2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ocumentProtection w:edit="readOnly" w:formatting="1" w:enforcement="1" w:cryptProviderType="rsaFull" w:cryptAlgorithmClass="hash" w:cryptAlgorithmType="typeAny" w:cryptAlgorithmSid="4" w:cryptSpinCount="100000" w:hash="gIiZsuFa9RRPiJRiTEE2g++y6pU=" w:salt="B0A7eyj2PETc05rplQdDTg=="/>
  <w:defaultTabStop w:val="720"/>
  <w:doNotHyphenateCaps/>
  <w:evenAndOddHeaders/>
  <w:drawingGridHorizontalSpacing w:val="110"/>
  <w:displayHorizontalDrawingGridEvery w:val="2"/>
  <w:displayVerticalDrawingGridEvery w:val="2"/>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1B"/>
    <w:rsid w:val="00001BEC"/>
    <w:rsid w:val="00002591"/>
    <w:rsid w:val="00004E23"/>
    <w:rsid w:val="00005404"/>
    <w:rsid w:val="000055EC"/>
    <w:rsid w:val="00006C5C"/>
    <w:rsid w:val="00007381"/>
    <w:rsid w:val="00011D51"/>
    <w:rsid w:val="0001229B"/>
    <w:rsid w:val="00012FB1"/>
    <w:rsid w:val="00013A3F"/>
    <w:rsid w:val="0001529B"/>
    <w:rsid w:val="000162AC"/>
    <w:rsid w:val="000170CC"/>
    <w:rsid w:val="0002012A"/>
    <w:rsid w:val="00020BCE"/>
    <w:rsid w:val="00025D31"/>
    <w:rsid w:val="00030668"/>
    <w:rsid w:val="00031823"/>
    <w:rsid w:val="00031DD7"/>
    <w:rsid w:val="00032728"/>
    <w:rsid w:val="00034CEC"/>
    <w:rsid w:val="00035521"/>
    <w:rsid w:val="00040902"/>
    <w:rsid w:val="0004304D"/>
    <w:rsid w:val="000431C5"/>
    <w:rsid w:val="0004391C"/>
    <w:rsid w:val="00044606"/>
    <w:rsid w:val="00046E30"/>
    <w:rsid w:val="00050163"/>
    <w:rsid w:val="00052715"/>
    <w:rsid w:val="000554A4"/>
    <w:rsid w:val="00055AFD"/>
    <w:rsid w:val="0006387B"/>
    <w:rsid w:val="00063D57"/>
    <w:rsid w:val="00064C68"/>
    <w:rsid w:val="00064CED"/>
    <w:rsid w:val="00065A9F"/>
    <w:rsid w:val="0006602C"/>
    <w:rsid w:val="000669E8"/>
    <w:rsid w:val="000672F9"/>
    <w:rsid w:val="00070C83"/>
    <w:rsid w:val="000718EB"/>
    <w:rsid w:val="00072F0A"/>
    <w:rsid w:val="0007522B"/>
    <w:rsid w:val="00075986"/>
    <w:rsid w:val="00076F25"/>
    <w:rsid w:val="00077291"/>
    <w:rsid w:val="00077C52"/>
    <w:rsid w:val="00080F20"/>
    <w:rsid w:val="00082A1D"/>
    <w:rsid w:val="00082C13"/>
    <w:rsid w:val="0008350E"/>
    <w:rsid w:val="000836FC"/>
    <w:rsid w:val="00083784"/>
    <w:rsid w:val="00086ABE"/>
    <w:rsid w:val="00086ACD"/>
    <w:rsid w:val="00087F79"/>
    <w:rsid w:val="00092DDA"/>
    <w:rsid w:val="00092E7B"/>
    <w:rsid w:val="00093A8E"/>
    <w:rsid w:val="00093F39"/>
    <w:rsid w:val="000955C1"/>
    <w:rsid w:val="0009735C"/>
    <w:rsid w:val="000974B9"/>
    <w:rsid w:val="000B38EC"/>
    <w:rsid w:val="000B3E85"/>
    <w:rsid w:val="000B41A3"/>
    <w:rsid w:val="000B4698"/>
    <w:rsid w:val="000B4A31"/>
    <w:rsid w:val="000B5148"/>
    <w:rsid w:val="000B5B88"/>
    <w:rsid w:val="000C1C90"/>
    <w:rsid w:val="000C5330"/>
    <w:rsid w:val="000C5518"/>
    <w:rsid w:val="000C5BAE"/>
    <w:rsid w:val="000C6117"/>
    <w:rsid w:val="000D038D"/>
    <w:rsid w:val="000D2DED"/>
    <w:rsid w:val="000D2FE8"/>
    <w:rsid w:val="000D6863"/>
    <w:rsid w:val="000E0215"/>
    <w:rsid w:val="000E1627"/>
    <w:rsid w:val="000E1CED"/>
    <w:rsid w:val="000E2C3A"/>
    <w:rsid w:val="000E3273"/>
    <w:rsid w:val="000E4DA9"/>
    <w:rsid w:val="000F10B8"/>
    <w:rsid w:val="000F1878"/>
    <w:rsid w:val="000F24F3"/>
    <w:rsid w:val="000F4A0C"/>
    <w:rsid w:val="000F4E4D"/>
    <w:rsid w:val="000F5023"/>
    <w:rsid w:val="000F5097"/>
    <w:rsid w:val="000F5DFA"/>
    <w:rsid w:val="000F7F84"/>
    <w:rsid w:val="00101DCA"/>
    <w:rsid w:val="00105FA5"/>
    <w:rsid w:val="001060E3"/>
    <w:rsid w:val="00107139"/>
    <w:rsid w:val="00107D94"/>
    <w:rsid w:val="00110030"/>
    <w:rsid w:val="0011021C"/>
    <w:rsid w:val="0011204E"/>
    <w:rsid w:val="00112A4E"/>
    <w:rsid w:val="00113F42"/>
    <w:rsid w:val="00114486"/>
    <w:rsid w:val="00114F9D"/>
    <w:rsid w:val="0011509B"/>
    <w:rsid w:val="00115628"/>
    <w:rsid w:val="0011637F"/>
    <w:rsid w:val="00117057"/>
    <w:rsid w:val="001172C4"/>
    <w:rsid w:val="001228A3"/>
    <w:rsid w:val="00124C88"/>
    <w:rsid w:val="00126004"/>
    <w:rsid w:val="001267A6"/>
    <w:rsid w:val="00126CC9"/>
    <w:rsid w:val="001367C8"/>
    <w:rsid w:val="00137BDC"/>
    <w:rsid w:val="00140AB1"/>
    <w:rsid w:val="001423E7"/>
    <w:rsid w:val="00142F06"/>
    <w:rsid w:val="00143C0D"/>
    <w:rsid w:val="00146715"/>
    <w:rsid w:val="00146C80"/>
    <w:rsid w:val="0014756E"/>
    <w:rsid w:val="00152C13"/>
    <w:rsid w:val="00153D97"/>
    <w:rsid w:val="0015488D"/>
    <w:rsid w:val="00155780"/>
    <w:rsid w:val="001614D5"/>
    <w:rsid w:val="00161DE1"/>
    <w:rsid w:val="00164D60"/>
    <w:rsid w:val="0016593E"/>
    <w:rsid w:val="00165D75"/>
    <w:rsid w:val="00166D2F"/>
    <w:rsid w:val="0017188A"/>
    <w:rsid w:val="00172870"/>
    <w:rsid w:val="001743AE"/>
    <w:rsid w:val="00175542"/>
    <w:rsid w:val="00176284"/>
    <w:rsid w:val="001766E3"/>
    <w:rsid w:val="001766E9"/>
    <w:rsid w:val="001803FF"/>
    <w:rsid w:val="00180B6E"/>
    <w:rsid w:val="00181645"/>
    <w:rsid w:val="00181E30"/>
    <w:rsid w:val="0018267B"/>
    <w:rsid w:val="0018294D"/>
    <w:rsid w:val="00184F20"/>
    <w:rsid w:val="0018550D"/>
    <w:rsid w:val="0018622D"/>
    <w:rsid w:val="00190610"/>
    <w:rsid w:val="00192075"/>
    <w:rsid w:val="00192516"/>
    <w:rsid w:val="00194402"/>
    <w:rsid w:val="0019442E"/>
    <w:rsid w:val="00195256"/>
    <w:rsid w:val="001A001F"/>
    <w:rsid w:val="001A1D51"/>
    <w:rsid w:val="001A6D1E"/>
    <w:rsid w:val="001B28BC"/>
    <w:rsid w:val="001B3B43"/>
    <w:rsid w:val="001B5D20"/>
    <w:rsid w:val="001C11E5"/>
    <w:rsid w:val="001C3400"/>
    <w:rsid w:val="001C3A7B"/>
    <w:rsid w:val="001C4250"/>
    <w:rsid w:val="001C588A"/>
    <w:rsid w:val="001C65D5"/>
    <w:rsid w:val="001C6F17"/>
    <w:rsid w:val="001C77BF"/>
    <w:rsid w:val="001D3392"/>
    <w:rsid w:val="001D3CB8"/>
    <w:rsid w:val="001D6DE4"/>
    <w:rsid w:val="001D79ED"/>
    <w:rsid w:val="001E0051"/>
    <w:rsid w:val="001E5D1F"/>
    <w:rsid w:val="001E5E84"/>
    <w:rsid w:val="001F0A8C"/>
    <w:rsid w:val="001F1EF8"/>
    <w:rsid w:val="001F36AD"/>
    <w:rsid w:val="001F3E6A"/>
    <w:rsid w:val="001F4F78"/>
    <w:rsid w:val="001F503E"/>
    <w:rsid w:val="00201B0A"/>
    <w:rsid w:val="00202FE7"/>
    <w:rsid w:val="0020335F"/>
    <w:rsid w:val="002037E8"/>
    <w:rsid w:val="0020400E"/>
    <w:rsid w:val="00206F4D"/>
    <w:rsid w:val="002105C5"/>
    <w:rsid w:val="00210721"/>
    <w:rsid w:val="00213C4C"/>
    <w:rsid w:val="00214696"/>
    <w:rsid w:val="00216D09"/>
    <w:rsid w:val="00217701"/>
    <w:rsid w:val="00223437"/>
    <w:rsid w:val="00223D0E"/>
    <w:rsid w:val="002249F7"/>
    <w:rsid w:val="00226F87"/>
    <w:rsid w:val="00227D38"/>
    <w:rsid w:val="002322F1"/>
    <w:rsid w:val="00233DB5"/>
    <w:rsid w:val="002344E4"/>
    <w:rsid w:val="00235B94"/>
    <w:rsid w:val="00236BCF"/>
    <w:rsid w:val="00236CEA"/>
    <w:rsid w:val="002404D1"/>
    <w:rsid w:val="00241AFC"/>
    <w:rsid w:val="002421C1"/>
    <w:rsid w:val="002422AC"/>
    <w:rsid w:val="00250BD8"/>
    <w:rsid w:val="00254678"/>
    <w:rsid w:val="00255026"/>
    <w:rsid w:val="00255FEE"/>
    <w:rsid w:val="00256A5E"/>
    <w:rsid w:val="00257C93"/>
    <w:rsid w:val="002625FC"/>
    <w:rsid w:val="00263D11"/>
    <w:rsid w:val="0026757F"/>
    <w:rsid w:val="002678D6"/>
    <w:rsid w:val="00274084"/>
    <w:rsid w:val="0027425E"/>
    <w:rsid w:val="00274BB4"/>
    <w:rsid w:val="00275086"/>
    <w:rsid w:val="00275FE8"/>
    <w:rsid w:val="00275FF2"/>
    <w:rsid w:val="00280C43"/>
    <w:rsid w:val="002813FA"/>
    <w:rsid w:val="0028145C"/>
    <w:rsid w:val="00282080"/>
    <w:rsid w:val="002820E1"/>
    <w:rsid w:val="00282E39"/>
    <w:rsid w:val="00283D93"/>
    <w:rsid w:val="00284D11"/>
    <w:rsid w:val="00284D27"/>
    <w:rsid w:val="00284DE2"/>
    <w:rsid w:val="00285348"/>
    <w:rsid w:val="00290D34"/>
    <w:rsid w:val="00290DED"/>
    <w:rsid w:val="00291387"/>
    <w:rsid w:val="00292F68"/>
    <w:rsid w:val="00294B2E"/>
    <w:rsid w:val="002A15E7"/>
    <w:rsid w:val="002A2A89"/>
    <w:rsid w:val="002A4320"/>
    <w:rsid w:val="002A4D2B"/>
    <w:rsid w:val="002A7F49"/>
    <w:rsid w:val="002B13BC"/>
    <w:rsid w:val="002B2D49"/>
    <w:rsid w:val="002B3A9D"/>
    <w:rsid w:val="002B6737"/>
    <w:rsid w:val="002B710F"/>
    <w:rsid w:val="002B721E"/>
    <w:rsid w:val="002C294B"/>
    <w:rsid w:val="002C2EC2"/>
    <w:rsid w:val="002C35D9"/>
    <w:rsid w:val="002C62EF"/>
    <w:rsid w:val="002C641A"/>
    <w:rsid w:val="002C7069"/>
    <w:rsid w:val="002C763D"/>
    <w:rsid w:val="002D0DDF"/>
    <w:rsid w:val="002D0F24"/>
    <w:rsid w:val="002D496E"/>
    <w:rsid w:val="002D68E6"/>
    <w:rsid w:val="002E27FB"/>
    <w:rsid w:val="002E3109"/>
    <w:rsid w:val="002F0368"/>
    <w:rsid w:val="002F21EC"/>
    <w:rsid w:val="002F2AD8"/>
    <w:rsid w:val="002F5176"/>
    <w:rsid w:val="002F517F"/>
    <w:rsid w:val="00300481"/>
    <w:rsid w:val="00300C47"/>
    <w:rsid w:val="003015F2"/>
    <w:rsid w:val="00303DC5"/>
    <w:rsid w:val="0030428C"/>
    <w:rsid w:val="0030482F"/>
    <w:rsid w:val="00305137"/>
    <w:rsid w:val="003061BC"/>
    <w:rsid w:val="00306505"/>
    <w:rsid w:val="00306A35"/>
    <w:rsid w:val="00306B81"/>
    <w:rsid w:val="00307ACC"/>
    <w:rsid w:val="00310B0A"/>
    <w:rsid w:val="00310D4A"/>
    <w:rsid w:val="003127E5"/>
    <w:rsid w:val="00313926"/>
    <w:rsid w:val="003155FB"/>
    <w:rsid w:val="00316315"/>
    <w:rsid w:val="003175FD"/>
    <w:rsid w:val="00320778"/>
    <w:rsid w:val="00321171"/>
    <w:rsid w:val="00321645"/>
    <w:rsid w:val="00323704"/>
    <w:rsid w:val="003237EC"/>
    <w:rsid w:val="00323CD1"/>
    <w:rsid w:val="0032467E"/>
    <w:rsid w:val="003254DC"/>
    <w:rsid w:val="00330355"/>
    <w:rsid w:val="0033288F"/>
    <w:rsid w:val="003331AE"/>
    <w:rsid w:val="00333232"/>
    <w:rsid w:val="003344D9"/>
    <w:rsid w:val="00334B18"/>
    <w:rsid w:val="003362FC"/>
    <w:rsid w:val="00341506"/>
    <w:rsid w:val="003419DC"/>
    <w:rsid w:val="003423BB"/>
    <w:rsid w:val="00342710"/>
    <w:rsid w:val="003430F9"/>
    <w:rsid w:val="00345721"/>
    <w:rsid w:val="00346D74"/>
    <w:rsid w:val="00347114"/>
    <w:rsid w:val="00347603"/>
    <w:rsid w:val="00350056"/>
    <w:rsid w:val="00352089"/>
    <w:rsid w:val="00352CFA"/>
    <w:rsid w:val="00354AFD"/>
    <w:rsid w:val="00355C98"/>
    <w:rsid w:val="00362E06"/>
    <w:rsid w:val="0036442F"/>
    <w:rsid w:val="0036456E"/>
    <w:rsid w:val="00364A1D"/>
    <w:rsid w:val="00364DF1"/>
    <w:rsid w:val="00366496"/>
    <w:rsid w:val="003724D1"/>
    <w:rsid w:val="003731AE"/>
    <w:rsid w:val="00374176"/>
    <w:rsid w:val="00375E68"/>
    <w:rsid w:val="003760C6"/>
    <w:rsid w:val="00377B45"/>
    <w:rsid w:val="00380008"/>
    <w:rsid w:val="0038043C"/>
    <w:rsid w:val="0038189C"/>
    <w:rsid w:val="00382AE4"/>
    <w:rsid w:val="00384960"/>
    <w:rsid w:val="0039029F"/>
    <w:rsid w:val="00390672"/>
    <w:rsid w:val="00390D88"/>
    <w:rsid w:val="003914F2"/>
    <w:rsid w:val="0039249C"/>
    <w:rsid w:val="0039287A"/>
    <w:rsid w:val="0039357F"/>
    <w:rsid w:val="00394190"/>
    <w:rsid w:val="00394304"/>
    <w:rsid w:val="00395814"/>
    <w:rsid w:val="003A05A9"/>
    <w:rsid w:val="003A0F45"/>
    <w:rsid w:val="003A2505"/>
    <w:rsid w:val="003A3FAA"/>
    <w:rsid w:val="003A54BA"/>
    <w:rsid w:val="003A6110"/>
    <w:rsid w:val="003B00D0"/>
    <w:rsid w:val="003B1418"/>
    <w:rsid w:val="003B15E4"/>
    <w:rsid w:val="003B3FFF"/>
    <w:rsid w:val="003B517A"/>
    <w:rsid w:val="003C05DD"/>
    <w:rsid w:val="003C1223"/>
    <w:rsid w:val="003C179C"/>
    <w:rsid w:val="003C57A6"/>
    <w:rsid w:val="003C7494"/>
    <w:rsid w:val="003C7685"/>
    <w:rsid w:val="003D1697"/>
    <w:rsid w:val="003D18C5"/>
    <w:rsid w:val="003D30FC"/>
    <w:rsid w:val="003D5078"/>
    <w:rsid w:val="003D5596"/>
    <w:rsid w:val="003D61D7"/>
    <w:rsid w:val="003D640A"/>
    <w:rsid w:val="003D649A"/>
    <w:rsid w:val="003D7524"/>
    <w:rsid w:val="003E03AA"/>
    <w:rsid w:val="003E0A61"/>
    <w:rsid w:val="003E27E7"/>
    <w:rsid w:val="003E34DB"/>
    <w:rsid w:val="003E49C4"/>
    <w:rsid w:val="003E4E17"/>
    <w:rsid w:val="003E511F"/>
    <w:rsid w:val="003E6E33"/>
    <w:rsid w:val="003F134A"/>
    <w:rsid w:val="003F202E"/>
    <w:rsid w:val="003F279D"/>
    <w:rsid w:val="003F3DFF"/>
    <w:rsid w:val="003F4DC1"/>
    <w:rsid w:val="003F5E40"/>
    <w:rsid w:val="003F6F80"/>
    <w:rsid w:val="003F79B0"/>
    <w:rsid w:val="004002C9"/>
    <w:rsid w:val="004007A4"/>
    <w:rsid w:val="00400A8D"/>
    <w:rsid w:val="00402FC7"/>
    <w:rsid w:val="00403575"/>
    <w:rsid w:val="00404B80"/>
    <w:rsid w:val="004055E9"/>
    <w:rsid w:val="00405F15"/>
    <w:rsid w:val="0041016E"/>
    <w:rsid w:val="00411DD0"/>
    <w:rsid w:val="00413001"/>
    <w:rsid w:val="004139E7"/>
    <w:rsid w:val="00414AF2"/>
    <w:rsid w:val="00414DDB"/>
    <w:rsid w:val="00415529"/>
    <w:rsid w:val="004162B6"/>
    <w:rsid w:val="00417154"/>
    <w:rsid w:val="004178AF"/>
    <w:rsid w:val="00420E86"/>
    <w:rsid w:val="00422B7E"/>
    <w:rsid w:val="00423216"/>
    <w:rsid w:val="00423240"/>
    <w:rsid w:val="004232CB"/>
    <w:rsid w:val="00423BCD"/>
    <w:rsid w:val="00423EBA"/>
    <w:rsid w:val="004261BE"/>
    <w:rsid w:val="00426529"/>
    <w:rsid w:val="0043062A"/>
    <w:rsid w:val="00432DE9"/>
    <w:rsid w:val="00433233"/>
    <w:rsid w:val="00433EAE"/>
    <w:rsid w:val="004358C5"/>
    <w:rsid w:val="004360BF"/>
    <w:rsid w:val="00436915"/>
    <w:rsid w:val="004369BE"/>
    <w:rsid w:val="0044033D"/>
    <w:rsid w:val="00440637"/>
    <w:rsid w:val="00440C97"/>
    <w:rsid w:val="00441B16"/>
    <w:rsid w:val="00442921"/>
    <w:rsid w:val="00447945"/>
    <w:rsid w:val="00447E76"/>
    <w:rsid w:val="00450773"/>
    <w:rsid w:val="004519A6"/>
    <w:rsid w:val="00452452"/>
    <w:rsid w:val="0045278F"/>
    <w:rsid w:val="00452F3E"/>
    <w:rsid w:val="004532D3"/>
    <w:rsid w:val="00455E28"/>
    <w:rsid w:val="00457AA6"/>
    <w:rsid w:val="004607FD"/>
    <w:rsid w:val="00462ECD"/>
    <w:rsid w:val="00463669"/>
    <w:rsid w:val="00467062"/>
    <w:rsid w:val="00470DCB"/>
    <w:rsid w:val="00471518"/>
    <w:rsid w:val="004747E3"/>
    <w:rsid w:val="004747F8"/>
    <w:rsid w:val="00475AA8"/>
    <w:rsid w:val="00477205"/>
    <w:rsid w:val="004778BA"/>
    <w:rsid w:val="00481FF7"/>
    <w:rsid w:val="00483312"/>
    <w:rsid w:val="00484C83"/>
    <w:rsid w:val="00484D8F"/>
    <w:rsid w:val="00486AB4"/>
    <w:rsid w:val="00490851"/>
    <w:rsid w:val="00493129"/>
    <w:rsid w:val="00494837"/>
    <w:rsid w:val="004A212E"/>
    <w:rsid w:val="004A38D6"/>
    <w:rsid w:val="004A5007"/>
    <w:rsid w:val="004A7D71"/>
    <w:rsid w:val="004B023D"/>
    <w:rsid w:val="004B2F25"/>
    <w:rsid w:val="004B344C"/>
    <w:rsid w:val="004B3540"/>
    <w:rsid w:val="004B4224"/>
    <w:rsid w:val="004B5A14"/>
    <w:rsid w:val="004C086A"/>
    <w:rsid w:val="004C0D34"/>
    <w:rsid w:val="004C12B7"/>
    <w:rsid w:val="004C1324"/>
    <w:rsid w:val="004C212D"/>
    <w:rsid w:val="004C2F7F"/>
    <w:rsid w:val="004C4F4C"/>
    <w:rsid w:val="004C5899"/>
    <w:rsid w:val="004C78C6"/>
    <w:rsid w:val="004D00B8"/>
    <w:rsid w:val="004D0519"/>
    <w:rsid w:val="004D05F2"/>
    <w:rsid w:val="004D21DF"/>
    <w:rsid w:val="004D2F3A"/>
    <w:rsid w:val="004D3482"/>
    <w:rsid w:val="004D37BE"/>
    <w:rsid w:val="004D4482"/>
    <w:rsid w:val="004D6B74"/>
    <w:rsid w:val="004D6CAC"/>
    <w:rsid w:val="004D7212"/>
    <w:rsid w:val="004D777E"/>
    <w:rsid w:val="004D7C8B"/>
    <w:rsid w:val="004E0F52"/>
    <w:rsid w:val="004E2C9A"/>
    <w:rsid w:val="004E3861"/>
    <w:rsid w:val="004E3A2F"/>
    <w:rsid w:val="004E4B12"/>
    <w:rsid w:val="004E7E1C"/>
    <w:rsid w:val="004F049E"/>
    <w:rsid w:val="004F1D7D"/>
    <w:rsid w:val="004F3721"/>
    <w:rsid w:val="004F4D72"/>
    <w:rsid w:val="004F60DE"/>
    <w:rsid w:val="004F70A6"/>
    <w:rsid w:val="004F70DA"/>
    <w:rsid w:val="004F7D60"/>
    <w:rsid w:val="0050149A"/>
    <w:rsid w:val="00501AEF"/>
    <w:rsid w:val="00501D42"/>
    <w:rsid w:val="00501EB1"/>
    <w:rsid w:val="00502E60"/>
    <w:rsid w:val="00503A80"/>
    <w:rsid w:val="00503EF5"/>
    <w:rsid w:val="00504CB9"/>
    <w:rsid w:val="0050676A"/>
    <w:rsid w:val="0050740F"/>
    <w:rsid w:val="0050751C"/>
    <w:rsid w:val="00507631"/>
    <w:rsid w:val="00507AAE"/>
    <w:rsid w:val="00511086"/>
    <w:rsid w:val="0051211A"/>
    <w:rsid w:val="00512142"/>
    <w:rsid w:val="005127E4"/>
    <w:rsid w:val="005136ED"/>
    <w:rsid w:val="005142CC"/>
    <w:rsid w:val="00517DD9"/>
    <w:rsid w:val="00520C20"/>
    <w:rsid w:val="0052227B"/>
    <w:rsid w:val="00522E10"/>
    <w:rsid w:val="00525A46"/>
    <w:rsid w:val="005262F3"/>
    <w:rsid w:val="00527DD8"/>
    <w:rsid w:val="00530C05"/>
    <w:rsid w:val="00531A27"/>
    <w:rsid w:val="00534371"/>
    <w:rsid w:val="00537415"/>
    <w:rsid w:val="00544E74"/>
    <w:rsid w:val="00547A74"/>
    <w:rsid w:val="005503BD"/>
    <w:rsid w:val="0055360F"/>
    <w:rsid w:val="00553E8C"/>
    <w:rsid w:val="00555976"/>
    <w:rsid w:val="005570C6"/>
    <w:rsid w:val="0056271E"/>
    <w:rsid w:val="005630D3"/>
    <w:rsid w:val="00563A82"/>
    <w:rsid w:val="00565193"/>
    <w:rsid w:val="0056668B"/>
    <w:rsid w:val="00570249"/>
    <w:rsid w:val="00571F49"/>
    <w:rsid w:val="00572496"/>
    <w:rsid w:val="00572BB4"/>
    <w:rsid w:val="00577642"/>
    <w:rsid w:val="00577BA3"/>
    <w:rsid w:val="00577D78"/>
    <w:rsid w:val="0058090A"/>
    <w:rsid w:val="005817CF"/>
    <w:rsid w:val="0058266E"/>
    <w:rsid w:val="00582CDB"/>
    <w:rsid w:val="00585223"/>
    <w:rsid w:val="005872F0"/>
    <w:rsid w:val="005873CE"/>
    <w:rsid w:val="00587BC9"/>
    <w:rsid w:val="00592E20"/>
    <w:rsid w:val="00593198"/>
    <w:rsid w:val="005936C5"/>
    <w:rsid w:val="005966DB"/>
    <w:rsid w:val="00596F00"/>
    <w:rsid w:val="00597A56"/>
    <w:rsid w:val="00597A63"/>
    <w:rsid w:val="005A16D5"/>
    <w:rsid w:val="005A1FE5"/>
    <w:rsid w:val="005A22A8"/>
    <w:rsid w:val="005A2962"/>
    <w:rsid w:val="005A2F1D"/>
    <w:rsid w:val="005B0126"/>
    <w:rsid w:val="005B1335"/>
    <w:rsid w:val="005B180F"/>
    <w:rsid w:val="005B29C7"/>
    <w:rsid w:val="005B4F24"/>
    <w:rsid w:val="005B503A"/>
    <w:rsid w:val="005B538B"/>
    <w:rsid w:val="005B57AF"/>
    <w:rsid w:val="005B5FAF"/>
    <w:rsid w:val="005B7008"/>
    <w:rsid w:val="005C0D21"/>
    <w:rsid w:val="005C1B7B"/>
    <w:rsid w:val="005C4BA1"/>
    <w:rsid w:val="005D1CD5"/>
    <w:rsid w:val="005D3311"/>
    <w:rsid w:val="005D3FF0"/>
    <w:rsid w:val="005D67CB"/>
    <w:rsid w:val="005D688A"/>
    <w:rsid w:val="005D7D18"/>
    <w:rsid w:val="005E0C7B"/>
    <w:rsid w:val="005E188A"/>
    <w:rsid w:val="005E1EFA"/>
    <w:rsid w:val="005E372B"/>
    <w:rsid w:val="005E3BDC"/>
    <w:rsid w:val="005E3EF3"/>
    <w:rsid w:val="005E4327"/>
    <w:rsid w:val="005E4E10"/>
    <w:rsid w:val="005E5454"/>
    <w:rsid w:val="005E7DDF"/>
    <w:rsid w:val="005F08F2"/>
    <w:rsid w:val="005F2EE5"/>
    <w:rsid w:val="005F5667"/>
    <w:rsid w:val="005F6F9B"/>
    <w:rsid w:val="00601543"/>
    <w:rsid w:val="00601B81"/>
    <w:rsid w:val="006028DB"/>
    <w:rsid w:val="00602D4E"/>
    <w:rsid w:val="00603EFF"/>
    <w:rsid w:val="0060406B"/>
    <w:rsid w:val="0060769E"/>
    <w:rsid w:val="006135DB"/>
    <w:rsid w:val="00614C75"/>
    <w:rsid w:val="00614D0B"/>
    <w:rsid w:val="00615CBC"/>
    <w:rsid w:val="006160EA"/>
    <w:rsid w:val="0061722F"/>
    <w:rsid w:val="00620AC2"/>
    <w:rsid w:val="006223D0"/>
    <w:rsid w:val="006238B5"/>
    <w:rsid w:val="00625D58"/>
    <w:rsid w:val="006261A1"/>
    <w:rsid w:val="00626B7C"/>
    <w:rsid w:val="0063067F"/>
    <w:rsid w:val="006308F9"/>
    <w:rsid w:val="0063173D"/>
    <w:rsid w:val="00634D25"/>
    <w:rsid w:val="00635672"/>
    <w:rsid w:val="0063677D"/>
    <w:rsid w:val="00640345"/>
    <w:rsid w:val="00641287"/>
    <w:rsid w:val="006417E8"/>
    <w:rsid w:val="00641FDC"/>
    <w:rsid w:val="00643C14"/>
    <w:rsid w:val="0064504D"/>
    <w:rsid w:val="0064653F"/>
    <w:rsid w:val="00655EA7"/>
    <w:rsid w:val="006566E5"/>
    <w:rsid w:val="00656CF7"/>
    <w:rsid w:val="00660BC2"/>
    <w:rsid w:val="006619B7"/>
    <w:rsid w:val="00661ED2"/>
    <w:rsid w:val="006635E3"/>
    <w:rsid w:val="00663791"/>
    <w:rsid w:val="00663C8F"/>
    <w:rsid w:val="00675D79"/>
    <w:rsid w:val="00676102"/>
    <w:rsid w:val="006810F1"/>
    <w:rsid w:val="00682474"/>
    <w:rsid w:val="00683193"/>
    <w:rsid w:val="00683690"/>
    <w:rsid w:val="0068789D"/>
    <w:rsid w:val="00687FC3"/>
    <w:rsid w:val="0069002F"/>
    <w:rsid w:val="006906A9"/>
    <w:rsid w:val="00691E40"/>
    <w:rsid w:val="006922A0"/>
    <w:rsid w:val="006932B0"/>
    <w:rsid w:val="0069391A"/>
    <w:rsid w:val="00696BBE"/>
    <w:rsid w:val="006A1085"/>
    <w:rsid w:val="006A390B"/>
    <w:rsid w:val="006A463E"/>
    <w:rsid w:val="006A4833"/>
    <w:rsid w:val="006A49E8"/>
    <w:rsid w:val="006A4A32"/>
    <w:rsid w:val="006A5418"/>
    <w:rsid w:val="006A54DD"/>
    <w:rsid w:val="006A6286"/>
    <w:rsid w:val="006A6AF6"/>
    <w:rsid w:val="006B030D"/>
    <w:rsid w:val="006B2952"/>
    <w:rsid w:val="006B3299"/>
    <w:rsid w:val="006B5FD7"/>
    <w:rsid w:val="006B60FA"/>
    <w:rsid w:val="006B6ECC"/>
    <w:rsid w:val="006B7883"/>
    <w:rsid w:val="006B7DBD"/>
    <w:rsid w:val="006B7E77"/>
    <w:rsid w:val="006C200E"/>
    <w:rsid w:val="006C2ACF"/>
    <w:rsid w:val="006C4F77"/>
    <w:rsid w:val="006C527A"/>
    <w:rsid w:val="006C68D6"/>
    <w:rsid w:val="006C79A0"/>
    <w:rsid w:val="006D0BB7"/>
    <w:rsid w:val="006D0DFC"/>
    <w:rsid w:val="006D11C1"/>
    <w:rsid w:val="006D1DEF"/>
    <w:rsid w:val="006D3986"/>
    <w:rsid w:val="006D4AC4"/>
    <w:rsid w:val="006D5485"/>
    <w:rsid w:val="006D5F9F"/>
    <w:rsid w:val="006D6DAB"/>
    <w:rsid w:val="006E19C5"/>
    <w:rsid w:val="006E26A3"/>
    <w:rsid w:val="006E310F"/>
    <w:rsid w:val="006E56ED"/>
    <w:rsid w:val="006F11C9"/>
    <w:rsid w:val="006F3D19"/>
    <w:rsid w:val="006F41CB"/>
    <w:rsid w:val="006F4D9B"/>
    <w:rsid w:val="006F5C07"/>
    <w:rsid w:val="006F7B89"/>
    <w:rsid w:val="007015D6"/>
    <w:rsid w:val="00701AFB"/>
    <w:rsid w:val="0070206B"/>
    <w:rsid w:val="007041F0"/>
    <w:rsid w:val="007047E2"/>
    <w:rsid w:val="007058E9"/>
    <w:rsid w:val="00710A3A"/>
    <w:rsid w:val="00710FB6"/>
    <w:rsid w:val="00711284"/>
    <w:rsid w:val="00714E56"/>
    <w:rsid w:val="007150DE"/>
    <w:rsid w:val="0071608D"/>
    <w:rsid w:val="00717653"/>
    <w:rsid w:val="00723A21"/>
    <w:rsid w:val="00725542"/>
    <w:rsid w:val="0072554D"/>
    <w:rsid w:val="007255EC"/>
    <w:rsid w:val="00726727"/>
    <w:rsid w:val="00726E0C"/>
    <w:rsid w:val="007300E4"/>
    <w:rsid w:val="007303E2"/>
    <w:rsid w:val="00731875"/>
    <w:rsid w:val="00736A78"/>
    <w:rsid w:val="00737ABF"/>
    <w:rsid w:val="00740812"/>
    <w:rsid w:val="00740F95"/>
    <w:rsid w:val="00741573"/>
    <w:rsid w:val="007417F6"/>
    <w:rsid w:val="00741DDC"/>
    <w:rsid w:val="00742965"/>
    <w:rsid w:val="00744970"/>
    <w:rsid w:val="00744E60"/>
    <w:rsid w:val="007453C0"/>
    <w:rsid w:val="007469EB"/>
    <w:rsid w:val="00750585"/>
    <w:rsid w:val="00750C6D"/>
    <w:rsid w:val="00754089"/>
    <w:rsid w:val="007544B0"/>
    <w:rsid w:val="007552BA"/>
    <w:rsid w:val="00757721"/>
    <w:rsid w:val="007617D6"/>
    <w:rsid w:val="00763271"/>
    <w:rsid w:val="00763D65"/>
    <w:rsid w:val="00765240"/>
    <w:rsid w:val="00771A1D"/>
    <w:rsid w:val="007721C9"/>
    <w:rsid w:val="00773F88"/>
    <w:rsid w:val="0077493E"/>
    <w:rsid w:val="00775AFE"/>
    <w:rsid w:val="0077683A"/>
    <w:rsid w:val="007857EC"/>
    <w:rsid w:val="007875EC"/>
    <w:rsid w:val="00790C5F"/>
    <w:rsid w:val="00794E52"/>
    <w:rsid w:val="00797F03"/>
    <w:rsid w:val="007A1091"/>
    <w:rsid w:val="007A14BF"/>
    <w:rsid w:val="007A442B"/>
    <w:rsid w:val="007A5FA8"/>
    <w:rsid w:val="007A6965"/>
    <w:rsid w:val="007B023A"/>
    <w:rsid w:val="007B0895"/>
    <w:rsid w:val="007B1D27"/>
    <w:rsid w:val="007B214B"/>
    <w:rsid w:val="007B30DE"/>
    <w:rsid w:val="007B4613"/>
    <w:rsid w:val="007B49EB"/>
    <w:rsid w:val="007C2201"/>
    <w:rsid w:val="007C430C"/>
    <w:rsid w:val="007D1976"/>
    <w:rsid w:val="007D338A"/>
    <w:rsid w:val="007D360D"/>
    <w:rsid w:val="007D40E6"/>
    <w:rsid w:val="007D62C2"/>
    <w:rsid w:val="007D760B"/>
    <w:rsid w:val="007D7F09"/>
    <w:rsid w:val="007E0277"/>
    <w:rsid w:val="007E0F95"/>
    <w:rsid w:val="007E115E"/>
    <w:rsid w:val="007E1EF3"/>
    <w:rsid w:val="007E248F"/>
    <w:rsid w:val="007E24DF"/>
    <w:rsid w:val="007E3287"/>
    <w:rsid w:val="007E65BB"/>
    <w:rsid w:val="007E7A1B"/>
    <w:rsid w:val="007F03B1"/>
    <w:rsid w:val="007F1397"/>
    <w:rsid w:val="007F18D7"/>
    <w:rsid w:val="007F53E6"/>
    <w:rsid w:val="007F5785"/>
    <w:rsid w:val="007F6293"/>
    <w:rsid w:val="007F75BA"/>
    <w:rsid w:val="00800B98"/>
    <w:rsid w:val="0080252E"/>
    <w:rsid w:val="00802A73"/>
    <w:rsid w:val="0080307F"/>
    <w:rsid w:val="00803A4F"/>
    <w:rsid w:val="00807CAF"/>
    <w:rsid w:val="008105CB"/>
    <w:rsid w:val="00810E50"/>
    <w:rsid w:val="008114A0"/>
    <w:rsid w:val="00811AF5"/>
    <w:rsid w:val="00811FB4"/>
    <w:rsid w:val="008120F4"/>
    <w:rsid w:val="00812C1E"/>
    <w:rsid w:val="0081381C"/>
    <w:rsid w:val="00813F66"/>
    <w:rsid w:val="008145B7"/>
    <w:rsid w:val="008147D3"/>
    <w:rsid w:val="00814E4F"/>
    <w:rsid w:val="008202A5"/>
    <w:rsid w:val="0082040D"/>
    <w:rsid w:val="00823078"/>
    <w:rsid w:val="00823AB1"/>
    <w:rsid w:val="008242CB"/>
    <w:rsid w:val="00825A8A"/>
    <w:rsid w:val="00826EB7"/>
    <w:rsid w:val="00832FFC"/>
    <w:rsid w:val="00833C04"/>
    <w:rsid w:val="00834FE9"/>
    <w:rsid w:val="008365ED"/>
    <w:rsid w:val="00840B15"/>
    <w:rsid w:val="00842296"/>
    <w:rsid w:val="0084451D"/>
    <w:rsid w:val="00846EB9"/>
    <w:rsid w:val="008474DB"/>
    <w:rsid w:val="008512C0"/>
    <w:rsid w:val="008534DB"/>
    <w:rsid w:val="00853D1A"/>
    <w:rsid w:val="00854897"/>
    <w:rsid w:val="00856715"/>
    <w:rsid w:val="00856CB0"/>
    <w:rsid w:val="00857CCA"/>
    <w:rsid w:val="00857EE3"/>
    <w:rsid w:val="00860082"/>
    <w:rsid w:val="00861A5A"/>
    <w:rsid w:val="00861C44"/>
    <w:rsid w:val="008630F7"/>
    <w:rsid w:val="008640F6"/>
    <w:rsid w:val="00864191"/>
    <w:rsid w:val="00871B3B"/>
    <w:rsid w:val="008733F4"/>
    <w:rsid w:val="00874978"/>
    <w:rsid w:val="00874C7E"/>
    <w:rsid w:val="00875C9C"/>
    <w:rsid w:val="00876BCA"/>
    <w:rsid w:val="00880C38"/>
    <w:rsid w:val="00883EB4"/>
    <w:rsid w:val="00885936"/>
    <w:rsid w:val="00886545"/>
    <w:rsid w:val="00887551"/>
    <w:rsid w:val="008876B0"/>
    <w:rsid w:val="008932CB"/>
    <w:rsid w:val="00893C53"/>
    <w:rsid w:val="00893DEC"/>
    <w:rsid w:val="00894390"/>
    <w:rsid w:val="00894654"/>
    <w:rsid w:val="0089533D"/>
    <w:rsid w:val="0089558C"/>
    <w:rsid w:val="00895CC2"/>
    <w:rsid w:val="008966D7"/>
    <w:rsid w:val="00896B3E"/>
    <w:rsid w:val="00897576"/>
    <w:rsid w:val="008A09B6"/>
    <w:rsid w:val="008A0CCB"/>
    <w:rsid w:val="008A11F4"/>
    <w:rsid w:val="008A358D"/>
    <w:rsid w:val="008A3B17"/>
    <w:rsid w:val="008A5F9E"/>
    <w:rsid w:val="008A646D"/>
    <w:rsid w:val="008A650A"/>
    <w:rsid w:val="008A66F3"/>
    <w:rsid w:val="008A7258"/>
    <w:rsid w:val="008A7C14"/>
    <w:rsid w:val="008B27A8"/>
    <w:rsid w:val="008B4D5E"/>
    <w:rsid w:val="008B511D"/>
    <w:rsid w:val="008B6BD6"/>
    <w:rsid w:val="008B70F1"/>
    <w:rsid w:val="008C04EF"/>
    <w:rsid w:val="008C1D8A"/>
    <w:rsid w:val="008C2414"/>
    <w:rsid w:val="008C28AF"/>
    <w:rsid w:val="008C3707"/>
    <w:rsid w:val="008C4110"/>
    <w:rsid w:val="008C6722"/>
    <w:rsid w:val="008D2EC1"/>
    <w:rsid w:val="008D3215"/>
    <w:rsid w:val="008D3644"/>
    <w:rsid w:val="008D3D59"/>
    <w:rsid w:val="008D4D7D"/>
    <w:rsid w:val="008D6C35"/>
    <w:rsid w:val="008D6F2E"/>
    <w:rsid w:val="008D7523"/>
    <w:rsid w:val="008E03D3"/>
    <w:rsid w:val="008E09D9"/>
    <w:rsid w:val="008E23A3"/>
    <w:rsid w:val="008E28CA"/>
    <w:rsid w:val="008E5C07"/>
    <w:rsid w:val="008E6413"/>
    <w:rsid w:val="008E6F86"/>
    <w:rsid w:val="008F019F"/>
    <w:rsid w:val="008F0680"/>
    <w:rsid w:val="008F0EB1"/>
    <w:rsid w:val="008F1C8A"/>
    <w:rsid w:val="008F4129"/>
    <w:rsid w:val="008F47C9"/>
    <w:rsid w:val="008F656A"/>
    <w:rsid w:val="008F7009"/>
    <w:rsid w:val="008F7E8A"/>
    <w:rsid w:val="008F7FBD"/>
    <w:rsid w:val="00900DCD"/>
    <w:rsid w:val="00902656"/>
    <w:rsid w:val="00902BB7"/>
    <w:rsid w:val="00902EF9"/>
    <w:rsid w:val="00903816"/>
    <w:rsid w:val="00903FEA"/>
    <w:rsid w:val="00904125"/>
    <w:rsid w:val="00911C3F"/>
    <w:rsid w:val="00912AAF"/>
    <w:rsid w:val="00913DC6"/>
    <w:rsid w:val="00913E42"/>
    <w:rsid w:val="00914B4B"/>
    <w:rsid w:val="00917621"/>
    <w:rsid w:val="00917F81"/>
    <w:rsid w:val="00921B50"/>
    <w:rsid w:val="009223A0"/>
    <w:rsid w:val="00922477"/>
    <w:rsid w:val="00922678"/>
    <w:rsid w:val="0092275D"/>
    <w:rsid w:val="00923177"/>
    <w:rsid w:val="00925C25"/>
    <w:rsid w:val="00925DE2"/>
    <w:rsid w:val="00926E2D"/>
    <w:rsid w:val="00927EF9"/>
    <w:rsid w:val="00933A97"/>
    <w:rsid w:val="009350E5"/>
    <w:rsid w:val="00935D8D"/>
    <w:rsid w:val="00936573"/>
    <w:rsid w:val="009369D4"/>
    <w:rsid w:val="00937252"/>
    <w:rsid w:val="00941F66"/>
    <w:rsid w:val="00942DE7"/>
    <w:rsid w:val="00943584"/>
    <w:rsid w:val="0094371E"/>
    <w:rsid w:val="00943A2F"/>
    <w:rsid w:val="00944547"/>
    <w:rsid w:val="00945F7D"/>
    <w:rsid w:val="00946FE7"/>
    <w:rsid w:val="00947D80"/>
    <w:rsid w:val="00947E15"/>
    <w:rsid w:val="00951FCC"/>
    <w:rsid w:val="00952F9A"/>
    <w:rsid w:val="00953F6F"/>
    <w:rsid w:val="00955265"/>
    <w:rsid w:val="00955BBA"/>
    <w:rsid w:val="009618A7"/>
    <w:rsid w:val="00961FAB"/>
    <w:rsid w:val="00962CB2"/>
    <w:rsid w:val="00962EB3"/>
    <w:rsid w:val="00962FA3"/>
    <w:rsid w:val="00963327"/>
    <w:rsid w:val="009641DE"/>
    <w:rsid w:val="00964FE6"/>
    <w:rsid w:val="00966E14"/>
    <w:rsid w:val="00967999"/>
    <w:rsid w:val="00970747"/>
    <w:rsid w:val="00970F86"/>
    <w:rsid w:val="009714FF"/>
    <w:rsid w:val="00972839"/>
    <w:rsid w:val="00975179"/>
    <w:rsid w:val="0097753E"/>
    <w:rsid w:val="00983241"/>
    <w:rsid w:val="00983284"/>
    <w:rsid w:val="00983E11"/>
    <w:rsid w:val="00984AD7"/>
    <w:rsid w:val="00985E92"/>
    <w:rsid w:val="0098602C"/>
    <w:rsid w:val="00986A86"/>
    <w:rsid w:val="009874AC"/>
    <w:rsid w:val="00990B5C"/>
    <w:rsid w:val="009A198D"/>
    <w:rsid w:val="009A19FD"/>
    <w:rsid w:val="009A254C"/>
    <w:rsid w:val="009A4982"/>
    <w:rsid w:val="009A5CBF"/>
    <w:rsid w:val="009A73E0"/>
    <w:rsid w:val="009B1325"/>
    <w:rsid w:val="009B1375"/>
    <w:rsid w:val="009B3257"/>
    <w:rsid w:val="009B347F"/>
    <w:rsid w:val="009B35BA"/>
    <w:rsid w:val="009B39F3"/>
    <w:rsid w:val="009B42CB"/>
    <w:rsid w:val="009B42ED"/>
    <w:rsid w:val="009B70E1"/>
    <w:rsid w:val="009B740D"/>
    <w:rsid w:val="009C0B81"/>
    <w:rsid w:val="009C0F66"/>
    <w:rsid w:val="009C18FF"/>
    <w:rsid w:val="009C214D"/>
    <w:rsid w:val="009C2221"/>
    <w:rsid w:val="009C3D2A"/>
    <w:rsid w:val="009C6466"/>
    <w:rsid w:val="009C6511"/>
    <w:rsid w:val="009D0181"/>
    <w:rsid w:val="009D0AAC"/>
    <w:rsid w:val="009D0BDC"/>
    <w:rsid w:val="009D1CE3"/>
    <w:rsid w:val="009D2044"/>
    <w:rsid w:val="009D4C94"/>
    <w:rsid w:val="009E0E24"/>
    <w:rsid w:val="009E1539"/>
    <w:rsid w:val="009E1E13"/>
    <w:rsid w:val="009E2A12"/>
    <w:rsid w:val="009E50B2"/>
    <w:rsid w:val="009E53EB"/>
    <w:rsid w:val="009E5CA0"/>
    <w:rsid w:val="009F14D5"/>
    <w:rsid w:val="009F55AE"/>
    <w:rsid w:val="009F5634"/>
    <w:rsid w:val="009F5833"/>
    <w:rsid w:val="009F624C"/>
    <w:rsid w:val="009F65DB"/>
    <w:rsid w:val="00A00407"/>
    <w:rsid w:val="00A02C1A"/>
    <w:rsid w:val="00A048CB"/>
    <w:rsid w:val="00A0734C"/>
    <w:rsid w:val="00A121E2"/>
    <w:rsid w:val="00A14042"/>
    <w:rsid w:val="00A14DCA"/>
    <w:rsid w:val="00A153EC"/>
    <w:rsid w:val="00A2002B"/>
    <w:rsid w:val="00A23B0A"/>
    <w:rsid w:val="00A24742"/>
    <w:rsid w:val="00A279F9"/>
    <w:rsid w:val="00A30A80"/>
    <w:rsid w:val="00A32DE2"/>
    <w:rsid w:val="00A33049"/>
    <w:rsid w:val="00A34262"/>
    <w:rsid w:val="00A352C7"/>
    <w:rsid w:val="00A37AC7"/>
    <w:rsid w:val="00A41CD6"/>
    <w:rsid w:val="00A436A1"/>
    <w:rsid w:val="00A4552F"/>
    <w:rsid w:val="00A45E0C"/>
    <w:rsid w:val="00A47163"/>
    <w:rsid w:val="00A47A06"/>
    <w:rsid w:val="00A50530"/>
    <w:rsid w:val="00A52C74"/>
    <w:rsid w:val="00A53CF0"/>
    <w:rsid w:val="00A541DA"/>
    <w:rsid w:val="00A54480"/>
    <w:rsid w:val="00A5461F"/>
    <w:rsid w:val="00A558BA"/>
    <w:rsid w:val="00A565AB"/>
    <w:rsid w:val="00A5671A"/>
    <w:rsid w:val="00A5738F"/>
    <w:rsid w:val="00A602B5"/>
    <w:rsid w:val="00A61D2E"/>
    <w:rsid w:val="00A61FA4"/>
    <w:rsid w:val="00A65824"/>
    <w:rsid w:val="00A677F8"/>
    <w:rsid w:val="00A708B7"/>
    <w:rsid w:val="00A71A5C"/>
    <w:rsid w:val="00A727A9"/>
    <w:rsid w:val="00A72A16"/>
    <w:rsid w:val="00A72EFB"/>
    <w:rsid w:val="00A72FB7"/>
    <w:rsid w:val="00A76468"/>
    <w:rsid w:val="00A804E6"/>
    <w:rsid w:val="00A82E0B"/>
    <w:rsid w:val="00A85F22"/>
    <w:rsid w:val="00A919A8"/>
    <w:rsid w:val="00A9204B"/>
    <w:rsid w:val="00A9236C"/>
    <w:rsid w:val="00A95C1E"/>
    <w:rsid w:val="00A97476"/>
    <w:rsid w:val="00A97C5D"/>
    <w:rsid w:val="00AA0C5C"/>
    <w:rsid w:val="00AA12DC"/>
    <w:rsid w:val="00AA1644"/>
    <w:rsid w:val="00AA2B9E"/>
    <w:rsid w:val="00AA2D5B"/>
    <w:rsid w:val="00AA4431"/>
    <w:rsid w:val="00AA6C78"/>
    <w:rsid w:val="00AA763A"/>
    <w:rsid w:val="00AA7652"/>
    <w:rsid w:val="00AB091B"/>
    <w:rsid w:val="00AB0C38"/>
    <w:rsid w:val="00AB2539"/>
    <w:rsid w:val="00AB548C"/>
    <w:rsid w:val="00AB5A8D"/>
    <w:rsid w:val="00AB6EF7"/>
    <w:rsid w:val="00AB6F0A"/>
    <w:rsid w:val="00AC086C"/>
    <w:rsid w:val="00AC1BBD"/>
    <w:rsid w:val="00AC24A9"/>
    <w:rsid w:val="00AC4029"/>
    <w:rsid w:val="00AC43C6"/>
    <w:rsid w:val="00AC4BAB"/>
    <w:rsid w:val="00AC6698"/>
    <w:rsid w:val="00AC689A"/>
    <w:rsid w:val="00AD011A"/>
    <w:rsid w:val="00AD2002"/>
    <w:rsid w:val="00AD402C"/>
    <w:rsid w:val="00AD5775"/>
    <w:rsid w:val="00AD5F5F"/>
    <w:rsid w:val="00AD641E"/>
    <w:rsid w:val="00AD6524"/>
    <w:rsid w:val="00AE38AD"/>
    <w:rsid w:val="00AE537E"/>
    <w:rsid w:val="00AE6545"/>
    <w:rsid w:val="00AE6982"/>
    <w:rsid w:val="00AE78F3"/>
    <w:rsid w:val="00AF0E2D"/>
    <w:rsid w:val="00AF112D"/>
    <w:rsid w:val="00AF1A51"/>
    <w:rsid w:val="00B01442"/>
    <w:rsid w:val="00B02E2E"/>
    <w:rsid w:val="00B03003"/>
    <w:rsid w:val="00B05A84"/>
    <w:rsid w:val="00B05B2A"/>
    <w:rsid w:val="00B05CE5"/>
    <w:rsid w:val="00B10A56"/>
    <w:rsid w:val="00B1127F"/>
    <w:rsid w:val="00B14532"/>
    <w:rsid w:val="00B156B6"/>
    <w:rsid w:val="00B15C82"/>
    <w:rsid w:val="00B17B07"/>
    <w:rsid w:val="00B20C6B"/>
    <w:rsid w:val="00B26E92"/>
    <w:rsid w:val="00B2792C"/>
    <w:rsid w:val="00B30BF6"/>
    <w:rsid w:val="00B3127B"/>
    <w:rsid w:val="00B31C50"/>
    <w:rsid w:val="00B32C5E"/>
    <w:rsid w:val="00B347E8"/>
    <w:rsid w:val="00B348F1"/>
    <w:rsid w:val="00B3586A"/>
    <w:rsid w:val="00B3633F"/>
    <w:rsid w:val="00B37A7C"/>
    <w:rsid w:val="00B40E65"/>
    <w:rsid w:val="00B50DD7"/>
    <w:rsid w:val="00B53DBD"/>
    <w:rsid w:val="00B54532"/>
    <w:rsid w:val="00B56AE5"/>
    <w:rsid w:val="00B57C12"/>
    <w:rsid w:val="00B60047"/>
    <w:rsid w:val="00B605E5"/>
    <w:rsid w:val="00B607BC"/>
    <w:rsid w:val="00B614CC"/>
    <w:rsid w:val="00B621E1"/>
    <w:rsid w:val="00B62A71"/>
    <w:rsid w:val="00B64ECA"/>
    <w:rsid w:val="00B65D78"/>
    <w:rsid w:val="00B70B6A"/>
    <w:rsid w:val="00B74C09"/>
    <w:rsid w:val="00B762AF"/>
    <w:rsid w:val="00B83CD6"/>
    <w:rsid w:val="00B841EB"/>
    <w:rsid w:val="00B846DA"/>
    <w:rsid w:val="00B84ED8"/>
    <w:rsid w:val="00B8509F"/>
    <w:rsid w:val="00B8560C"/>
    <w:rsid w:val="00B87B8D"/>
    <w:rsid w:val="00B909FD"/>
    <w:rsid w:val="00B90FED"/>
    <w:rsid w:val="00B91431"/>
    <w:rsid w:val="00B91AEB"/>
    <w:rsid w:val="00B920EC"/>
    <w:rsid w:val="00B92104"/>
    <w:rsid w:val="00B94D58"/>
    <w:rsid w:val="00BA2ADF"/>
    <w:rsid w:val="00BA4609"/>
    <w:rsid w:val="00BA4F84"/>
    <w:rsid w:val="00BB0F85"/>
    <w:rsid w:val="00BB252A"/>
    <w:rsid w:val="00BB2D3E"/>
    <w:rsid w:val="00BB6926"/>
    <w:rsid w:val="00BB6A0E"/>
    <w:rsid w:val="00BC28DC"/>
    <w:rsid w:val="00BC30AC"/>
    <w:rsid w:val="00BC4E56"/>
    <w:rsid w:val="00BC5071"/>
    <w:rsid w:val="00BC5AAF"/>
    <w:rsid w:val="00BC5C6E"/>
    <w:rsid w:val="00BC6351"/>
    <w:rsid w:val="00BD0C25"/>
    <w:rsid w:val="00BD1A63"/>
    <w:rsid w:val="00BD49E1"/>
    <w:rsid w:val="00BE20F7"/>
    <w:rsid w:val="00BE36AA"/>
    <w:rsid w:val="00BE38E3"/>
    <w:rsid w:val="00BE6A75"/>
    <w:rsid w:val="00BE7521"/>
    <w:rsid w:val="00BF1783"/>
    <w:rsid w:val="00BF3427"/>
    <w:rsid w:val="00BF59B6"/>
    <w:rsid w:val="00BF6C79"/>
    <w:rsid w:val="00BF7039"/>
    <w:rsid w:val="00BF7A69"/>
    <w:rsid w:val="00C012EA"/>
    <w:rsid w:val="00C04B02"/>
    <w:rsid w:val="00C05CB5"/>
    <w:rsid w:val="00C0645C"/>
    <w:rsid w:val="00C06C9E"/>
    <w:rsid w:val="00C124A4"/>
    <w:rsid w:val="00C12F23"/>
    <w:rsid w:val="00C1359D"/>
    <w:rsid w:val="00C135DC"/>
    <w:rsid w:val="00C138C1"/>
    <w:rsid w:val="00C17CC7"/>
    <w:rsid w:val="00C210A9"/>
    <w:rsid w:val="00C218A5"/>
    <w:rsid w:val="00C23F16"/>
    <w:rsid w:val="00C24855"/>
    <w:rsid w:val="00C24988"/>
    <w:rsid w:val="00C24C96"/>
    <w:rsid w:val="00C27B4E"/>
    <w:rsid w:val="00C306FA"/>
    <w:rsid w:val="00C35AB5"/>
    <w:rsid w:val="00C35AC6"/>
    <w:rsid w:val="00C35F11"/>
    <w:rsid w:val="00C36564"/>
    <w:rsid w:val="00C37F0E"/>
    <w:rsid w:val="00C40D8A"/>
    <w:rsid w:val="00C40D92"/>
    <w:rsid w:val="00C42583"/>
    <w:rsid w:val="00C42C6D"/>
    <w:rsid w:val="00C437A7"/>
    <w:rsid w:val="00C44723"/>
    <w:rsid w:val="00C44D0B"/>
    <w:rsid w:val="00C453AB"/>
    <w:rsid w:val="00C46166"/>
    <w:rsid w:val="00C47A47"/>
    <w:rsid w:val="00C47AB1"/>
    <w:rsid w:val="00C47D2D"/>
    <w:rsid w:val="00C5238F"/>
    <w:rsid w:val="00C54166"/>
    <w:rsid w:val="00C55010"/>
    <w:rsid w:val="00C558B4"/>
    <w:rsid w:val="00C568C9"/>
    <w:rsid w:val="00C56A85"/>
    <w:rsid w:val="00C62090"/>
    <w:rsid w:val="00C62A6C"/>
    <w:rsid w:val="00C663D7"/>
    <w:rsid w:val="00C677A1"/>
    <w:rsid w:val="00C70197"/>
    <w:rsid w:val="00C70A6E"/>
    <w:rsid w:val="00C71303"/>
    <w:rsid w:val="00C7130E"/>
    <w:rsid w:val="00C71AA5"/>
    <w:rsid w:val="00C723E0"/>
    <w:rsid w:val="00C72D29"/>
    <w:rsid w:val="00C7359A"/>
    <w:rsid w:val="00C7422C"/>
    <w:rsid w:val="00C744C9"/>
    <w:rsid w:val="00C75245"/>
    <w:rsid w:val="00C8006D"/>
    <w:rsid w:val="00C800DE"/>
    <w:rsid w:val="00C82249"/>
    <w:rsid w:val="00C82C5B"/>
    <w:rsid w:val="00C85808"/>
    <w:rsid w:val="00C85873"/>
    <w:rsid w:val="00C87BB6"/>
    <w:rsid w:val="00C909CD"/>
    <w:rsid w:val="00C91B31"/>
    <w:rsid w:val="00C94699"/>
    <w:rsid w:val="00C978D6"/>
    <w:rsid w:val="00CA1BF7"/>
    <w:rsid w:val="00CA2302"/>
    <w:rsid w:val="00CA234E"/>
    <w:rsid w:val="00CA2F02"/>
    <w:rsid w:val="00CA5686"/>
    <w:rsid w:val="00CB1134"/>
    <w:rsid w:val="00CB6416"/>
    <w:rsid w:val="00CB6B02"/>
    <w:rsid w:val="00CB6BC1"/>
    <w:rsid w:val="00CC0888"/>
    <w:rsid w:val="00CC1083"/>
    <w:rsid w:val="00CC17B3"/>
    <w:rsid w:val="00CC2C05"/>
    <w:rsid w:val="00CC3585"/>
    <w:rsid w:val="00CC4C3F"/>
    <w:rsid w:val="00CC503E"/>
    <w:rsid w:val="00CC5BF4"/>
    <w:rsid w:val="00CC6815"/>
    <w:rsid w:val="00CC6CF8"/>
    <w:rsid w:val="00CC7F86"/>
    <w:rsid w:val="00CD3017"/>
    <w:rsid w:val="00CD584B"/>
    <w:rsid w:val="00CD599A"/>
    <w:rsid w:val="00CD5DF2"/>
    <w:rsid w:val="00CD62E5"/>
    <w:rsid w:val="00CD7420"/>
    <w:rsid w:val="00CE0735"/>
    <w:rsid w:val="00CE10EB"/>
    <w:rsid w:val="00CE10EC"/>
    <w:rsid w:val="00CE5D96"/>
    <w:rsid w:val="00CE7DC9"/>
    <w:rsid w:val="00CF0CC2"/>
    <w:rsid w:val="00CF1178"/>
    <w:rsid w:val="00CF2803"/>
    <w:rsid w:val="00CF2FA7"/>
    <w:rsid w:val="00CF3D8F"/>
    <w:rsid w:val="00D00FCA"/>
    <w:rsid w:val="00D031A1"/>
    <w:rsid w:val="00D04633"/>
    <w:rsid w:val="00D06A52"/>
    <w:rsid w:val="00D10A2C"/>
    <w:rsid w:val="00D10AF9"/>
    <w:rsid w:val="00D11946"/>
    <w:rsid w:val="00D13E73"/>
    <w:rsid w:val="00D141BB"/>
    <w:rsid w:val="00D1440C"/>
    <w:rsid w:val="00D14E90"/>
    <w:rsid w:val="00D1570F"/>
    <w:rsid w:val="00D167A0"/>
    <w:rsid w:val="00D21EB7"/>
    <w:rsid w:val="00D25323"/>
    <w:rsid w:val="00D25AED"/>
    <w:rsid w:val="00D27CD8"/>
    <w:rsid w:val="00D301FF"/>
    <w:rsid w:val="00D327A5"/>
    <w:rsid w:val="00D34CAB"/>
    <w:rsid w:val="00D34DFF"/>
    <w:rsid w:val="00D360F6"/>
    <w:rsid w:val="00D4165C"/>
    <w:rsid w:val="00D43FA2"/>
    <w:rsid w:val="00D443D9"/>
    <w:rsid w:val="00D46781"/>
    <w:rsid w:val="00D472DA"/>
    <w:rsid w:val="00D5077E"/>
    <w:rsid w:val="00D53662"/>
    <w:rsid w:val="00D53751"/>
    <w:rsid w:val="00D54AFE"/>
    <w:rsid w:val="00D56081"/>
    <w:rsid w:val="00D565F3"/>
    <w:rsid w:val="00D579DF"/>
    <w:rsid w:val="00D57CE8"/>
    <w:rsid w:val="00D604AA"/>
    <w:rsid w:val="00D61985"/>
    <w:rsid w:val="00D62997"/>
    <w:rsid w:val="00D6344D"/>
    <w:rsid w:val="00D66923"/>
    <w:rsid w:val="00D6731D"/>
    <w:rsid w:val="00D67F48"/>
    <w:rsid w:val="00D70971"/>
    <w:rsid w:val="00D71FC5"/>
    <w:rsid w:val="00D720CA"/>
    <w:rsid w:val="00D732C1"/>
    <w:rsid w:val="00D76128"/>
    <w:rsid w:val="00D80B25"/>
    <w:rsid w:val="00D823B6"/>
    <w:rsid w:val="00D82845"/>
    <w:rsid w:val="00D84332"/>
    <w:rsid w:val="00D848BE"/>
    <w:rsid w:val="00D87D4A"/>
    <w:rsid w:val="00D90CC6"/>
    <w:rsid w:val="00D94875"/>
    <w:rsid w:val="00D9617E"/>
    <w:rsid w:val="00DA3F46"/>
    <w:rsid w:val="00DA4EC1"/>
    <w:rsid w:val="00DA6516"/>
    <w:rsid w:val="00DB10CA"/>
    <w:rsid w:val="00DB3F1B"/>
    <w:rsid w:val="00DB3FCB"/>
    <w:rsid w:val="00DB4B69"/>
    <w:rsid w:val="00DB4F3A"/>
    <w:rsid w:val="00DB5354"/>
    <w:rsid w:val="00DB7F80"/>
    <w:rsid w:val="00DC0539"/>
    <w:rsid w:val="00DC0867"/>
    <w:rsid w:val="00DC39FD"/>
    <w:rsid w:val="00DC4A0F"/>
    <w:rsid w:val="00DC5A0E"/>
    <w:rsid w:val="00DC5E68"/>
    <w:rsid w:val="00DC6B33"/>
    <w:rsid w:val="00DC6C42"/>
    <w:rsid w:val="00DC715C"/>
    <w:rsid w:val="00DC7D8D"/>
    <w:rsid w:val="00DD01BC"/>
    <w:rsid w:val="00DD0734"/>
    <w:rsid w:val="00DD0ACD"/>
    <w:rsid w:val="00DD2419"/>
    <w:rsid w:val="00DD3195"/>
    <w:rsid w:val="00DD3FAF"/>
    <w:rsid w:val="00DD4E93"/>
    <w:rsid w:val="00DD729F"/>
    <w:rsid w:val="00DD7980"/>
    <w:rsid w:val="00DE06EC"/>
    <w:rsid w:val="00DE1854"/>
    <w:rsid w:val="00DE36C9"/>
    <w:rsid w:val="00DE45A4"/>
    <w:rsid w:val="00DE4CE0"/>
    <w:rsid w:val="00DE6C76"/>
    <w:rsid w:val="00DF181F"/>
    <w:rsid w:val="00DF1CF3"/>
    <w:rsid w:val="00DF2315"/>
    <w:rsid w:val="00DF3B1A"/>
    <w:rsid w:val="00E0464D"/>
    <w:rsid w:val="00E047E6"/>
    <w:rsid w:val="00E0529B"/>
    <w:rsid w:val="00E0533B"/>
    <w:rsid w:val="00E070F4"/>
    <w:rsid w:val="00E077CB"/>
    <w:rsid w:val="00E07A05"/>
    <w:rsid w:val="00E07AAA"/>
    <w:rsid w:val="00E13A4D"/>
    <w:rsid w:val="00E1478B"/>
    <w:rsid w:val="00E17CEC"/>
    <w:rsid w:val="00E17E77"/>
    <w:rsid w:val="00E20A09"/>
    <w:rsid w:val="00E21C69"/>
    <w:rsid w:val="00E23ADD"/>
    <w:rsid w:val="00E2423B"/>
    <w:rsid w:val="00E25117"/>
    <w:rsid w:val="00E27210"/>
    <w:rsid w:val="00E27A19"/>
    <w:rsid w:val="00E27ED2"/>
    <w:rsid w:val="00E307C1"/>
    <w:rsid w:val="00E37BA7"/>
    <w:rsid w:val="00E408E9"/>
    <w:rsid w:val="00E41270"/>
    <w:rsid w:val="00E4142B"/>
    <w:rsid w:val="00E42E80"/>
    <w:rsid w:val="00E458DA"/>
    <w:rsid w:val="00E46276"/>
    <w:rsid w:val="00E46621"/>
    <w:rsid w:val="00E46723"/>
    <w:rsid w:val="00E506A1"/>
    <w:rsid w:val="00E51272"/>
    <w:rsid w:val="00E51672"/>
    <w:rsid w:val="00E52711"/>
    <w:rsid w:val="00E528F2"/>
    <w:rsid w:val="00E546B8"/>
    <w:rsid w:val="00E54EFC"/>
    <w:rsid w:val="00E562DC"/>
    <w:rsid w:val="00E61058"/>
    <w:rsid w:val="00E63A14"/>
    <w:rsid w:val="00E63F09"/>
    <w:rsid w:val="00E64099"/>
    <w:rsid w:val="00E6496B"/>
    <w:rsid w:val="00E65B9B"/>
    <w:rsid w:val="00E65DC7"/>
    <w:rsid w:val="00E66570"/>
    <w:rsid w:val="00E66788"/>
    <w:rsid w:val="00E6689A"/>
    <w:rsid w:val="00E71941"/>
    <w:rsid w:val="00E72164"/>
    <w:rsid w:val="00E7321F"/>
    <w:rsid w:val="00E74593"/>
    <w:rsid w:val="00E77375"/>
    <w:rsid w:val="00E81CD3"/>
    <w:rsid w:val="00E8544D"/>
    <w:rsid w:val="00E87447"/>
    <w:rsid w:val="00E90008"/>
    <w:rsid w:val="00E903B7"/>
    <w:rsid w:val="00E90932"/>
    <w:rsid w:val="00E912AC"/>
    <w:rsid w:val="00E913F0"/>
    <w:rsid w:val="00E91517"/>
    <w:rsid w:val="00E91FA6"/>
    <w:rsid w:val="00E920F6"/>
    <w:rsid w:val="00E92A5B"/>
    <w:rsid w:val="00E93311"/>
    <w:rsid w:val="00E94B4E"/>
    <w:rsid w:val="00E94C2E"/>
    <w:rsid w:val="00E94C54"/>
    <w:rsid w:val="00E950B7"/>
    <w:rsid w:val="00E958C7"/>
    <w:rsid w:val="00EA0F43"/>
    <w:rsid w:val="00EA383D"/>
    <w:rsid w:val="00EA4213"/>
    <w:rsid w:val="00EA49E4"/>
    <w:rsid w:val="00EA53D1"/>
    <w:rsid w:val="00EA63D4"/>
    <w:rsid w:val="00EA6D49"/>
    <w:rsid w:val="00EA6D6E"/>
    <w:rsid w:val="00EA70AA"/>
    <w:rsid w:val="00EA7F14"/>
    <w:rsid w:val="00EB1D78"/>
    <w:rsid w:val="00EB4F14"/>
    <w:rsid w:val="00EB5CCE"/>
    <w:rsid w:val="00EB6C7B"/>
    <w:rsid w:val="00EB771D"/>
    <w:rsid w:val="00EC14A7"/>
    <w:rsid w:val="00EC14E4"/>
    <w:rsid w:val="00EC334D"/>
    <w:rsid w:val="00EC587B"/>
    <w:rsid w:val="00EC6AC9"/>
    <w:rsid w:val="00EC6D59"/>
    <w:rsid w:val="00EC6F00"/>
    <w:rsid w:val="00EC7591"/>
    <w:rsid w:val="00ED05D8"/>
    <w:rsid w:val="00ED12B3"/>
    <w:rsid w:val="00ED2534"/>
    <w:rsid w:val="00ED516D"/>
    <w:rsid w:val="00ED5CBF"/>
    <w:rsid w:val="00ED61D7"/>
    <w:rsid w:val="00ED6314"/>
    <w:rsid w:val="00ED69F0"/>
    <w:rsid w:val="00EE1A2C"/>
    <w:rsid w:val="00EE2029"/>
    <w:rsid w:val="00EE24DA"/>
    <w:rsid w:val="00EE2BCA"/>
    <w:rsid w:val="00EE39CB"/>
    <w:rsid w:val="00EE5E53"/>
    <w:rsid w:val="00EE7AA1"/>
    <w:rsid w:val="00EF30F7"/>
    <w:rsid w:val="00EF3336"/>
    <w:rsid w:val="00EF43A2"/>
    <w:rsid w:val="00EF65D0"/>
    <w:rsid w:val="00F00463"/>
    <w:rsid w:val="00F01DE6"/>
    <w:rsid w:val="00F02A51"/>
    <w:rsid w:val="00F02BB8"/>
    <w:rsid w:val="00F045F5"/>
    <w:rsid w:val="00F05699"/>
    <w:rsid w:val="00F05AF6"/>
    <w:rsid w:val="00F074B4"/>
    <w:rsid w:val="00F101A3"/>
    <w:rsid w:val="00F106D9"/>
    <w:rsid w:val="00F13B15"/>
    <w:rsid w:val="00F22BC7"/>
    <w:rsid w:val="00F2636E"/>
    <w:rsid w:val="00F27A03"/>
    <w:rsid w:val="00F329CC"/>
    <w:rsid w:val="00F35D3A"/>
    <w:rsid w:val="00F36200"/>
    <w:rsid w:val="00F36794"/>
    <w:rsid w:val="00F40946"/>
    <w:rsid w:val="00F40BBF"/>
    <w:rsid w:val="00F41DEA"/>
    <w:rsid w:val="00F44015"/>
    <w:rsid w:val="00F4469D"/>
    <w:rsid w:val="00F450FA"/>
    <w:rsid w:val="00F460DB"/>
    <w:rsid w:val="00F47A47"/>
    <w:rsid w:val="00F53BB3"/>
    <w:rsid w:val="00F53C7C"/>
    <w:rsid w:val="00F53DC8"/>
    <w:rsid w:val="00F55D15"/>
    <w:rsid w:val="00F56355"/>
    <w:rsid w:val="00F57347"/>
    <w:rsid w:val="00F573DE"/>
    <w:rsid w:val="00F631E2"/>
    <w:rsid w:val="00F63855"/>
    <w:rsid w:val="00F65BFD"/>
    <w:rsid w:val="00F66817"/>
    <w:rsid w:val="00F678CA"/>
    <w:rsid w:val="00F708BD"/>
    <w:rsid w:val="00F71691"/>
    <w:rsid w:val="00F72289"/>
    <w:rsid w:val="00F7300F"/>
    <w:rsid w:val="00F735AA"/>
    <w:rsid w:val="00F74F63"/>
    <w:rsid w:val="00F752C3"/>
    <w:rsid w:val="00F75EA8"/>
    <w:rsid w:val="00F76959"/>
    <w:rsid w:val="00F77484"/>
    <w:rsid w:val="00F82126"/>
    <w:rsid w:val="00F82734"/>
    <w:rsid w:val="00F845CA"/>
    <w:rsid w:val="00F84D33"/>
    <w:rsid w:val="00F9056A"/>
    <w:rsid w:val="00F915BA"/>
    <w:rsid w:val="00F93311"/>
    <w:rsid w:val="00F94114"/>
    <w:rsid w:val="00F9531A"/>
    <w:rsid w:val="00F95E3B"/>
    <w:rsid w:val="00F96262"/>
    <w:rsid w:val="00F96446"/>
    <w:rsid w:val="00F966C8"/>
    <w:rsid w:val="00F976C5"/>
    <w:rsid w:val="00F97A58"/>
    <w:rsid w:val="00FA0F23"/>
    <w:rsid w:val="00FA1310"/>
    <w:rsid w:val="00FA139D"/>
    <w:rsid w:val="00FA281C"/>
    <w:rsid w:val="00FA2BA7"/>
    <w:rsid w:val="00FA2C44"/>
    <w:rsid w:val="00FA4C09"/>
    <w:rsid w:val="00FA651A"/>
    <w:rsid w:val="00FA6661"/>
    <w:rsid w:val="00FA73AB"/>
    <w:rsid w:val="00FA7F22"/>
    <w:rsid w:val="00FB096F"/>
    <w:rsid w:val="00FB12A0"/>
    <w:rsid w:val="00FB2B34"/>
    <w:rsid w:val="00FB499E"/>
    <w:rsid w:val="00FB578C"/>
    <w:rsid w:val="00FC1653"/>
    <w:rsid w:val="00FC3432"/>
    <w:rsid w:val="00FC347A"/>
    <w:rsid w:val="00FC6BD5"/>
    <w:rsid w:val="00FC71EF"/>
    <w:rsid w:val="00FD2B15"/>
    <w:rsid w:val="00FD37BA"/>
    <w:rsid w:val="00FD4EF8"/>
    <w:rsid w:val="00FD77B9"/>
    <w:rsid w:val="00FE135C"/>
    <w:rsid w:val="00FE274A"/>
    <w:rsid w:val="00FE3629"/>
    <w:rsid w:val="00FE39B9"/>
    <w:rsid w:val="00FE7A2C"/>
    <w:rsid w:val="00FE7BFA"/>
    <w:rsid w:val="00FF0979"/>
    <w:rsid w:val="00FF0EBE"/>
    <w:rsid w:val="00FF31BE"/>
    <w:rsid w:val="00FF34F3"/>
    <w:rsid w:val="00FF63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5229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semiHidden="0" w:uiPriority="99" w:unhideWhenUsed="0" w:qFormat="1"/>
    <w:lsdException w:name="heading 3" w:locked="1" w:semiHidden="0" w:uiPriority="99" w:unhideWhenUsed="0" w:qFormat="1"/>
    <w:lsdException w:name="heading 4" w:locked="1" w:semiHidden="0" w:uiPriority="99" w:unhideWhenUsed="0" w:qFormat="1"/>
    <w:lsdException w:name="heading 5" w:locked="1" w:semiHidden="0" w:uiPriority="99" w:unhideWhenUsed="0"/>
    <w:lsdException w:name="heading 6" w:locked="1" w:semiHidden="0" w:uiPriority="99" w:unhideWhenUsed="0"/>
    <w:lsdException w:name="heading 7" w:locked="1" w:uiPriority="99"/>
    <w:lsdException w:name="heading 8" w:locked="1" w:uiPriority="99"/>
    <w:lsdException w:name="heading 9" w:locked="1" w:uiPriority="99"/>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uiPriority="99"/>
    <w:lsdException w:name="header" w:locked="1"/>
    <w:lsdException w:name="caption" w:locked="1" w:qFormat="1"/>
    <w:lsdException w:name="footnote reference" w:locked="1" w:uiPriority="99"/>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uiPriority="1"/>
    <w:lsdException w:name="Body Tex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lsdException w:name="Emphasis" w:locked="1" w:semiHidden="0" w:unhideWhenUsed="0"/>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9617E"/>
    <w:pPr>
      <w:spacing w:after="240"/>
    </w:pPr>
    <w:rPr>
      <w:rFonts w:ascii="Tahoma" w:eastAsia="MS Mincho" w:hAnsi="Tahoma"/>
      <w:sz w:val="24"/>
      <w:szCs w:val="24"/>
      <w:lang w:val="en-US"/>
    </w:rPr>
  </w:style>
  <w:style w:type="paragraph" w:styleId="Heading1">
    <w:name w:val="heading 1"/>
    <w:basedOn w:val="Normal"/>
    <w:next w:val="Normal"/>
    <w:link w:val="Heading1Char"/>
    <w:uiPriority w:val="99"/>
    <w:qFormat/>
    <w:rsid w:val="00EC6F00"/>
    <w:pPr>
      <w:keepNext/>
      <w:keepLines/>
      <w:numPr>
        <w:numId w:val="23"/>
      </w:numPr>
      <w:tabs>
        <w:tab w:val="left" w:pos="852"/>
      </w:tabs>
      <w:spacing w:after="120"/>
      <w:ind w:left="851" w:hanging="851"/>
      <w:outlineLvl w:val="0"/>
    </w:pPr>
    <w:rPr>
      <w:rFonts w:ascii="Arial" w:eastAsia="MS Gothic" w:hAnsi="Arial"/>
      <w:b/>
      <w:bCs/>
      <w:sz w:val="28"/>
      <w:szCs w:val="28"/>
      <w:lang w:val="en-AU" w:eastAsia="en-AU"/>
    </w:rPr>
  </w:style>
  <w:style w:type="paragraph" w:styleId="Heading2">
    <w:name w:val="heading 2"/>
    <w:basedOn w:val="Normal"/>
    <w:next w:val="Normal"/>
    <w:link w:val="Heading2Char"/>
    <w:uiPriority w:val="99"/>
    <w:qFormat/>
    <w:rsid w:val="00EC6F00"/>
    <w:pPr>
      <w:keepNext/>
      <w:keepLines/>
      <w:numPr>
        <w:ilvl w:val="1"/>
        <w:numId w:val="23"/>
      </w:numPr>
      <w:spacing w:after="120"/>
      <w:ind w:left="851" w:hanging="851"/>
      <w:outlineLvl w:val="1"/>
    </w:pPr>
    <w:rPr>
      <w:rFonts w:eastAsia="MS Gothic"/>
      <w:b/>
      <w:bCs/>
      <w:i/>
      <w:iCs/>
      <w:szCs w:val="22"/>
      <w:lang w:val="en-AU" w:eastAsia="en-AU"/>
    </w:rPr>
  </w:style>
  <w:style w:type="paragraph" w:styleId="Heading3">
    <w:name w:val="heading 3"/>
    <w:basedOn w:val="Normal"/>
    <w:next w:val="Normal"/>
    <w:link w:val="Heading3Char"/>
    <w:uiPriority w:val="99"/>
    <w:qFormat/>
    <w:rsid w:val="00EC6F00"/>
    <w:pPr>
      <w:keepNext/>
      <w:keepLines/>
      <w:numPr>
        <w:ilvl w:val="2"/>
        <w:numId w:val="23"/>
      </w:numPr>
      <w:spacing w:after="120"/>
      <w:ind w:left="851" w:hanging="851"/>
      <w:outlineLvl w:val="2"/>
    </w:pPr>
    <w:rPr>
      <w:rFonts w:eastAsia="MS Gothic"/>
      <w:b/>
      <w:bCs/>
      <w:i/>
      <w:szCs w:val="20"/>
      <w:lang w:val="en-AU" w:eastAsia="en-AU"/>
    </w:rPr>
  </w:style>
  <w:style w:type="paragraph" w:styleId="Heading4">
    <w:name w:val="heading 4"/>
    <w:basedOn w:val="Normal"/>
    <w:next w:val="Normal"/>
    <w:link w:val="Heading4Char"/>
    <w:uiPriority w:val="99"/>
    <w:qFormat/>
    <w:rsid w:val="00E46621"/>
    <w:pPr>
      <w:keepNext/>
      <w:keepLines/>
      <w:numPr>
        <w:ilvl w:val="3"/>
        <w:numId w:val="23"/>
      </w:numPr>
      <w:spacing w:before="200" w:after="0"/>
      <w:outlineLvl w:val="3"/>
    </w:pPr>
    <w:rPr>
      <w:rFonts w:ascii="Cambria" w:eastAsia="MS Gothic" w:hAnsi="Cambria"/>
      <w:b/>
      <w:bCs/>
      <w:i/>
      <w:iCs/>
      <w:color w:val="4F81BD"/>
      <w:lang w:eastAsia="en-AU"/>
    </w:rPr>
  </w:style>
  <w:style w:type="paragraph" w:styleId="Heading5">
    <w:name w:val="heading 5"/>
    <w:basedOn w:val="Normal"/>
    <w:next w:val="Normal"/>
    <w:link w:val="Heading5Char"/>
    <w:uiPriority w:val="99"/>
    <w:rsid w:val="00E46621"/>
    <w:pPr>
      <w:keepNext/>
      <w:keepLines/>
      <w:numPr>
        <w:ilvl w:val="4"/>
        <w:numId w:val="23"/>
      </w:numPr>
      <w:spacing w:before="200" w:after="0"/>
      <w:outlineLvl w:val="4"/>
    </w:pPr>
    <w:rPr>
      <w:rFonts w:ascii="Cambria" w:eastAsia="MS Gothic" w:hAnsi="Cambria"/>
      <w:color w:val="243F60"/>
      <w:lang w:eastAsia="en-AU"/>
    </w:rPr>
  </w:style>
  <w:style w:type="paragraph" w:styleId="Heading6">
    <w:name w:val="heading 6"/>
    <w:basedOn w:val="Normal"/>
    <w:next w:val="Normal"/>
    <w:link w:val="Heading6Char"/>
    <w:uiPriority w:val="99"/>
    <w:rsid w:val="00E46621"/>
    <w:pPr>
      <w:keepNext/>
      <w:keepLines/>
      <w:numPr>
        <w:ilvl w:val="5"/>
        <w:numId w:val="23"/>
      </w:numPr>
      <w:spacing w:before="200" w:after="0"/>
      <w:outlineLvl w:val="5"/>
    </w:pPr>
    <w:rPr>
      <w:rFonts w:ascii="Cambria" w:eastAsia="MS Gothic" w:hAnsi="Cambria"/>
      <w:i/>
      <w:iCs/>
      <w:color w:val="243F60"/>
      <w:lang w:eastAsia="en-AU"/>
    </w:rPr>
  </w:style>
  <w:style w:type="paragraph" w:styleId="Heading7">
    <w:name w:val="heading 7"/>
    <w:basedOn w:val="Normal"/>
    <w:next w:val="Normal"/>
    <w:link w:val="Heading7Char"/>
    <w:uiPriority w:val="99"/>
    <w:rsid w:val="00E46621"/>
    <w:pPr>
      <w:keepNext/>
      <w:keepLines/>
      <w:numPr>
        <w:ilvl w:val="6"/>
        <w:numId w:val="23"/>
      </w:numPr>
      <w:spacing w:before="200" w:after="0"/>
      <w:outlineLvl w:val="6"/>
    </w:pPr>
    <w:rPr>
      <w:rFonts w:ascii="Cambria" w:eastAsia="MS Gothic" w:hAnsi="Cambria"/>
      <w:i/>
      <w:iCs/>
      <w:color w:val="404040"/>
      <w:lang w:eastAsia="en-AU"/>
    </w:rPr>
  </w:style>
  <w:style w:type="paragraph" w:styleId="Heading8">
    <w:name w:val="heading 8"/>
    <w:basedOn w:val="Normal"/>
    <w:next w:val="Normal"/>
    <w:link w:val="Heading8Char"/>
    <w:uiPriority w:val="99"/>
    <w:rsid w:val="00E46621"/>
    <w:pPr>
      <w:keepNext/>
      <w:keepLines/>
      <w:numPr>
        <w:ilvl w:val="7"/>
        <w:numId w:val="23"/>
      </w:numPr>
      <w:spacing w:before="200" w:after="0"/>
      <w:outlineLvl w:val="7"/>
    </w:pPr>
    <w:rPr>
      <w:rFonts w:ascii="Cambria" w:eastAsia="MS Gothic" w:hAnsi="Cambria"/>
      <w:color w:val="404040"/>
      <w:sz w:val="20"/>
      <w:szCs w:val="20"/>
      <w:lang w:eastAsia="en-AU"/>
    </w:rPr>
  </w:style>
  <w:style w:type="paragraph" w:styleId="Heading9">
    <w:name w:val="heading 9"/>
    <w:basedOn w:val="Normal"/>
    <w:next w:val="Normal"/>
    <w:link w:val="Heading9Char"/>
    <w:uiPriority w:val="99"/>
    <w:rsid w:val="00E46621"/>
    <w:pPr>
      <w:keepNext/>
      <w:keepLines/>
      <w:numPr>
        <w:ilvl w:val="8"/>
        <w:numId w:val="23"/>
      </w:numPr>
      <w:spacing w:before="200" w:after="0"/>
      <w:outlineLvl w:val="8"/>
    </w:pPr>
    <w:rPr>
      <w:rFonts w:ascii="Cambria" w:eastAsia="MS Gothic" w:hAnsi="Cambria"/>
      <w:i/>
      <w:iCs/>
      <w:color w:val="40404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6F00"/>
    <w:rPr>
      <w:rFonts w:ascii="Arial" w:eastAsia="MS Gothic" w:hAnsi="Arial"/>
      <w:b/>
      <w:bCs/>
      <w:sz w:val="28"/>
      <w:szCs w:val="28"/>
      <w:lang w:eastAsia="en-AU"/>
    </w:rPr>
  </w:style>
  <w:style w:type="character" w:customStyle="1" w:styleId="Heading2Char">
    <w:name w:val="Heading 2 Char"/>
    <w:link w:val="Heading2"/>
    <w:uiPriority w:val="99"/>
    <w:locked/>
    <w:rsid w:val="00EC6F00"/>
    <w:rPr>
      <w:rFonts w:ascii="Tahoma" w:eastAsia="MS Gothic" w:hAnsi="Tahoma"/>
      <w:b/>
      <w:bCs/>
      <w:i/>
      <w:iCs/>
      <w:sz w:val="24"/>
      <w:szCs w:val="22"/>
      <w:lang w:eastAsia="en-AU"/>
    </w:rPr>
  </w:style>
  <w:style w:type="character" w:customStyle="1" w:styleId="Heading3Char">
    <w:name w:val="Heading 3 Char"/>
    <w:link w:val="Heading3"/>
    <w:uiPriority w:val="99"/>
    <w:locked/>
    <w:rsid w:val="00EC6F00"/>
    <w:rPr>
      <w:rFonts w:ascii="Tahoma" w:eastAsia="MS Gothic" w:hAnsi="Tahoma"/>
      <w:b/>
      <w:bCs/>
      <w:i/>
      <w:sz w:val="24"/>
      <w:lang w:eastAsia="en-AU"/>
    </w:rPr>
  </w:style>
  <w:style w:type="character" w:customStyle="1" w:styleId="Heading4Char">
    <w:name w:val="Heading 4 Char"/>
    <w:link w:val="Heading4"/>
    <w:uiPriority w:val="99"/>
    <w:locked/>
    <w:rsid w:val="00E46621"/>
    <w:rPr>
      <w:rFonts w:ascii="Cambria" w:eastAsia="MS Gothic" w:hAnsi="Cambria"/>
      <w:b/>
      <w:bCs/>
      <w:i/>
      <w:iCs/>
      <w:color w:val="4F81BD"/>
      <w:sz w:val="24"/>
      <w:szCs w:val="24"/>
      <w:lang w:val="en-US" w:eastAsia="en-AU"/>
    </w:rPr>
  </w:style>
  <w:style w:type="character" w:customStyle="1" w:styleId="Heading5Char">
    <w:name w:val="Heading 5 Char"/>
    <w:link w:val="Heading5"/>
    <w:uiPriority w:val="99"/>
    <w:locked/>
    <w:rsid w:val="00E46621"/>
    <w:rPr>
      <w:rFonts w:ascii="Cambria" w:eastAsia="MS Gothic" w:hAnsi="Cambria"/>
      <w:color w:val="243F60"/>
      <w:sz w:val="24"/>
      <w:szCs w:val="24"/>
      <w:lang w:val="en-US" w:eastAsia="en-AU"/>
    </w:rPr>
  </w:style>
  <w:style w:type="character" w:customStyle="1" w:styleId="Heading6Char">
    <w:name w:val="Heading 6 Char"/>
    <w:link w:val="Heading6"/>
    <w:uiPriority w:val="99"/>
    <w:locked/>
    <w:rsid w:val="00E46621"/>
    <w:rPr>
      <w:rFonts w:ascii="Cambria" w:eastAsia="MS Gothic" w:hAnsi="Cambria"/>
      <w:i/>
      <w:iCs/>
      <w:color w:val="243F60"/>
      <w:sz w:val="24"/>
      <w:szCs w:val="24"/>
      <w:lang w:val="en-US" w:eastAsia="en-AU"/>
    </w:rPr>
  </w:style>
  <w:style w:type="character" w:customStyle="1" w:styleId="Heading7Char">
    <w:name w:val="Heading 7 Char"/>
    <w:link w:val="Heading7"/>
    <w:uiPriority w:val="99"/>
    <w:locked/>
    <w:rsid w:val="00E46621"/>
    <w:rPr>
      <w:rFonts w:ascii="Cambria" w:eastAsia="MS Gothic" w:hAnsi="Cambria"/>
      <w:i/>
      <w:iCs/>
      <w:color w:val="404040"/>
      <w:sz w:val="24"/>
      <w:szCs w:val="24"/>
      <w:lang w:val="en-US" w:eastAsia="en-AU"/>
    </w:rPr>
  </w:style>
  <w:style w:type="character" w:customStyle="1" w:styleId="Heading8Char">
    <w:name w:val="Heading 8 Char"/>
    <w:link w:val="Heading8"/>
    <w:uiPriority w:val="99"/>
    <w:locked/>
    <w:rsid w:val="00E46621"/>
    <w:rPr>
      <w:rFonts w:ascii="Cambria" w:eastAsia="MS Gothic" w:hAnsi="Cambria"/>
      <w:color w:val="404040"/>
      <w:lang w:val="en-US" w:eastAsia="en-AU"/>
    </w:rPr>
  </w:style>
  <w:style w:type="character" w:customStyle="1" w:styleId="Heading9Char">
    <w:name w:val="Heading 9 Char"/>
    <w:link w:val="Heading9"/>
    <w:uiPriority w:val="99"/>
    <w:locked/>
    <w:rsid w:val="00E46621"/>
    <w:rPr>
      <w:rFonts w:ascii="Cambria" w:eastAsia="MS Gothic" w:hAnsi="Cambria"/>
      <w:i/>
      <w:iCs/>
      <w:color w:val="404040"/>
      <w:lang w:val="en-US" w:eastAsia="en-AU"/>
    </w:rPr>
  </w:style>
  <w:style w:type="paragraph" w:styleId="BalloonText">
    <w:name w:val="Balloon Text"/>
    <w:basedOn w:val="Normal"/>
    <w:link w:val="BalloonTextChar"/>
    <w:semiHidden/>
    <w:rsid w:val="00DC4A0F"/>
    <w:pPr>
      <w:spacing w:after="0"/>
    </w:pPr>
    <w:rPr>
      <w:sz w:val="16"/>
      <w:szCs w:val="20"/>
      <w:lang w:eastAsia="en-AU"/>
    </w:rPr>
  </w:style>
  <w:style w:type="character" w:customStyle="1" w:styleId="BalloonTextChar">
    <w:name w:val="Balloon Text Char"/>
    <w:link w:val="BalloonText"/>
    <w:semiHidden/>
    <w:locked/>
    <w:rsid w:val="00DC4A0F"/>
    <w:rPr>
      <w:rFonts w:ascii="Tahoma" w:eastAsia="MS Mincho" w:hAnsi="Tahoma"/>
      <w:sz w:val="16"/>
      <w:lang w:val="en-US"/>
    </w:rPr>
  </w:style>
  <w:style w:type="paragraph" w:styleId="FootnoteText">
    <w:name w:val="footnote text"/>
    <w:basedOn w:val="Normal"/>
    <w:link w:val="FootnoteTextChar"/>
    <w:uiPriority w:val="99"/>
    <w:rsid w:val="00E91517"/>
    <w:pPr>
      <w:spacing w:after="60"/>
      <w:ind w:left="567" w:hanging="567"/>
    </w:pPr>
    <w:rPr>
      <w:rFonts w:eastAsia="Calibri"/>
      <w:sz w:val="20"/>
      <w:szCs w:val="20"/>
      <w:lang w:val="en-AU" w:eastAsia="en-AU"/>
    </w:rPr>
  </w:style>
  <w:style w:type="character" w:customStyle="1" w:styleId="FootnoteTextChar">
    <w:name w:val="Footnote Text Char"/>
    <w:link w:val="FootnoteText"/>
    <w:uiPriority w:val="99"/>
    <w:locked/>
    <w:rsid w:val="00E91517"/>
    <w:rPr>
      <w:rFonts w:ascii="Tahoma" w:hAnsi="Tahoma"/>
    </w:rPr>
  </w:style>
  <w:style w:type="character" w:styleId="FootnoteReference">
    <w:name w:val="footnote reference"/>
    <w:uiPriority w:val="99"/>
    <w:rsid w:val="00B05B2A"/>
    <w:rPr>
      <w:rFonts w:cs="Times New Roman"/>
      <w:vertAlign w:val="superscript"/>
    </w:rPr>
  </w:style>
  <w:style w:type="paragraph" w:styleId="Caption">
    <w:name w:val="caption"/>
    <w:basedOn w:val="Normal"/>
    <w:next w:val="Normal"/>
    <w:qFormat/>
    <w:rsid w:val="007B1D27"/>
    <w:pPr>
      <w:keepNext/>
      <w:spacing w:after="200"/>
    </w:pPr>
    <w:rPr>
      <w:b/>
      <w:bCs/>
      <w:sz w:val="20"/>
      <w:szCs w:val="22"/>
    </w:rPr>
  </w:style>
  <w:style w:type="character" w:styleId="Hyperlink">
    <w:name w:val="Hyperlink"/>
    <w:uiPriority w:val="99"/>
    <w:rsid w:val="00316315"/>
    <w:rPr>
      <w:rFonts w:cs="Times New Roman"/>
      <w:color w:val="0000FF"/>
      <w:u w:val="single"/>
    </w:rPr>
  </w:style>
  <w:style w:type="paragraph" w:styleId="Footer">
    <w:name w:val="footer"/>
    <w:basedOn w:val="Normal"/>
    <w:link w:val="FooterChar"/>
    <w:rsid w:val="00483312"/>
    <w:pPr>
      <w:tabs>
        <w:tab w:val="center" w:pos="4513"/>
        <w:tab w:val="right" w:pos="9026"/>
      </w:tabs>
      <w:spacing w:after="0"/>
    </w:pPr>
    <w:rPr>
      <w:rFonts w:ascii="Calibri" w:hAnsi="Calibri"/>
      <w:szCs w:val="20"/>
      <w:lang w:eastAsia="en-AU"/>
    </w:rPr>
  </w:style>
  <w:style w:type="character" w:customStyle="1" w:styleId="FooterChar">
    <w:name w:val="Footer Char"/>
    <w:link w:val="Footer"/>
    <w:locked/>
    <w:rsid w:val="00483312"/>
    <w:rPr>
      <w:rFonts w:eastAsia="MS Mincho"/>
      <w:sz w:val="24"/>
      <w:lang w:val="en-US"/>
    </w:rPr>
  </w:style>
  <w:style w:type="paragraph" w:styleId="TOC1">
    <w:name w:val="toc 1"/>
    <w:basedOn w:val="Normal"/>
    <w:next w:val="Normal"/>
    <w:autoRedefine/>
    <w:uiPriority w:val="39"/>
    <w:qFormat/>
    <w:rsid w:val="000955C1"/>
    <w:pPr>
      <w:tabs>
        <w:tab w:val="left" w:pos="440"/>
        <w:tab w:val="right" w:leader="dot" w:pos="9061"/>
      </w:tabs>
      <w:spacing w:before="120" w:after="0"/>
    </w:pPr>
    <w:rPr>
      <w:rFonts w:ascii="Arial" w:hAnsi="Arial"/>
      <w:b/>
    </w:rPr>
  </w:style>
  <w:style w:type="paragraph" w:styleId="TOC2">
    <w:name w:val="toc 2"/>
    <w:basedOn w:val="Normal"/>
    <w:next w:val="Normal"/>
    <w:autoRedefine/>
    <w:uiPriority w:val="39"/>
    <w:qFormat/>
    <w:rsid w:val="00E07A05"/>
    <w:pPr>
      <w:spacing w:after="0"/>
      <w:ind w:left="220"/>
    </w:pPr>
    <w:rPr>
      <w:rFonts w:ascii="Arial" w:hAnsi="Arial"/>
      <w:szCs w:val="22"/>
    </w:rPr>
  </w:style>
  <w:style w:type="paragraph" w:styleId="TOC3">
    <w:name w:val="toc 3"/>
    <w:basedOn w:val="Normal"/>
    <w:next w:val="Normal"/>
    <w:autoRedefine/>
    <w:uiPriority w:val="39"/>
    <w:qFormat/>
    <w:rsid w:val="00C82249"/>
    <w:pPr>
      <w:spacing w:after="0"/>
      <w:ind w:left="440"/>
    </w:pPr>
    <w:rPr>
      <w:sz w:val="22"/>
      <w:szCs w:val="22"/>
    </w:rPr>
  </w:style>
  <w:style w:type="paragraph" w:styleId="TOC4">
    <w:name w:val="toc 4"/>
    <w:basedOn w:val="Normal"/>
    <w:next w:val="Normal"/>
    <w:autoRedefine/>
    <w:uiPriority w:val="39"/>
    <w:rsid w:val="003C05DD"/>
    <w:pPr>
      <w:spacing w:after="0"/>
      <w:ind w:left="660"/>
    </w:pPr>
    <w:rPr>
      <w:rFonts w:ascii="Cambria" w:hAnsi="Cambria"/>
      <w:sz w:val="20"/>
      <w:szCs w:val="20"/>
    </w:rPr>
  </w:style>
  <w:style w:type="paragraph" w:styleId="TOC5">
    <w:name w:val="toc 5"/>
    <w:basedOn w:val="Normal"/>
    <w:next w:val="Normal"/>
    <w:autoRedefine/>
    <w:uiPriority w:val="39"/>
    <w:rsid w:val="003C05DD"/>
    <w:pPr>
      <w:spacing w:after="0"/>
      <w:ind w:left="880"/>
    </w:pPr>
    <w:rPr>
      <w:rFonts w:ascii="Cambria" w:hAnsi="Cambria"/>
      <w:sz w:val="20"/>
      <w:szCs w:val="20"/>
    </w:rPr>
  </w:style>
  <w:style w:type="paragraph" w:styleId="TOC6">
    <w:name w:val="toc 6"/>
    <w:basedOn w:val="Normal"/>
    <w:next w:val="Normal"/>
    <w:autoRedefine/>
    <w:uiPriority w:val="39"/>
    <w:rsid w:val="003C05DD"/>
    <w:pPr>
      <w:spacing w:after="0"/>
      <w:ind w:left="1100"/>
    </w:pPr>
    <w:rPr>
      <w:rFonts w:ascii="Cambria" w:hAnsi="Cambria"/>
      <w:sz w:val="20"/>
      <w:szCs w:val="20"/>
    </w:rPr>
  </w:style>
  <w:style w:type="paragraph" w:styleId="TOC7">
    <w:name w:val="toc 7"/>
    <w:basedOn w:val="Normal"/>
    <w:next w:val="Normal"/>
    <w:autoRedefine/>
    <w:uiPriority w:val="39"/>
    <w:rsid w:val="003C05DD"/>
    <w:pPr>
      <w:spacing w:after="0"/>
      <w:ind w:left="1320"/>
    </w:pPr>
    <w:rPr>
      <w:rFonts w:ascii="Cambria" w:hAnsi="Cambria"/>
      <w:sz w:val="20"/>
      <w:szCs w:val="20"/>
    </w:rPr>
  </w:style>
  <w:style w:type="paragraph" w:styleId="TOC8">
    <w:name w:val="toc 8"/>
    <w:basedOn w:val="Normal"/>
    <w:next w:val="Normal"/>
    <w:autoRedefine/>
    <w:uiPriority w:val="39"/>
    <w:rsid w:val="003C05DD"/>
    <w:pPr>
      <w:spacing w:after="0"/>
      <w:ind w:left="1540"/>
    </w:pPr>
    <w:rPr>
      <w:rFonts w:ascii="Cambria" w:hAnsi="Cambria"/>
      <w:sz w:val="20"/>
      <w:szCs w:val="20"/>
    </w:rPr>
  </w:style>
  <w:style w:type="paragraph" w:styleId="TOC9">
    <w:name w:val="toc 9"/>
    <w:basedOn w:val="Normal"/>
    <w:next w:val="Normal"/>
    <w:autoRedefine/>
    <w:uiPriority w:val="39"/>
    <w:rsid w:val="003C05DD"/>
    <w:pPr>
      <w:spacing w:after="0"/>
      <w:ind w:left="1760"/>
    </w:pPr>
    <w:rPr>
      <w:rFonts w:ascii="Cambria" w:hAnsi="Cambria"/>
      <w:sz w:val="20"/>
      <w:szCs w:val="20"/>
    </w:rPr>
  </w:style>
  <w:style w:type="paragraph" w:customStyle="1" w:styleId="Section">
    <w:name w:val="Section"/>
    <w:basedOn w:val="Normal"/>
    <w:uiPriority w:val="99"/>
    <w:rsid w:val="005A296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jc w:val="both"/>
    </w:pPr>
    <w:rPr>
      <w:rFonts w:ascii="Times New Roman" w:hAnsi="Times New Roman"/>
      <w:spacing w:val="-3"/>
      <w:sz w:val="26"/>
      <w:szCs w:val="26"/>
      <w:lang w:val="en-GB" w:eastAsia="en-AU"/>
    </w:rPr>
  </w:style>
  <w:style w:type="character" w:styleId="CommentReference">
    <w:name w:val="annotation reference"/>
    <w:semiHidden/>
    <w:rsid w:val="00C453AB"/>
    <w:rPr>
      <w:rFonts w:cs="Times New Roman"/>
      <w:sz w:val="16"/>
      <w:szCs w:val="16"/>
    </w:rPr>
  </w:style>
  <w:style w:type="paragraph" w:styleId="CommentText">
    <w:name w:val="annotation text"/>
    <w:basedOn w:val="Normal"/>
    <w:semiHidden/>
    <w:rsid w:val="00C453AB"/>
    <w:rPr>
      <w:sz w:val="20"/>
      <w:szCs w:val="20"/>
    </w:rPr>
  </w:style>
  <w:style w:type="paragraph" w:styleId="CommentSubject">
    <w:name w:val="annotation subject"/>
    <w:basedOn w:val="CommentText"/>
    <w:next w:val="CommentText"/>
    <w:semiHidden/>
    <w:rsid w:val="00C453AB"/>
    <w:rPr>
      <w:b/>
      <w:bCs/>
    </w:rPr>
  </w:style>
  <w:style w:type="character" w:styleId="PageNumber">
    <w:name w:val="page number"/>
    <w:rsid w:val="00DD3FAF"/>
    <w:rPr>
      <w:rFonts w:cs="Times New Roman"/>
    </w:rPr>
  </w:style>
  <w:style w:type="paragraph" w:styleId="BodyText">
    <w:name w:val="Body Text"/>
    <w:basedOn w:val="Normal"/>
    <w:link w:val="BodyTextChar"/>
    <w:rsid w:val="00031DD7"/>
    <w:rPr>
      <w:rFonts w:eastAsia="Calibri"/>
      <w:szCs w:val="20"/>
      <w:lang w:val="en-AU" w:eastAsia="en-AU"/>
    </w:rPr>
  </w:style>
  <w:style w:type="character" w:customStyle="1" w:styleId="BodyTextChar">
    <w:name w:val="Body Text Char"/>
    <w:link w:val="BodyText"/>
    <w:locked/>
    <w:rsid w:val="00031DD7"/>
    <w:rPr>
      <w:rFonts w:ascii="Tahoma" w:hAnsi="Tahoma" w:cs="Times New Roman"/>
      <w:sz w:val="24"/>
    </w:rPr>
  </w:style>
  <w:style w:type="paragraph" w:customStyle="1" w:styleId="Dot">
    <w:name w:val="Dot"/>
    <w:basedOn w:val="Normal"/>
    <w:link w:val="DotChar"/>
    <w:qFormat/>
    <w:rsid w:val="00D9617E"/>
    <w:pPr>
      <w:numPr>
        <w:numId w:val="27"/>
      </w:numPr>
      <w:spacing w:after="120"/>
    </w:pPr>
    <w:rPr>
      <w:rFonts w:eastAsia="Calibri"/>
      <w:szCs w:val="22"/>
      <w:lang w:val="en-GB"/>
    </w:rPr>
  </w:style>
  <w:style w:type="character" w:customStyle="1" w:styleId="DotChar">
    <w:name w:val="Dot Char"/>
    <w:link w:val="Dot"/>
    <w:rsid w:val="00D9617E"/>
    <w:rPr>
      <w:rFonts w:ascii="Tahoma" w:hAnsi="Tahoma"/>
      <w:sz w:val="24"/>
      <w:szCs w:val="22"/>
      <w:lang w:val="en-GB"/>
    </w:rPr>
  </w:style>
  <w:style w:type="paragraph" w:customStyle="1" w:styleId="Dottop">
    <w:name w:val="Dottop"/>
    <w:basedOn w:val="Normal"/>
    <w:link w:val="DottopChar"/>
    <w:qFormat/>
    <w:rsid w:val="00D9617E"/>
    <w:pPr>
      <w:keepNext/>
      <w:spacing w:after="120"/>
    </w:pPr>
    <w:rPr>
      <w:rFonts w:eastAsia="Calibri"/>
      <w:szCs w:val="22"/>
      <w:lang w:val="en-GB"/>
    </w:rPr>
  </w:style>
  <w:style w:type="character" w:customStyle="1" w:styleId="DottopChar">
    <w:name w:val="Dottop Char"/>
    <w:link w:val="Dottop"/>
    <w:rsid w:val="00D9617E"/>
    <w:rPr>
      <w:rFonts w:ascii="Tahoma" w:hAnsi="Tahoma"/>
      <w:sz w:val="24"/>
      <w:szCs w:val="22"/>
      <w:lang w:val="en-GB"/>
    </w:rPr>
  </w:style>
  <w:style w:type="paragraph" w:customStyle="1" w:styleId="Dotbot">
    <w:name w:val="Dotbot"/>
    <w:basedOn w:val="Dot"/>
    <w:link w:val="DotbotChar"/>
    <w:qFormat/>
    <w:rsid w:val="00C24988"/>
    <w:pPr>
      <w:spacing w:after="240"/>
    </w:pPr>
  </w:style>
  <w:style w:type="character" w:customStyle="1" w:styleId="DotbotChar">
    <w:name w:val="Dotbot Char"/>
    <w:link w:val="Dotbot"/>
    <w:rsid w:val="00C24988"/>
    <w:rPr>
      <w:rFonts w:ascii="Tahoma" w:hAnsi="Tahoma"/>
      <w:sz w:val="24"/>
      <w:szCs w:val="22"/>
      <w:lang w:val="en-GB"/>
    </w:rPr>
  </w:style>
  <w:style w:type="paragraph" w:styleId="Revision">
    <w:name w:val="Revision"/>
    <w:hidden/>
    <w:uiPriority w:val="99"/>
    <w:semiHidden/>
    <w:rsid w:val="00CC6CF8"/>
    <w:rPr>
      <w:rFonts w:ascii="Tahoma" w:eastAsia="MS Mincho" w:hAnsi="Tahoma"/>
      <w:sz w:val="24"/>
      <w:szCs w:val="24"/>
      <w:lang w:val="en-US"/>
    </w:rPr>
  </w:style>
  <w:style w:type="paragraph" w:styleId="TOCHeading">
    <w:name w:val="TOC Heading"/>
    <w:basedOn w:val="Heading1"/>
    <w:next w:val="Normal"/>
    <w:uiPriority w:val="39"/>
    <w:semiHidden/>
    <w:unhideWhenUsed/>
    <w:qFormat/>
    <w:rsid w:val="00034CEC"/>
    <w:pPr>
      <w:numPr>
        <w:numId w:val="0"/>
      </w:numPr>
      <w:spacing w:before="480" w:after="0" w:line="276" w:lineRule="auto"/>
      <w:outlineLvl w:val="9"/>
    </w:pPr>
    <w:rPr>
      <w:rFonts w:asciiTheme="majorHAnsi" w:eastAsiaTheme="majorEastAsia" w:hAnsiTheme="majorHAnsi" w:cstheme="majorBidi"/>
      <w:color w:val="365F91" w:themeColor="accent1" w:themeShade="BF"/>
      <w:lang w:eastAsia="ja-JP"/>
    </w:rPr>
  </w:style>
  <w:style w:type="paragraph" w:styleId="DocumentMap">
    <w:name w:val="Document Map"/>
    <w:basedOn w:val="Normal"/>
    <w:link w:val="DocumentMapChar"/>
    <w:semiHidden/>
    <w:unhideWhenUsed/>
    <w:rsid w:val="005A16D5"/>
    <w:pPr>
      <w:spacing w:after="0"/>
    </w:pPr>
    <w:rPr>
      <w:rFonts w:ascii="Lucida Grande" w:hAnsi="Lucida Grande" w:cs="Lucida Grande"/>
    </w:rPr>
  </w:style>
  <w:style w:type="character" w:customStyle="1" w:styleId="DocumentMapChar">
    <w:name w:val="Document Map Char"/>
    <w:basedOn w:val="DefaultParagraphFont"/>
    <w:link w:val="DocumentMap"/>
    <w:semiHidden/>
    <w:rsid w:val="005A16D5"/>
    <w:rPr>
      <w:rFonts w:ascii="Lucida Grande" w:eastAsia="MS Mincho" w:hAnsi="Lucida Grande" w:cs="Lucida Grande"/>
      <w:sz w:val="24"/>
      <w:szCs w:val="24"/>
      <w:lang w:val="en-US"/>
    </w:rPr>
  </w:style>
  <w:style w:type="paragraph" w:styleId="Header">
    <w:name w:val="header"/>
    <w:basedOn w:val="Normal"/>
    <w:link w:val="HeaderChar"/>
    <w:unhideWhenUsed/>
    <w:locked/>
    <w:rsid w:val="00450773"/>
    <w:pPr>
      <w:tabs>
        <w:tab w:val="center" w:pos="4513"/>
        <w:tab w:val="right" w:pos="9026"/>
      </w:tabs>
      <w:spacing w:after="0"/>
    </w:pPr>
  </w:style>
  <w:style w:type="character" w:customStyle="1" w:styleId="HeaderChar">
    <w:name w:val="Header Char"/>
    <w:basedOn w:val="DefaultParagraphFont"/>
    <w:link w:val="Header"/>
    <w:rsid w:val="00450773"/>
    <w:rPr>
      <w:rFonts w:ascii="Tahoma" w:eastAsia="MS Mincho" w:hAnsi="Tahom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semiHidden="0" w:uiPriority="99" w:unhideWhenUsed="0" w:qFormat="1"/>
    <w:lsdException w:name="heading 3" w:locked="1" w:semiHidden="0" w:uiPriority="99" w:unhideWhenUsed="0" w:qFormat="1"/>
    <w:lsdException w:name="heading 4" w:locked="1" w:semiHidden="0" w:uiPriority="99" w:unhideWhenUsed="0" w:qFormat="1"/>
    <w:lsdException w:name="heading 5" w:locked="1" w:semiHidden="0" w:uiPriority="99" w:unhideWhenUsed="0"/>
    <w:lsdException w:name="heading 6" w:locked="1" w:semiHidden="0" w:uiPriority="99" w:unhideWhenUsed="0"/>
    <w:lsdException w:name="heading 7" w:locked="1" w:uiPriority="99"/>
    <w:lsdException w:name="heading 8" w:locked="1" w:uiPriority="99"/>
    <w:lsdException w:name="heading 9" w:locked="1" w:uiPriority="99"/>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uiPriority="99"/>
    <w:lsdException w:name="header" w:locked="1"/>
    <w:lsdException w:name="caption" w:locked="1" w:qFormat="1"/>
    <w:lsdException w:name="footnote reference" w:locked="1" w:uiPriority="99"/>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uiPriority="1"/>
    <w:lsdException w:name="Body Tex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lsdException w:name="Emphasis" w:locked="1" w:semiHidden="0" w:unhideWhenUsed="0"/>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9617E"/>
    <w:pPr>
      <w:spacing w:after="240"/>
    </w:pPr>
    <w:rPr>
      <w:rFonts w:ascii="Tahoma" w:eastAsia="MS Mincho" w:hAnsi="Tahoma"/>
      <w:sz w:val="24"/>
      <w:szCs w:val="24"/>
      <w:lang w:val="en-US"/>
    </w:rPr>
  </w:style>
  <w:style w:type="paragraph" w:styleId="Heading1">
    <w:name w:val="heading 1"/>
    <w:basedOn w:val="Normal"/>
    <w:next w:val="Normal"/>
    <w:link w:val="Heading1Char"/>
    <w:uiPriority w:val="99"/>
    <w:qFormat/>
    <w:rsid w:val="00EC6F00"/>
    <w:pPr>
      <w:keepNext/>
      <w:keepLines/>
      <w:numPr>
        <w:numId w:val="23"/>
      </w:numPr>
      <w:tabs>
        <w:tab w:val="left" w:pos="852"/>
      </w:tabs>
      <w:spacing w:after="120"/>
      <w:ind w:left="851" w:hanging="851"/>
      <w:outlineLvl w:val="0"/>
    </w:pPr>
    <w:rPr>
      <w:rFonts w:ascii="Arial" w:eastAsia="MS Gothic" w:hAnsi="Arial"/>
      <w:b/>
      <w:bCs/>
      <w:sz w:val="28"/>
      <w:szCs w:val="28"/>
      <w:lang w:val="en-AU" w:eastAsia="en-AU"/>
    </w:rPr>
  </w:style>
  <w:style w:type="paragraph" w:styleId="Heading2">
    <w:name w:val="heading 2"/>
    <w:basedOn w:val="Normal"/>
    <w:next w:val="Normal"/>
    <w:link w:val="Heading2Char"/>
    <w:uiPriority w:val="99"/>
    <w:qFormat/>
    <w:rsid w:val="00EC6F00"/>
    <w:pPr>
      <w:keepNext/>
      <w:keepLines/>
      <w:numPr>
        <w:ilvl w:val="1"/>
        <w:numId w:val="23"/>
      </w:numPr>
      <w:spacing w:after="120"/>
      <w:ind w:left="851" w:hanging="851"/>
      <w:outlineLvl w:val="1"/>
    </w:pPr>
    <w:rPr>
      <w:rFonts w:eastAsia="MS Gothic"/>
      <w:b/>
      <w:bCs/>
      <w:i/>
      <w:iCs/>
      <w:szCs w:val="22"/>
      <w:lang w:val="en-AU" w:eastAsia="en-AU"/>
    </w:rPr>
  </w:style>
  <w:style w:type="paragraph" w:styleId="Heading3">
    <w:name w:val="heading 3"/>
    <w:basedOn w:val="Normal"/>
    <w:next w:val="Normal"/>
    <w:link w:val="Heading3Char"/>
    <w:uiPriority w:val="99"/>
    <w:qFormat/>
    <w:rsid w:val="00EC6F00"/>
    <w:pPr>
      <w:keepNext/>
      <w:keepLines/>
      <w:numPr>
        <w:ilvl w:val="2"/>
        <w:numId w:val="23"/>
      </w:numPr>
      <w:spacing w:after="120"/>
      <w:ind w:left="851" w:hanging="851"/>
      <w:outlineLvl w:val="2"/>
    </w:pPr>
    <w:rPr>
      <w:rFonts w:eastAsia="MS Gothic"/>
      <w:b/>
      <w:bCs/>
      <w:i/>
      <w:szCs w:val="20"/>
      <w:lang w:val="en-AU" w:eastAsia="en-AU"/>
    </w:rPr>
  </w:style>
  <w:style w:type="paragraph" w:styleId="Heading4">
    <w:name w:val="heading 4"/>
    <w:basedOn w:val="Normal"/>
    <w:next w:val="Normal"/>
    <w:link w:val="Heading4Char"/>
    <w:uiPriority w:val="99"/>
    <w:qFormat/>
    <w:rsid w:val="00E46621"/>
    <w:pPr>
      <w:keepNext/>
      <w:keepLines/>
      <w:numPr>
        <w:ilvl w:val="3"/>
        <w:numId w:val="23"/>
      </w:numPr>
      <w:spacing w:before="200" w:after="0"/>
      <w:outlineLvl w:val="3"/>
    </w:pPr>
    <w:rPr>
      <w:rFonts w:ascii="Cambria" w:eastAsia="MS Gothic" w:hAnsi="Cambria"/>
      <w:b/>
      <w:bCs/>
      <w:i/>
      <w:iCs/>
      <w:color w:val="4F81BD"/>
      <w:lang w:eastAsia="en-AU"/>
    </w:rPr>
  </w:style>
  <w:style w:type="paragraph" w:styleId="Heading5">
    <w:name w:val="heading 5"/>
    <w:basedOn w:val="Normal"/>
    <w:next w:val="Normal"/>
    <w:link w:val="Heading5Char"/>
    <w:uiPriority w:val="99"/>
    <w:rsid w:val="00E46621"/>
    <w:pPr>
      <w:keepNext/>
      <w:keepLines/>
      <w:numPr>
        <w:ilvl w:val="4"/>
        <w:numId w:val="23"/>
      </w:numPr>
      <w:spacing w:before="200" w:after="0"/>
      <w:outlineLvl w:val="4"/>
    </w:pPr>
    <w:rPr>
      <w:rFonts w:ascii="Cambria" w:eastAsia="MS Gothic" w:hAnsi="Cambria"/>
      <w:color w:val="243F60"/>
      <w:lang w:eastAsia="en-AU"/>
    </w:rPr>
  </w:style>
  <w:style w:type="paragraph" w:styleId="Heading6">
    <w:name w:val="heading 6"/>
    <w:basedOn w:val="Normal"/>
    <w:next w:val="Normal"/>
    <w:link w:val="Heading6Char"/>
    <w:uiPriority w:val="99"/>
    <w:rsid w:val="00E46621"/>
    <w:pPr>
      <w:keepNext/>
      <w:keepLines/>
      <w:numPr>
        <w:ilvl w:val="5"/>
        <w:numId w:val="23"/>
      </w:numPr>
      <w:spacing w:before="200" w:after="0"/>
      <w:outlineLvl w:val="5"/>
    </w:pPr>
    <w:rPr>
      <w:rFonts w:ascii="Cambria" w:eastAsia="MS Gothic" w:hAnsi="Cambria"/>
      <w:i/>
      <w:iCs/>
      <w:color w:val="243F60"/>
      <w:lang w:eastAsia="en-AU"/>
    </w:rPr>
  </w:style>
  <w:style w:type="paragraph" w:styleId="Heading7">
    <w:name w:val="heading 7"/>
    <w:basedOn w:val="Normal"/>
    <w:next w:val="Normal"/>
    <w:link w:val="Heading7Char"/>
    <w:uiPriority w:val="99"/>
    <w:rsid w:val="00E46621"/>
    <w:pPr>
      <w:keepNext/>
      <w:keepLines/>
      <w:numPr>
        <w:ilvl w:val="6"/>
        <w:numId w:val="23"/>
      </w:numPr>
      <w:spacing w:before="200" w:after="0"/>
      <w:outlineLvl w:val="6"/>
    </w:pPr>
    <w:rPr>
      <w:rFonts w:ascii="Cambria" w:eastAsia="MS Gothic" w:hAnsi="Cambria"/>
      <w:i/>
      <w:iCs/>
      <w:color w:val="404040"/>
      <w:lang w:eastAsia="en-AU"/>
    </w:rPr>
  </w:style>
  <w:style w:type="paragraph" w:styleId="Heading8">
    <w:name w:val="heading 8"/>
    <w:basedOn w:val="Normal"/>
    <w:next w:val="Normal"/>
    <w:link w:val="Heading8Char"/>
    <w:uiPriority w:val="99"/>
    <w:rsid w:val="00E46621"/>
    <w:pPr>
      <w:keepNext/>
      <w:keepLines/>
      <w:numPr>
        <w:ilvl w:val="7"/>
        <w:numId w:val="23"/>
      </w:numPr>
      <w:spacing w:before="200" w:after="0"/>
      <w:outlineLvl w:val="7"/>
    </w:pPr>
    <w:rPr>
      <w:rFonts w:ascii="Cambria" w:eastAsia="MS Gothic" w:hAnsi="Cambria"/>
      <w:color w:val="404040"/>
      <w:sz w:val="20"/>
      <w:szCs w:val="20"/>
      <w:lang w:eastAsia="en-AU"/>
    </w:rPr>
  </w:style>
  <w:style w:type="paragraph" w:styleId="Heading9">
    <w:name w:val="heading 9"/>
    <w:basedOn w:val="Normal"/>
    <w:next w:val="Normal"/>
    <w:link w:val="Heading9Char"/>
    <w:uiPriority w:val="99"/>
    <w:rsid w:val="00E46621"/>
    <w:pPr>
      <w:keepNext/>
      <w:keepLines/>
      <w:numPr>
        <w:ilvl w:val="8"/>
        <w:numId w:val="23"/>
      </w:numPr>
      <w:spacing w:before="200" w:after="0"/>
      <w:outlineLvl w:val="8"/>
    </w:pPr>
    <w:rPr>
      <w:rFonts w:ascii="Cambria" w:eastAsia="MS Gothic" w:hAnsi="Cambria"/>
      <w:i/>
      <w:iCs/>
      <w:color w:val="40404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6F00"/>
    <w:rPr>
      <w:rFonts w:ascii="Arial" w:eastAsia="MS Gothic" w:hAnsi="Arial"/>
      <w:b/>
      <w:bCs/>
      <w:sz w:val="28"/>
      <w:szCs w:val="28"/>
      <w:lang w:eastAsia="en-AU"/>
    </w:rPr>
  </w:style>
  <w:style w:type="character" w:customStyle="1" w:styleId="Heading2Char">
    <w:name w:val="Heading 2 Char"/>
    <w:link w:val="Heading2"/>
    <w:uiPriority w:val="99"/>
    <w:locked/>
    <w:rsid w:val="00EC6F00"/>
    <w:rPr>
      <w:rFonts w:ascii="Tahoma" w:eastAsia="MS Gothic" w:hAnsi="Tahoma"/>
      <w:b/>
      <w:bCs/>
      <w:i/>
      <w:iCs/>
      <w:sz w:val="24"/>
      <w:szCs w:val="22"/>
      <w:lang w:eastAsia="en-AU"/>
    </w:rPr>
  </w:style>
  <w:style w:type="character" w:customStyle="1" w:styleId="Heading3Char">
    <w:name w:val="Heading 3 Char"/>
    <w:link w:val="Heading3"/>
    <w:uiPriority w:val="99"/>
    <w:locked/>
    <w:rsid w:val="00EC6F00"/>
    <w:rPr>
      <w:rFonts w:ascii="Tahoma" w:eastAsia="MS Gothic" w:hAnsi="Tahoma"/>
      <w:b/>
      <w:bCs/>
      <w:i/>
      <w:sz w:val="24"/>
      <w:lang w:eastAsia="en-AU"/>
    </w:rPr>
  </w:style>
  <w:style w:type="character" w:customStyle="1" w:styleId="Heading4Char">
    <w:name w:val="Heading 4 Char"/>
    <w:link w:val="Heading4"/>
    <w:uiPriority w:val="99"/>
    <w:locked/>
    <w:rsid w:val="00E46621"/>
    <w:rPr>
      <w:rFonts w:ascii="Cambria" w:eastAsia="MS Gothic" w:hAnsi="Cambria"/>
      <w:b/>
      <w:bCs/>
      <w:i/>
      <w:iCs/>
      <w:color w:val="4F81BD"/>
      <w:sz w:val="24"/>
      <w:szCs w:val="24"/>
      <w:lang w:val="en-US" w:eastAsia="en-AU"/>
    </w:rPr>
  </w:style>
  <w:style w:type="character" w:customStyle="1" w:styleId="Heading5Char">
    <w:name w:val="Heading 5 Char"/>
    <w:link w:val="Heading5"/>
    <w:uiPriority w:val="99"/>
    <w:locked/>
    <w:rsid w:val="00E46621"/>
    <w:rPr>
      <w:rFonts w:ascii="Cambria" w:eastAsia="MS Gothic" w:hAnsi="Cambria"/>
      <w:color w:val="243F60"/>
      <w:sz w:val="24"/>
      <w:szCs w:val="24"/>
      <w:lang w:val="en-US" w:eastAsia="en-AU"/>
    </w:rPr>
  </w:style>
  <w:style w:type="character" w:customStyle="1" w:styleId="Heading6Char">
    <w:name w:val="Heading 6 Char"/>
    <w:link w:val="Heading6"/>
    <w:uiPriority w:val="99"/>
    <w:locked/>
    <w:rsid w:val="00E46621"/>
    <w:rPr>
      <w:rFonts w:ascii="Cambria" w:eastAsia="MS Gothic" w:hAnsi="Cambria"/>
      <w:i/>
      <w:iCs/>
      <w:color w:val="243F60"/>
      <w:sz w:val="24"/>
      <w:szCs w:val="24"/>
      <w:lang w:val="en-US" w:eastAsia="en-AU"/>
    </w:rPr>
  </w:style>
  <w:style w:type="character" w:customStyle="1" w:styleId="Heading7Char">
    <w:name w:val="Heading 7 Char"/>
    <w:link w:val="Heading7"/>
    <w:uiPriority w:val="99"/>
    <w:locked/>
    <w:rsid w:val="00E46621"/>
    <w:rPr>
      <w:rFonts w:ascii="Cambria" w:eastAsia="MS Gothic" w:hAnsi="Cambria"/>
      <w:i/>
      <w:iCs/>
      <w:color w:val="404040"/>
      <w:sz w:val="24"/>
      <w:szCs w:val="24"/>
      <w:lang w:val="en-US" w:eastAsia="en-AU"/>
    </w:rPr>
  </w:style>
  <w:style w:type="character" w:customStyle="1" w:styleId="Heading8Char">
    <w:name w:val="Heading 8 Char"/>
    <w:link w:val="Heading8"/>
    <w:uiPriority w:val="99"/>
    <w:locked/>
    <w:rsid w:val="00E46621"/>
    <w:rPr>
      <w:rFonts w:ascii="Cambria" w:eastAsia="MS Gothic" w:hAnsi="Cambria"/>
      <w:color w:val="404040"/>
      <w:lang w:val="en-US" w:eastAsia="en-AU"/>
    </w:rPr>
  </w:style>
  <w:style w:type="character" w:customStyle="1" w:styleId="Heading9Char">
    <w:name w:val="Heading 9 Char"/>
    <w:link w:val="Heading9"/>
    <w:uiPriority w:val="99"/>
    <w:locked/>
    <w:rsid w:val="00E46621"/>
    <w:rPr>
      <w:rFonts w:ascii="Cambria" w:eastAsia="MS Gothic" w:hAnsi="Cambria"/>
      <w:i/>
      <w:iCs/>
      <w:color w:val="404040"/>
      <w:lang w:val="en-US" w:eastAsia="en-AU"/>
    </w:rPr>
  </w:style>
  <w:style w:type="paragraph" w:styleId="BalloonText">
    <w:name w:val="Balloon Text"/>
    <w:basedOn w:val="Normal"/>
    <w:link w:val="BalloonTextChar"/>
    <w:semiHidden/>
    <w:rsid w:val="00DC4A0F"/>
    <w:pPr>
      <w:spacing w:after="0"/>
    </w:pPr>
    <w:rPr>
      <w:sz w:val="16"/>
      <w:szCs w:val="20"/>
      <w:lang w:eastAsia="en-AU"/>
    </w:rPr>
  </w:style>
  <w:style w:type="character" w:customStyle="1" w:styleId="BalloonTextChar">
    <w:name w:val="Balloon Text Char"/>
    <w:link w:val="BalloonText"/>
    <w:semiHidden/>
    <w:locked/>
    <w:rsid w:val="00DC4A0F"/>
    <w:rPr>
      <w:rFonts w:ascii="Tahoma" w:eastAsia="MS Mincho" w:hAnsi="Tahoma"/>
      <w:sz w:val="16"/>
      <w:lang w:val="en-US"/>
    </w:rPr>
  </w:style>
  <w:style w:type="paragraph" w:styleId="FootnoteText">
    <w:name w:val="footnote text"/>
    <w:basedOn w:val="Normal"/>
    <w:link w:val="FootnoteTextChar"/>
    <w:uiPriority w:val="99"/>
    <w:rsid w:val="00E91517"/>
    <w:pPr>
      <w:spacing w:after="60"/>
      <w:ind w:left="567" w:hanging="567"/>
    </w:pPr>
    <w:rPr>
      <w:rFonts w:eastAsia="Calibri"/>
      <w:sz w:val="20"/>
      <w:szCs w:val="20"/>
      <w:lang w:val="en-AU" w:eastAsia="en-AU"/>
    </w:rPr>
  </w:style>
  <w:style w:type="character" w:customStyle="1" w:styleId="FootnoteTextChar">
    <w:name w:val="Footnote Text Char"/>
    <w:link w:val="FootnoteText"/>
    <w:uiPriority w:val="99"/>
    <w:locked/>
    <w:rsid w:val="00E91517"/>
    <w:rPr>
      <w:rFonts w:ascii="Tahoma" w:hAnsi="Tahoma"/>
    </w:rPr>
  </w:style>
  <w:style w:type="character" w:styleId="FootnoteReference">
    <w:name w:val="footnote reference"/>
    <w:uiPriority w:val="99"/>
    <w:rsid w:val="00B05B2A"/>
    <w:rPr>
      <w:rFonts w:cs="Times New Roman"/>
      <w:vertAlign w:val="superscript"/>
    </w:rPr>
  </w:style>
  <w:style w:type="paragraph" w:styleId="Caption">
    <w:name w:val="caption"/>
    <w:basedOn w:val="Normal"/>
    <w:next w:val="Normal"/>
    <w:qFormat/>
    <w:rsid w:val="007B1D27"/>
    <w:pPr>
      <w:keepNext/>
      <w:spacing w:after="200"/>
    </w:pPr>
    <w:rPr>
      <w:b/>
      <w:bCs/>
      <w:sz w:val="20"/>
      <w:szCs w:val="22"/>
    </w:rPr>
  </w:style>
  <w:style w:type="character" w:styleId="Hyperlink">
    <w:name w:val="Hyperlink"/>
    <w:uiPriority w:val="99"/>
    <w:rsid w:val="00316315"/>
    <w:rPr>
      <w:rFonts w:cs="Times New Roman"/>
      <w:color w:val="0000FF"/>
      <w:u w:val="single"/>
    </w:rPr>
  </w:style>
  <w:style w:type="paragraph" w:styleId="Footer">
    <w:name w:val="footer"/>
    <w:basedOn w:val="Normal"/>
    <w:link w:val="FooterChar"/>
    <w:rsid w:val="00483312"/>
    <w:pPr>
      <w:tabs>
        <w:tab w:val="center" w:pos="4513"/>
        <w:tab w:val="right" w:pos="9026"/>
      </w:tabs>
      <w:spacing w:after="0"/>
    </w:pPr>
    <w:rPr>
      <w:rFonts w:ascii="Calibri" w:hAnsi="Calibri"/>
      <w:szCs w:val="20"/>
      <w:lang w:eastAsia="en-AU"/>
    </w:rPr>
  </w:style>
  <w:style w:type="character" w:customStyle="1" w:styleId="FooterChar">
    <w:name w:val="Footer Char"/>
    <w:link w:val="Footer"/>
    <w:locked/>
    <w:rsid w:val="00483312"/>
    <w:rPr>
      <w:rFonts w:eastAsia="MS Mincho"/>
      <w:sz w:val="24"/>
      <w:lang w:val="en-US"/>
    </w:rPr>
  </w:style>
  <w:style w:type="paragraph" w:styleId="TOC1">
    <w:name w:val="toc 1"/>
    <w:basedOn w:val="Normal"/>
    <w:next w:val="Normal"/>
    <w:autoRedefine/>
    <w:uiPriority w:val="39"/>
    <w:qFormat/>
    <w:rsid w:val="000955C1"/>
    <w:pPr>
      <w:tabs>
        <w:tab w:val="left" w:pos="440"/>
        <w:tab w:val="right" w:leader="dot" w:pos="9061"/>
      </w:tabs>
      <w:spacing w:before="120" w:after="0"/>
    </w:pPr>
    <w:rPr>
      <w:rFonts w:ascii="Arial" w:hAnsi="Arial"/>
      <w:b/>
    </w:rPr>
  </w:style>
  <w:style w:type="paragraph" w:styleId="TOC2">
    <w:name w:val="toc 2"/>
    <w:basedOn w:val="Normal"/>
    <w:next w:val="Normal"/>
    <w:autoRedefine/>
    <w:uiPriority w:val="39"/>
    <w:qFormat/>
    <w:rsid w:val="00E07A05"/>
    <w:pPr>
      <w:spacing w:after="0"/>
      <w:ind w:left="220"/>
    </w:pPr>
    <w:rPr>
      <w:rFonts w:ascii="Arial" w:hAnsi="Arial"/>
      <w:szCs w:val="22"/>
    </w:rPr>
  </w:style>
  <w:style w:type="paragraph" w:styleId="TOC3">
    <w:name w:val="toc 3"/>
    <w:basedOn w:val="Normal"/>
    <w:next w:val="Normal"/>
    <w:autoRedefine/>
    <w:uiPriority w:val="39"/>
    <w:qFormat/>
    <w:rsid w:val="00C82249"/>
    <w:pPr>
      <w:spacing w:after="0"/>
      <w:ind w:left="440"/>
    </w:pPr>
    <w:rPr>
      <w:sz w:val="22"/>
      <w:szCs w:val="22"/>
    </w:rPr>
  </w:style>
  <w:style w:type="paragraph" w:styleId="TOC4">
    <w:name w:val="toc 4"/>
    <w:basedOn w:val="Normal"/>
    <w:next w:val="Normal"/>
    <w:autoRedefine/>
    <w:uiPriority w:val="39"/>
    <w:rsid w:val="003C05DD"/>
    <w:pPr>
      <w:spacing w:after="0"/>
      <w:ind w:left="660"/>
    </w:pPr>
    <w:rPr>
      <w:rFonts w:ascii="Cambria" w:hAnsi="Cambria"/>
      <w:sz w:val="20"/>
      <w:szCs w:val="20"/>
    </w:rPr>
  </w:style>
  <w:style w:type="paragraph" w:styleId="TOC5">
    <w:name w:val="toc 5"/>
    <w:basedOn w:val="Normal"/>
    <w:next w:val="Normal"/>
    <w:autoRedefine/>
    <w:uiPriority w:val="39"/>
    <w:rsid w:val="003C05DD"/>
    <w:pPr>
      <w:spacing w:after="0"/>
      <w:ind w:left="880"/>
    </w:pPr>
    <w:rPr>
      <w:rFonts w:ascii="Cambria" w:hAnsi="Cambria"/>
      <w:sz w:val="20"/>
      <w:szCs w:val="20"/>
    </w:rPr>
  </w:style>
  <w:style w:type="paragraph" w:styleId="TOC6">
    <w:name w:val="toc 6"/>
    <w:basedOn w:val="Normal"/>
    <w:next w:val="Normal"/>
    <w:autoRedefine/>
    <w:uiPriority w:val="39"/>
    <w:rsid w:val="003C05DD"/>
    <w:pPr>
      <w:spacing w:after="0"/>
      <w:ind w:left="1100"/>
    </w:pPr>
    <w:rPr>
      <w:rFonts w:ascii="Cambria" w:hAnsi="Cambria"/>
      <w:sz w:val="20"/>
      <w:szCs w:val="20"/>
    </w:rPr>
  </w:style>
  <w:style w:type="paragraph" w:styleId="TOC7">
    <w:name w:val="toc 7"/>
    <w:basedOn w:val="Normal"/>
    <w:next w:val="Normal"/>
    <w:autoRedefine/>
    <w:uiPriority w:val="39"/>
    <w:rsid w:val="003C05DD"/>
    <w:pPr>
      <w:spacing w:after="0"/>
      <w:ind w:left="1320"/>
    </w:pPr>
    <w:rPr>
      <w:rFonts w:ascii="Cambria" w:hAnsi="Cambria"/>
      <w:sz w:val="20"/>
      <w:szCs w:val="20"/>
    </w:rPr>
  </w:style>
  <w:style w:type="paragraph" w:styleId="TOC8">
    <w:name w:val="toc 8"/>
    <w:basedOn w:val="Normal"/>
    <w:next w:val="Normal"/>
    <w:autoRedefine/>
    <w:uiPriority w:val="39"/>
    <w:rsid w:val="003C05DD"/>
    <w:pPr>
      <w:spacing w:after="0"/>
      <w:ind w:left="1540"/>
    </w:pPr>
    <w:rPr>
      <w:rFonts w:ascii="Cambria" w:hAnsi="Cambria"/>
      <w:sz w:val="20"/>
      <w:szCs w:val="20"/>
    </w:rPr>
  </w:style>
  <w:style w:type="paragraph" w:styleId="TOC9">
    <w:name w:val="toc 9"/>
    <w:basedOn w:val="Normal"/>
    <w:next w:val="Normal"/>
    <w:autoRedefine/>
    <w:uiPriority w:val="39"/>
    <w:rsid w:val="003C05DD"/>
    <w:pPr>
      <w:spacing w:after="0"/>
      <w:ind w:left="1760"/>
    </w:pPr>
    <w:rPr>
      <w:rFonts w:ascii="Cambria" w:hAnsi="Cambria"/>
      <w:sz w:val="20"/>
      <w:szCs w:val="20"/>
    </w:rPr>
  </w:style>
  <w:style w:type="paragraph" w:customStyle="1" w:styleId="Section">
    <w:name w:val="Section"/>
    <w:basedOn w:val="Normal"/>
    <w:uiPriority w:val="99"/>
    <w:rsid w:val="005A296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jc w:val="both"/>
    </w:pPr>
    <w:rPr>
      <w:rFonts w:ascii="Times New Roman" w:hAnsi="Times New Roman"/>
      <w:spacing w:val="-3"/>
      <w:sz w:val="26"/>
      <w:szCs w:val="26"/>
      <w:lang w:val="en-GB" w:eastAsia="en-AU"/>
    </w:rPr>
  </w:style>
  <w:style w:type="character" w:styleId="CommentReference">
    <w:name w:val="annotation reference"/>
    <w:semiHidden/>
    <w:rsid w:val="00C453AB"/>
    <w:rPr>
      <w:rFonts w:cs="Times New Roman"/>
      <w:sz w:val="16"/>
      <w:szCs w:val="16"/>
    </w:rPr>
  </w:style>
  <w:style w:type="paragraph" w:styleId="CommentText">
    <w:name w:val="annotation text"/>
    <w:basedOn w:val="Normal"/>
    <w:semiHidden/>
    <w:rsid w:val="00C453AB"/>
    <w:rPr>
      <w:sz w:val="20"/>
      <w:szCs w:val="20"/>
    </w:rPr>
  </w:style>
  <w:style w:type="paragraph" w:styleId="CommentSubject">
    <w:name w:val="annotation subject"/>
    <w:basedOn w:val="CommentText"/>
    <w:next w:val="CommentText"/>
    <w:semiHidden/>
    <w:rsid w:val="00C453AB"/>
    <w:rPr>
      <w:b/>
      <w:bCs/>
    </w:rPr>
  </w:style>
  <w:style w:type="character" w:styleId="PageNumber">
    <w:name w:val="page number"/>
    <w:rsid w:val="00DD3FAF"/>
    <w:rPr>
      <w:rFonts w:cs="Times New Roman"/>
    </w:rPr>
  </w:style>
  <w:style w:type="paragraph" w:styleId="BodyText">
    <w:name w:val="Body Text"/>
    <w:basedOn w:val="Normal"/>
    <w:link w:val="BodyTextChar"/>
    <w:rsid w:val="00031DD7"/>
    <w:rPr>
      <w:rFonts w:eastAsia="Calibri"/>
      <w:szCs w:val="20"/>
      <w:lang w:val="en-AU" w:eastAsia="en-AU"/>
    </w:rPr>
  </w:style>
  <w:style w:type="character" w:customStyle="1" w:styleId="BodyTextChar">
    <w:name w:val="Body Text Char"/>
    <w:link w:val="BodyText"/>
    <w:locked/>
    <w:rsid w:val="00031DD7"/>
    <w:rPr>
      <w:rFonts w:ascii="Tahoma" w:hAnsi="Tahoma" w:cs="Times New Roman"/>
      <w:sz w:val="24"/>
    </w:rPr>
  </w:style>
  <w:style w:type="paragraph" w:customStyle="1" w:styleId="Dot">
    <w:name w:val="Dot"/>
    <w:basedOn w:val="Normal"/>
    <w:link w:val="DotChar"/>
    <w:qFormat/>
    <w:rsid w:val="00D9617E"/>
    <w:pPr>
      <w:numPr>
        <w:numId w:val="27"/>
      </w:numPr>
      <w:spacing w:after="120"/>
    </w:pPr>
    <w:rPr>
      <w:rFonts w:eastAsia="Calibri"/>
      <w:szCs w:val="22"/>
      <w:lang w:val="en-GB"/>
    </w:rPr>
  </w:style>
  <w:style w:type="character" w:customStyle="1" w:styleId="DotChar">
    <w:name w:val="Dot Char"/>
    <w:link w:val="Dot"/>
    <w:rsid w:val="00D9617E"/>
    <w:rPr>
      <w:rFonts w:ascii="Tahoma" w:hAnsi="Tahoma"/>
      <w:sz w:val="24"/>
      <w:szCs w:val="22"/>
      <w:lang w:val="en-GB"/>
    </w:rPr>
  </w:style>
  <w:style w:type="paragraph" w:customStyle="1" w:styleId="Dottop">
    <w:name w:val="Dottop"/>
    <w:basedOn w:val="Normal"/>
    <w:link w:val="DottopChar"/>
    <w:qFormat/>
    <w:rsid w:val="00D9617E"/>
    <w:pPr>
      <w:keepNext/>
      <w:spacing w:after="120"/>
    </w:pPr>
    <w:rPr>
      <w:rFonts w:eastAsia="Calibri"/>
      <w:szCs w:val="22"/>
      <w:lang w:val="en-GB"/>
    </w:rPr>
  </w:style>
  <w:style w:type="character" w:customStyle="1" w:styleId="DottopChar">
    <w:name w:val="Dottop Char"/>
    <w:link w:val="Dottop"/>
    <w:rsid w:val="00D9617E"/>
    <w:rPr>
      <w:rFonts w:ascii="Tahoma" w:hAnsi="Tahoma"/>
      <w:sz w:val="24"/>
      <w:szCs w:val="22"/>
      <w:lang w:val="en-GB"/>
    </w:rPr>
  </w:style>
  <w:style w:type="paragraph" w:customStyle="1" w:styleId="Dotbot">
    <w:name w:val="Dotbot"/>
    <w:basedOn w:val="Dot"/>
    <w:link w:val="DotbotChar"/>
    <w:qFormat/>
    <w:rsid w:val="00C24988"/>
    <w:pPr>
      <w:spacing w:after="240"/>
    </w:pPr>
  </w:style>
  <w:style w:type="character" w:customStyle="1" w:styleId="DotbotChar">
    <w:name w:val="Dotbot Char"/>
    <w:link w:val="Dotbot"/>
    <w:rsid w:val="00C24988"/>
    <w:rPr>
      <w:rFonts w:ascii="Tahoma" w:hAnsi="Tahoma"/>
      <w:sz w:val="24"/>
      <w:szCs w:val="22"/>
      <w:lang w:val="en-GB"/>
    </w:rPr>
  </w:style>
  <w:style w:type="paragraph" w:styleId="Revision">
    <w:name w:val="Revision"/>
    <w:hidden/>
    <w:uiPriority w:val="99"/>
    <w:semiHidden/>
    <w:rsid w:val="00CC6CF8"/>
    <w:rPr>
      <w:rFonts w:ascii="Tahoma" w:eastAsia="MS Mincho" w:hAnsi="Tahoma"/>
      <w:sz w:val="24"/>
      <w:szCs w:val="24"/>
      <w:lang w:val="en-US"/>
    </w:rPr>
  </w:style>
  <w:style w:type="paragraph" w:styleId="TOCHeading">
    <w:name w:val="TOC Heading"/>
    <w:basedOn w:val="Heading1"/>
    <w:next w:val="Normal"/>
    <w:uiPriority w:val="39"/>
    <w:semiHidden/>
    <w:unhideWhenUsed/>
    <w:qFormat/>
    <w:rsid w:val="00034CEC"/>
    <w:pPr>
      <w:numPr>
        <w:numId w:val="0"/>
      </w:numPr>
      <w:spacing w:before="480" w:after="0" w:line="276" w:lineRule="auto"/>
      <w:outlineLvl w:val="9"/>
    </w:pPr>
    <w:rPr>
      <w:rFonts w:asciiTheme="majorHAnsi" w:eastAsiaTheme="majorEastAsia" w:hAnsiTheme="majorHAnsi" w:cstheme="majorBidi"/>
      <w:color w:val="365F91" w:themeColor="accent1" w:themeShade="BF"/>
      <w:lang w:eastAsia="ja-JP"/>
    </w:rPr>
  </w:style>
  <w:style w:type="paragraph" w:styleId="DocumentMap">
    <w:name w:val="Document Map"/>
    <w:basedOn w:val="Normal"/>
    <w:link w:val="DocumentMapChar"/>
    <w:semiHidden/>
    <w:unhideWhenUsed/>
    <w:rsid w:val="005A16D5"/>
    <w:pPr>
      <w:spacing w:after="0"/>
    </w:pPr>
    <w:rPr>
      <w:rFonts w:ascii="Lucida Grande" w:hAnsi="Lucida Grande" w:cs="Lucida Grande"/>
    </w:rPr>
  </w:style>
  <w:style w:type="character" w:customStyle="1" w:styleId="DocumentMapChar">
    <w:name w:val="Document Map Char"/>
    <w:basedOn w:val="DefaultParagraphFont"/>
    <w:link w:val="DocumentMap"/>
    <w:semiHidden/>
    <w:rsid w:val="005A16D5"/>
    <w:rPr>
      <w:rFonts w:ascii="Lucida Grande" w:eastAsia="MS Mincho" w:hAnsi="Lucida Grande" w:cs="Lucida Grande"/>
      <w:sz w:val="24"/>
      <w:szCs w:val="24"/>
      <w:lang w:val="en-US"/>
    </w:rPr>
  </w:style>
  <w:style w:type="paragraph" w:styleId="Header">
    <w:name w:val="header"/>
    <w:basedOn w:val="Normal"/>
    <w:link w:val="HeaderChar"/>
    <w:unhideWhenUsed/>
    <w:locked/>
    <w:rsid w:val="00450773"/>
    <w:pPr>
      <w:tabs>
        <w:tab w:val="center" w:pos="4513"/>
        <w:tab w:val="right" w:pos="9026"/>
      </w:tabs>
      <w:spacing w:after="0"/>
    </w:pPr>
  </w:style>
  <w:style w:type="character" w:customStyle="1" w:styleId="HeaderChar">
    <w:name w:val="Header Char"/>
    <w:basedOn w:val="DefaultParagraphFont"/>
    <w:link w:val="Header"/>
    <w:rsid w:val="00450773"/>
    <w:rPr>
      <w:rFonts w:ascii="Tahoma" w:eastAsia="MS Mincho" w:hAnsi="Tahom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1956286">
      <w:bodyDiv w:val="1"/>
      <w:marLeft w:val="0"/>
      <w:marRight w:val="0"/>
      <w:marTop w:val="0"/>
      <w:marBottom w:val="0"/>
      <w:divBdr>
        <w:top w:val="none" w:sz="0" w:space="0" w:color="auto"/>
        <w:left w:val="none" w:sz="0" w:space="0" w:color="auto"/>
        <w:bottom w:val="none" w:sz="0" w:space="0" w:color="auto"/>
        <w:right w:val="none" w:sz="0" w:space="0" w:color="auto"/>
      </w:divBdr>
    </w:div>
    <w:div w:id="51776258">
      <w:bodyDiv w:val="1"/>
      <w:marLeft w:val="0"/>
      <w:marRight w:val="0"/>
      <w:marTop w:val="0"/>
      <w:marBottom w:val="0"/>
      <w:divBdr>
        <w:top w:val="none" w:sz="0" w:space="0" w:color="auto"/>
        <w:left w:val="none" w:sz="0" w:space="0" w:color="auto"/>
        <w:bottom w:val="none" w:sz="0" w:space="0" w:color="auto"/>
        <w:right w:val="none" w:sz="0" w:space="0" w:color="auto"/>
      </w:divBdr>
    </w:div>
    <w:div w:id="61486391">
      <w:bodyDiv w:val="1"/>
      <w:marLeft w:val="0"/>
      <w:marRight w:val="0"/>
      <w:marTop w:val="0"/>
      <w:marBottom w:val="0"/>
      <w:divBdr>
        <w:top w:val="none" w:sz="0" w:space="0" w:color="auto"/>
        <w:left w:val="none" w:sz="0" w:space="0" w:color="auto"/>
        <w:bottom w:val="none" w:sz="0" w:space="0" w:color="auto"/>
        <w:right w:val="none" w:sz="0" w:space="0" w:color="auto"/>
      </w:divBdr>
    </w:div>
    <w:div w:id="63065157">
      <w:bodyDiv w:val="1"/>
      <w:marLeft w:val="0"/>
      <w:marRight w:val="0"/>
      <w:marTop w:val="0"/>
      <w:marBottom w:val="0"/>
      <w:divBdr>
        <w:top w:val="none" w:sz="0" w:space="0" w:color="auto"/>
        <w:left w:val="none" w:sz="0" w:space="0" w:color="auto"/>
        <w:bottom w:val="none" w:sz="0" w:space="0" w:color="auto"/>
        <w:right w:val="none" w:sz="0" w:space="0" w:color="auto"/>
      </w:divBdr>
    </w:div>
    <w:div w:id="83034873">
      <w:bodyDiv w:val="1"/>
      <w:marLeft w:val="0"/>
      <w:marRight w:val="0"/>
      <w:marTop w:val="0"/>
      <w:marBottom w:val="0"/>
      <w:divBdr>
        <w:top w:val="none" w:sz="0" w:space="0" w:color="auto"/>
        <w:left w:val="none" w:sz="0" w:space="0" w:color="auto"/>
        <w:bottom w:val="none" w:sz="0" w:space="0" w:color="auto"/>
        <w:right w:val="none" w:sz="0" w:space="0" w:color="auto"/>
      </w:divBdr>
    </w:div>
    <w:div w:id="131098668">
      <w:bodyDiv w:val="1"/>
      <w:marLeft w:val="0"/>
      <w:marRight w:val="0"/>
      <w:marTop w:val="0"/>
      <w:marBottom w:val="0"/>
      <w:divBdr>
        <w:top w:val="none" w:sz="0" w:space="0" w:color="auto"/>
        <w:left w:val="none" w:sz="0" w:space="0" w:color="auto"/>
        <w:bottom w:val="none" w:sz="0" w:space="0" w:color="auto"/>
        <w:right w:val="none" w:sz="0" w:space="0" w:color="auto"/>
      </w:divBdr>
    </w:div>
    <w:div w:id="202443644">
      <w:bodyDiv w:val="1"/>
      <w:marLeft w:val="0"/>
      <w:marRight w:val="0"/>
      <w:marTop w:val="0"/>
      <w:marBottom w:val="0"/>
      <w:divBdr>
        <w:top w:val="none" w:sz="0" w:space="0" w:color="auto"/>
        <w:left w:val="none" w:sz="0" w:space="0" w:color="auto"/>
        <w:bottom w:val="none" w:sz="0" w:space="0" w:color="auto"/>
        <w:right w:val="none" w:sz="0" w:space="0" w:color="auto"/>
      </w:divBdr>
    </w:div>
    <w:div w:id="212667539">
      <w:bodyDiv w:val="1"/>
      <w:marLeft w:val="0"/>
      <w:marRight w:val="0"/>
      <w:marTop w:val="0"/>
      <w:marBottom w:val="0"/>
      <w:divBdr>
        <w:top w:val="none" w:sz="0" w:space="0" w:color="auto"/>
        <w:left w:val="none" w:sz="0" w:space="0" w:color="auto"/>
        <w:bottom w:val="none" w:sz="0" w:space="0" w:color="auto"/>
        <w:right w:val="none" w:sz="0" w:space="0" w:color="auto"/>
      </w:divBdr>
    </w:div>
    <w:div w:id="367991635">
      <w:bodyDiv w:val="1"/>
      <w:marLeft w:val="0"/>
      <w:marRight w:val="0"/>
      <w:marTop w:val="0"/>
      <w:marBottom w:val="0"/>
      <w:divBdr>
        <w:top w:val="none" w:sz="0" w:space="0" w:color="auto"/>
        <w:left w:val="none" w:sz="0" w:space="0" w:color="auto"/>
        <w:bottom w:val="none" w:sz="0" w:space="0" w:color="auto"/>
        <w:right w:val="none" w:sz="0" w:space="0" w:color="auto"/>
      </w:divBdr>
    </w:div>
    <w:div w:id="392966833">
      <w:bodyDiv w:val="1"/>
      <w:marLeft w:val="0"/>
      <w:marRight w:val="0"/>
      <w:marTop w:val="0"/>
      <w:marBottom w:val="0"/>
      <w:divBdr>
        <w:top w:val="none" w:sz="0" w:space="0" w:color="auto"/>
        <w:left w:val="none" w:sz="0" w:space="0" w:color="auto"/>
        <w:bottom w:val="none" w:sz="0" w:space="0" w:color="auto"/>
        <w:right w:val="none" w:sz="0" w:space="0" w:color="auto"/>
      </w:divBdr>
    </w:div>
    <w:div w:id="478812417">
      <w:bodyDiv w:val="1"/>
      <w:marLeft w:val="0"/>
      <w:marRight w:val="0"/>
      <w:marTop w:val="0"/>
      <w:marBottom w:val="0"/>
      <w:divBdr>
        <w:top w:val="none" w:sz="0" w:space="0" w:color="auto"/>
        <w:left w:val="none" w:sz="0" w:space="0" w:color="auto"/>
        <w:bottom w:val="none" w:sz="0" w:space="0" w:color="auto"/>
        <w:right w:val="none" w:sz="0" w:space="0" w:color="auto"/>
      </w:divBdr>
    </w:div>
    <w:div w:id="604121576">
      <w:bodyDiv w:val="1"/>
      <w:marLeft w:val="0"/>
      <w:marRight w:val="0"/>
      <w:marTop w:val="0"/>
      <w:marBottom w:val="0"/>
      <w:divBdr>
        <w:top w:val="none" w:sz="0" w:space="0" w:color="auto"/>
        <w:left w:val="none" w:sz="0" w:space="0" w:color="auto"/>
        <w:bottom w:val="none" w:sz="0" w:space="0" w:color="auto"/>
        <w:right w:val="none" w:sz="0" w:space="0" w:color="auto"/>
      </w:divBdr>
    </w:div>
    <w:div w:id="632831361">
      <w:bodyDiv w:val="1"/>
      <w:marLeft w:val="0"/>
      <w:marRight w:val="0"/>
      <w:marTop w:val="0"/>
      <w:marBottom w:val="0"/>
      <w:divBdr>
        <w:top w:val="none" w:sz="0" w:space="0" w:color="auto"/>
        <w:left w:val="none" w:sz="0" w:space="0" w:color="auto"/>
        <w:bottom w:val="none" w:sz="0" w:space="0" w:color="auto"/>
        <w:right w:val="none" w:sz="0" w:space="0" w:color="auto"/>
      </w:divBdr>
    </w:div>
    <w:div w:id="675159925">
      <w:bodyDiv w:val="1"/>
      <w:marLeft w:val="0"/>
      <w:marRight w:val="0"/>
      <w:marTop w:val="0"/>
      <w:marBottom w:val="0"/>
      <w:divBdr>
        <w:top w:val="none" w:sz="0" w:space="0" w:color="auto"/>
        <w:left w:val="none" w:sz="0" w:space="0" w:color="auto"/>
        <w:bottom w:val="none" w:sz="0" w:space="0" w:color="auto"/>
        <w:right w:val="none" w:sz="0" w:space="0" w:color="auto"/>
      </w:divBdr>
    </w:div>
    <w:div w:id="677657818">
      <w:bodyDiv w:val="1"/>
      <w:marLeft w:val="0"/>
      <w:marRight w:val="0"/>
      <w:marTop w:val="0"/>
      <w:marBottom w:val="0"/>
      <w:divBdr>
        <w:top w:val="none" w:sz="0" w:space="0" w:color="auto"/>
        <w:left w:val="none" w:sz="0" w:space="0" w:color="auto"/>
        <w:bottom w:val="none" w:sz="0" w:space="0" w:color="auto"/>
        <w:right w:val="none" w:sz="0" w:space="0" w:color="auto"/>
      </w:divBdr>
    </w:div>
    <w:div w:id="708064963">
      <w:bodyDiv w:val="1"/>
      <w:marLeft w:val="0"/>
      <w:marRight w:val="0"/>
      <w:marTop w:val="0"/>
      <w:marBottom w:val="0"/>
      <w:divBdr>
        <w:top w:val="none" w:sz="0" w:space="0" w:color="auto"/>
        <w:left w:val="none" w:sz="0" w:space="0" w:color="auto"/>
        <w:bottom w:val="none" w:sz="0" w:space="0" w:color="auto"/>
        <w:right w:val="none" w:sz="0" w:space="0" w:color="auto"/>
      </w:divBdr>
    </w:div>
    <w:div w:id="715011408">
      <w:bodyDiv w:val="1"/>
      <w:marLeft w:val="0"/>
      <w:marRight w:val="0"/>
      <w:marTop w:val="0"/>
      <w:marBottom w:val="0"/>
      <w:divBdr>
        <w:top w:val="none" w:sz="0" w:space="0" w:color="auto"/>
        <w:left w:val="none" w:sz="0" w:space="0" w:color="auto"/>
        <w:bottom w:val="none" w:sz="0" w:space="0" w:color="auto"/>
        <w:right w:val="none" w:sz="0" w:space="0" w:color="auto"/>
      </w:divBdr>
    </w:div>
    <w:div w:id="876742487">
      <w:bodyDiv w:val="1"/>
      <w:marLeft w:val="0"/>
      <w:marRight w:val="0"/>
      <w:marTop w:val="0"/>
      <w:marBottom w:val="0"/>
      <w:divBdr>
        <w:top w:val="none" w:sz="0" w:space="0" w:color="auto"/>
        <w:left w:val="none" w:sz="0" w:space="0" w:color="auto"/>
        <w:bottom w:val="none" w:sz="0" w:space="0" w:color="auto"/>
        <w:right w:val="none" w:sz="0" w:space="0" w:color="auto"/>
      </w:divBdr>
    </w:div>
    <w:div w:id="887372480">
      <w:bodyDiv w:val="1"/>
      <w:marLeft w:val="0"/>
      <w:marRight w:val="0"/>
      <w:marTop w:val="0"/>
      <w:marBottom w:val="0"/>
      <w:divBdr>
        <w:top w:val="none" w:sz="0" w:space="0" w:color="auto"/>
        <w:left w:val="none" w:sz="0" w:space="0" w:color="auto"/>
        <w:bottom w:val="none" w:sz="0" w:space="0" w:color="auto"/>
        <w:right w:val="none" w:sz="0" w:space="0" w:color="auto"/>
      </w:divBdr>
    </w:div>
    <w:div w:id="945115448">
      <w:bodyDiv w:val="1"/>
      <w:marLeft w:val="0"/>
      <w:marRight w:val="0"/>
      <w:marTop w:val="0"/>
      <w:marBottom w:val="0"/>
      <w:divBdr>
        <w:top w:val="none" w:sz="0" w:space="0" w:color="auto"/>
        <w:left w:val="none" w:sz="0" w:space="0" w:color="auto"/>
        <w:bottom w:val="none" w:sz="0" w:space="0" w:color="auto"/>
        <w:right w:val="none" w:sz="0" w:space="0" w:color="auto"/>
      </w:divBdr>
    </w:div>
    <w:div w:id="949168776">
      <w:bodyDiv w:val="1"/>
      <w:marLeft w:val="0"/>
      <w:marRight w:val="0"/>
      <w:marTop w:val="0"/>
      <w:marBottom w:val="0"/>
      <w:divBdr>
        <w:top w:val="none" w:sz="0" w:space="0" w:color="auto"/>
        <w:left w:val="none" w:sz="0" w:space="0" w:color="auto"/>
        <w:bottom w:val="none" w:sz="0" w:space="0" w:color="auto"/>
        <w:right w:val="none" w:sz="0" w:space="0" w:color="auto"/>
      </w:divBdr>
    </w:div>
    <w:div w:id="1247031386">
      <w:bodyDiv w:val="1"/>
      <w:marLeft w:val="0"/>
      <w:marRight w:val="0"/>
      <w:marTop w:val="0"/>
      <w:marBottom w:val="0"/>
      <w:divBdr>
        <w:top w:val="none" w:sz="0" w:space="0" w:color="auto"/>
        <w:left w:val="none" w:sz="0" w:space="0" w:color="auto"/>
        <w:bottom w:val="none" w:sz="0" w:space="0" w:color="auto"/>
        <w:right w:val="none" w:sz="0" w:space="0" w:color="auto"/>
      </w:divBdr>
    </w:div>
    <w:div w:id="1251156413">
      <w:bodyDiv w:val="1"/>
      <w:marLeft w:val="0"/>
      <w:marRight w:val="0"/>
      <w:marTop w:val="0"/>
      <w:marBottom w:val="0"/>
      <w:divBdr>
        <w:top w:val="none" w:sz="0" w:space="0" w:color="auto"/>
        <w:left w:val="none" w:sz="0" w:space="0" w:color="auto"/>
        <w:bottom w:val="none" w:sz="0" w:space="0" w:color="auto"/>
        <w:right w:val="none" w:sz="0" w:space="0" w:color="auto"/>
      </w:divBdr>
    </w:div>
    <w:div w:id="1280450621">
      <w:bodyDiv w:val="1"/>
      <w:marLeft w:val="0"/>
      <w:marRight w:val="0"/>
      <w:marTop w:val="0"/>
      <w:marBottom w:val="0"/>
      <w:divBdr>
        <w:top w:val="none" w:sz="0" w:space="0" w:color="auto"/>
        <w:left w:val="none" w:sz="0" w:space="0" w:color="auto"/>
        <w:bottom w:val="none" w:sz="0" w:space="0" w:color="auto"/>
        <w:right w:val="none" w:sz="0" w:space="0" w:color="auto"/>
      </w:divBdr>
    </w:div>
    <w:div w:id="1290819098">
      <w:bodyDiv w:val="1"/>
      <w:marLeft w:val="0"/>
      <w:marRight w:val="0"/>
      <w:marTop w:val="0"/>
      <w:marBottom w:val="0"/>
      <w:divBdr>
        <w:top w:val="none" w:sz="0" w:space="0" w:color="auto"/>
        <w:left w:val="none" w:sz="0" w:space="0" w:color="auto"/>
        <w:bottom w:val="none" w:sz="0" w:space="0" w:color="auto"/>
        <w:right w:val="none" w:sz="0" w:space="0" w:color="auto"/>
      </w:divBdr>
    </w:div>
    <w:div w:id="1495335466">
      <w:bodyDiv w:val="1"/>
      <w:marLeft w:val="0"/>
      <w:marRight w:val="0"/>
      <w:marTop w:val="0"/>
      <w:marBottom w:val="0"/>
      <w:divBdr>
        <w:top w:val="none" w:sz="0" w:space="0" w:color="auto"/>
        <w:left w:val="none" w:sz="0" w:space="0" w:color="auto"/>
        <w:bottom w:val="none" w:sz="0" w:space="0" w:color="auto"/>
        <w:right w:val="none" w:sz="0" w:space="0" w:color="auto"/>
      </w:divBdr>
    </w:div>
    <w:div w:id="1520122280">
      <w:bodyDiv w:val="1"/>
      <w:marLeft w:val="0"/>
      <w:marRight w:val="0"/>
      <w:marTop w:val="0"/>
      <w:marBottom w:val="0"/>
      <w:divBdr>
        <w:top w:val="none" w:sz="0" w:space="0" w:color="auto"/>
        <w:left w:val="none" w:sz="0" w:space="0" w:color="auto"/>
        <w:bottom w:val="none" w:sz="0" w:space="0" w:color="auto"/>
        <w:right w:val="none" w:sz="0" w:space="0" w:color="auto"/>
      </w:divBdr>
    </w:div>
    <w:div w:id="1542329942">
      <w:bodyDiv w:val="1"/>
      <w:marLeft w:val="0"/>
      <w:marRight w:val="0"/>
      <w:marTop w:val="0"/>
      <w:marBottom w:val="0"/>
      <w:divBdr>
        <w:top w:val="none" w:sz="0" w:space="0" w:color="auto"/>
        <w:left w:val="none" w:sz="0" w:space="0" w:color="auto"/>
        <w:bottom w:val="none" w:sz="0" w:space="0" w:color="auto"/>
        <w:right w:val="none" w:sz="0" w:space="0" w:color="auto"/>
      </w:divBdr>
    </w:div>
    <w:div w:id="1617713844">
      <w:bodyDiv w:val="1"/>
      <w:marLeft w:val="0"/>
      <w:marRight w:val="0"/>
      <w:marTop w:val="0"/>
      <w:marBottom w:val="0"/>
      <w:divBdr>
        <w:top w:val="none" w:sz="0" w:space="0" w:color="auto"/>
        <w:left w:val="none" w:sz="0" w:space="0" w:color="auto"/>
        <w:bottom w:val="none" w:sz="0" w:space="0" w:color="auto"/>
        <w:right w:val="none" w:sz="0" w:space="0" w:color="auto"/>
      </w:divBdr>
    </w:div>
    <w:div w:id="1629051215">
      <w:bodyDiv w:val="1"/>
      <w:marLeft w:val="0"/>
      <w:marRight w:val="0"/>
      <w:marTop w:val="0"/>
      <w:marBottom w:val="0"/>
      <w:divBdr>
        <w:top w:val="none" w:sz="0" w:space="0" w:color="auto"/>
        <w:left w:val="none" w:sz="0" w:space="0" w:color="auto"/>
        <w:bottom w:val="none" w:sz="0" w:space="0" w:color="auto"/>
        <w:right w:val="none" w:sz="0" w:space="0" w:color="auto"/>
      </w:divBdr>
    </w:div>
    <w:div w:id="1687748622">
      <w:bodyDiv w:val="1"/>
      <w:marLeft w:val="0"/>
      <w:marRight w:val="0"/>
      <w:marTop w:val="0"/>
      <w:marBottom w:val="0"/>
      <w:divBdr>
        <w:top w:val="none" w:sz="0" w:space="0" w:color="auto"/>
        <w:left w:val="none" w:sz="0" w:space="0" w:color="auto"/>
        <w:bottom w:val="none" w:sz="0" w:space="0" w:color="auto"/>
        <w:right w:val="none" w:sz="0" w:space="0" w:color="auto"/>
      </w:divBdr>
    </w:div>
    <w:div w:id="1714502185">
      <w:bodyDiv w:val="1"/>
      <w:marLeft w:val="0"/>
      <w:marRight w:val="0"/>
      <w:marTop w:val="0"/>
      <w:marBottom w:val="0"/>
      <w:divBdr>
        <w:top w:val="none" w:sz="0" w:space="0" w:color="auto"/>
        <w:left w:val="none" w:sz="0" w:space="0" w:color="auto"/>
        <w:bottom w:val="none" w:sz="0" w:space="0" w:color="auto"/>
        <w:right w:val="none" w:sz="0" w:space="0" w:color="auto"/>
      </w:divBdr>
    </w:div>
    <w:div w:id="1805737496">
      <w:bodyDiv w:val="1"/>
      <w:marLeft w:val="0"/>
      <w:marRight w:val="0"/>
      <w:marTop w:val="0"/>
      <w:marBottom w:val="0"/>
      <w:divBdr>
        <w:top w:val="none" w:sz="0" w:space="0" w:color="auto"/>
        <w:left w:val="none" w:sz="0" w:space="0" w:color="auto"/>
        <w:bottom w:val="none" w:sz="0" w:space="0" w:color="auto"/>
        <w:right w:val="none" w:sz="0" w:space="0" w:color="auto"/>
      </w:divBdr>
    </w:div>
    <w:div w:id="1856797858">
      <w:bodyDiv w:val="1"/>
      <w:marLeft w:val="0"/>
      <w:marRight w:val="0"/>
      <w:marTop w:val="0"/>
      <w:marBottom w:val="0"/>
      <w:divBdr>
        <w:top w:val="none" w:sz="0" w:space="0" w:color="auto"/>
        <w:left w:val="none" w:sz="0" w:space="0" w:color="auto"/>
        <w:bottom w:val="none" w:sz="0" w:space="0" w:color="auto"/>
        <w:right w:val="none" w:sz="0" w:space="0" w:color="auto"/>
      </w:divBdr>
    </w:div>
    <w:div w:id="1881433519">
      <w:bodyDiv w:val="1"/>
      <w:marLeft w:val="0"/>
      <w:marRight w:val="0"/>
      <w:marTop w:val="0"/>
      <w:marBottom w:val="0"/>
      <w:divBdr>
        <w:top w:val="none" w:sz="0" w:space="0" w:color="auto"/>
        <w:left w:val="none" w:sz="0" w:space="0" w:color="auto"/>
        <w:bottom w:val="none" w:sz="0" w:space="0" w:color="auto"/>
        <w:right w:val="none" w:sz="0" w:space="0" w:color="auto"/>
      </w:divBdr>
    </w:div>
    <w:div w:id="1891114653">
      <w:bodyDiv w:val="1"/>
      <w:marLeft w:val="0"/>
      <w:marRight w:val="0"/>
      <w:marTop w:val="0"/>
      <w:marBottom w:val="0"/>
      <w:divBdr>
        <w:top w:val="none" w:sz="0" w:space="0" w:color="auto"/>
        <w:left w:val="none" w:sz="0" w:space="0" w:color="auto"/>
        <w:bottom w:val="none" w:sz="0" w:space="0" w:color="auto"/>
        <w:right w:val="none" w:sz="0" w:space="0" w:color="auto"/>
      </w:divBdr>
    </w:div>
    <w:div w:id="1909607944">
      <w:bodyDiv w:val="1"/>
      <w:marLeft w:val="0"/>
      <w:marRight w:val="0"/>
      <w:marTop w:val="0"/>
      <w:marBottom w:val="0"/>
      <w:divBdr>
        <w:top w:val="none" w:sz="0" w:space="0" w:color="auto"/>
        <w:left w:val="none" w:sz="0" w:space="0" w:color="auto"/>
        <w:bottom w:val="none" w:sz="0" w:space="0" w:color="auto"/>
        <w:right w:val="none" w:sz="0" w:space="0" w:color="auto"/>
      </w:divBdr>
    </w:div>
    <w:div w:id="1909801982">
      <w:bodyDiv w:val="1"/>
      <w:marLeft w:val="0"/>
      <w:marRight w:val="0"/>
      <w:marTop w:val="0"/>
      <w:marBottom w:val="0"/>
      <w:divBdr>
        <w:top w:val="none" w:sz="0" w:space="0" w:color="auto"/>
        <w:left w:val="none" w:sz="0" w:space="0" w:color="auto"/>
        <w:bottom w:val="none" w:sz="0" w:space="0" w:color="auto"/>
        <w:right w:val="none" w:sz="0" w:space="0" w:color="auto"/>
      </w:divBdr>
    </w:div>
    <w:div w:id="1917475192">
      <w:bodyDiv w:val="1"/>
      <w:marLeft w:val="0"/>
      <w:marRight w:val="0"/>
      <w:marTop w:val="0"/>
      <w:marBottom w:val="0"/>
      <w:divBdr>
        <w:top w:val="none" w:sz="0" w:space="0" w:color="auto"/>
        <w:left w:val="none" w:sz="0" w:space="0" w:color="auto"/>
        <w:bottom w:val="none" w:sz="0" w:space="0" w:color="auto"/>
        <w:right w:val="none" w:sz="0" w:space="0" w:color="auto"/>
      </w:divBdr>
    </w:div>
    <w:div w:id="1932928990">
      <w:bodyDiv w:val="1"/>
      <w:marLeft w:val="0"/>
      <w:marRight w:val="0"/>
      <w:marTop w:val="0"/>
      <w:marBottom w:val="0"/>
      <w:divBdr>
        <w:top w:val="none" w:sz="0" w:space="0" w:color="auto"/>
        <w:left w:val="none" w:sz="0" w:space="0" w:color="auto"/>
        <w:bottom w:val="none" w:sz="0" w:space="0" w:color="auto"/>
        <w:right w:val="none" w:sz="0" w:space="0" w:color="auto"/>
      </w:divBdr>
      <w:divsChild>
        <w:div w:id="319306509">
          <w:marLeft w:val="0"/>
          <w:marRight w:val="0"/>
          <w:marTop w:val="0"/>
          <w:marBottom w:val="0"/>
          <w:divBdr>
            <w:top w:val="none" w:sz="0" w:space="0" w:color="auto"/>
            <w:left w:val="none" w:sz="0" w:space="0" w:color="auto"/>
            <w:bottom w:val="none" w:sz="0" w:space="0" w:color="auto"/>
            <w:right w:val="none" w:sz="0" w:space="0" w:color="auto"/>
          </w:divBdr>
          <w:divsChild>
            <w:div w:id="1244610154">
              <w:marLeft w:val="0"/>
              <w:marRight w:val="0"/>
              <w:marTop w:val="0"/>
              <w:marBottom w:val="0"/>
              <w:divBdr>
                <w:top w:val="none" w:sz="0" w:space="0" w:color="auto"/>
                <w:left w:val="none" w:sz="0" w:space="0" w:color="auto"/>
                <w:bottom w:val="none" w:sz="0" w:space="0" w:color="auto"/>
                <w:right w:val="none" w:sz="0" w:space="0" w:color="auto"/>
              </w:divBdr>
            </w:div>
          </w:divsChild>
        </w:div>
        <w:div w:id="2143762469">
          <w:marLeft w:val="0"/>
          <w:marRight w:val="0"/>
          <w:marTop w:val="0"/>
          <w:marBottom w:val="0"/>
          <w:divBdr>
            <w:top w:val="none" w:sz="0" w:space="0" w:color="auto"/>
            <w:left w:val="none" w:sz="0" w:space="0" w:color="auto"/>
            <w:bottom w:val="none" w:sz="0" w:space="0" w:color="auto"/>
            <w:right w:val="none" w:sz="0" w:space="0" w:color="auto"/>
          </w:divBdr>
          <w:divsChild>
            <w:div w:id="20426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7724">
      <w:bodyDiv w:val="1"/>
      <w:marLeft w:val="0"/>
      <w:marRight w:val="0"/>
      <w:marTop w:val="0"/>
      <w:marBottom w:val="0"/>
      <w:divBdr>
        <w:top w:val="none" w:sz="0" w:space="0" w:color="auto"/>
        <w:left w:val="none" w:sz="0" w:space="0" w:color="auto"/>
        <w:bottom w:val="none" w:sz="0" w:space="0" w:color="auto"/>
        <w:right w:val="none" w:sz="0" w:space="0" w:color="auto"/>
      </w:divBdr>
    </w:div>
    <w:div w:id="2017877433">
      <w:bodyDiv w:val="1"/>
      <w:marLeft w:val="0"/>
      <w:marRight w:val="0"/>
      <w:marTop w:val="0"/>
      <w:marBottom w:val="0"/>
      <w:divBdr>
        <w:top w:val="none" w:sz="0" w:space="0" w:color="auto"/>
        <w:left w:val="none" w:sz="0" w:space="0" w:color="auto"/>
        <w:bottom w:val="none" w:sz="0" w:space="0" w:color="auto"/>
        <w:right w:val="none" w:sz="0" w:space="0" w:color="auto"/>
      </w:divBdr>
    </w:div>
    <w:div w:id="2029598318">
      <w:bodyDiv w:val="1"/>
      <w:marLeft w:val="0"/>
      <w:marRight w:val="0"/>
      <w:marTop w:val="0"/>
      <w:marBottom w:val="0"/>
      <w:divBdr>
        <w:top w:val="none" w:sz="0" w:space="0" w:color="auto"/>
        <w:left w:val="none" w:sz="0" w:space="0" w:color="auto"/>
        <w:bottom w:val="none" w:sz="0" w:space="0" w:color="auto"/>
        <w:right w:val="none" w:sz="0" w:space="0" w:color="auto"/>
      </w:divBdr>
    </w:div>
    <w:div w:id="2142259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0.emf"/><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3.emf"/><Relationship Id="rId5" Type="http://schemas.microsoft.com/office/2007/relationships/stylesWithEffects" Target="stylesWithEffect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customXml" Target="../customXml/item3.xml"/><Relationship Id="rId10" Type="http://schemas.openxmlformats.org/officeDocument/2006/relationships/image" Target="media/image1.jpe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theme" Target="theme/theme1.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5AC9B89FD80419DEAB51D83A8997D" ma:contentTypeVersion="0" ma:contentTypeDescription="Create a new document." ma:contentTypeScope="" ma:versionID="73b4f809091d36690789d25f49379ad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22638-F013-4CB0-B174-4DBBCF06555A}"/>
</file>

<file path=customXml/itemProps2.xml><?xml version="1.0" encoding="utf-8"?>
<ds:datastoreItem xmlns:ds="http://schemas.openxmlformats.org/officeDocument/2006/customXml" ds:itemID="{057F82F7-2B53-4941-84E6-F8772B527F16}"/>
</file>

<file path=customXml/itemProps3.xml><?xml version="1.0" encoding="utf-8"?>
<ds:datastoreItem xmlns:ds="http://schemas.openxmlformats.org/officeDocument/2006/customXml" ds:itemID="{2976B8CC-F4C1-4E73-A05D-4AF15F8919AC}"/>
</file>

<file path=customXml/itemProps4.xml><?xml version="1.0" encoding="utf-8"?>
<ds:datastoreItem xmlns:ds="http://schemas.openxmlformats.org/officeDocument/2006/customXml" ds:itemID="{5F03BAF8-8799-4200-8289-4991F330C010}"/>
</file>

<file path=customXml/itemProps5.xml><?xml version="1.0" encoding="utf-8"?>
<ds:datastoreItem xmlns:ds="http://schemas.openxmlformats.org/officeDocument/2006/customXml" ds:itemID="{63E68E8F-E849-468B-96AF-0D72CBE36022}"/>
</file>

<file path=docProps/app.xml><?xml version="1.0" encoding="utf-8"?>
<Properties xmlns="http://schemas.openxmlformats.org/officeDocument/2006/extended-properties" xmlns:vt="http://schemas.openxmlformats.org/officeDocument/2006/docPropsVTypes">
  <Template>Normal</Template>
  <TotalTime>50</TotalTime>
  <Pages>67</Pages>
  <Words>17562</Words>
  <Characters>101113</Characters>
  <Application>Microsoft Office Word</Application>
  <DocSecurity>8</DocSecurity>
  <Lines>842</Lines>
  <Paragraphs>236</Paragraphs>
  <ScaleCrop>false</ScaleCrop>
  <HeadingPairs>
    <vt:vector size="2" baseType="variant">
      <vt:variant>
        <vt:lpstr>Title</vt:lpstr>
      </vt:variant>
      <vt:variant>
        <vt:i4>1</vt:i4>
      </vt:variant>
    </vt:vector>
  </HeadingPairs>
  <TitlesOfParts>
    <vt:vector size="1" baseType="lpstr">
      <vt:lpstr/>
    </vt:vector>
  </TitlesOfParts>
  <Company>Power and Water Corporation</Company>
  <LinksUpToDate>false</LinksUpToDate>
  <CharactersWithSpaces>118439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PWC Network Pricing Principles Statement and 2015-16 Pricing Proposal</dc:title>
  <dc:creator>Harry</dc:creator>
  <cp:lastModifiedBy>Joanne Boustead</cp:lastModifiedBy>
  <cp:revision>9</cp:revision>
  <cp:lastPrinted>2015-05-13T01:21:00Z</cp:lastPrinted>
  <dcterms:created xsi:type="dcterms:W3CDTF">2015-05-12T06:44:00Z</dcterms:created>
  <dcterms:modified xsi:type="dcterms:W3CDTF">2015-05-28T01:47:00Z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0x0101007975AC9B89FD80419DEAB51D83A8997D</vt:lpwstr>
  </property>
</Properties>
</file>