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4.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header6.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922449" w:rsidRPr="00CD0BDF" w:rsidRDefault="00ED53E8" w:rsidP="00BA0D8C">
      <w:pPr>
        <w:sectPr w:rsidR="00922449" w:rsidRPr="00CD0BDF" w:rsidSect="00B67063">
          <w:headerReference w:type="even" r:id="rId9"/>
          <w:headerReference w:type="default" r:id="rId10"/>
          <w:footerReference w:type="even" r:id="rId11"/>
          <w:headerReference w:type="first" r:id="rId12"/>
          <w:footerReference w:type="first" r:id="rId13"/>
          <w:pgSz w:w="11907" w:h="16840" w:code="9"/>
          <w:pgMar w:top="851" w:right="1701" w:bottom="1134" w:left="1701" w:header="568" w:footer="567" w:gutter="0"/>
          <w:pgNumType w:fmt="lowerRoman" w:start="1"/>
          <w:cols w:space="720"/>
          <w:titlePg/>
          <w:docGrid w:linePitch="299"/>
        </w:sectPr>
      </w:pPr>
      <w:r>
        <w:rPr>
          <w:noProof/>
          <w:lang w:val="en-AU" w:eastAsia="en-AU"/>
        </w:rPr>
        <mc:AlternateContent>
          <mc:Choice Requires="wps">
            <w:drawing>
              <wp:anchor distT="0" distB="0" distL="114300" distR="114300" simplePos="0" relativeHeight="251657728" behindDoc="0" locked="0" layoutInCell="0" allowOverlap="1" wp14:anchorId="4BFDF99F" wp14:editId="695E1483">
                <wp:simplePos x="0" y="0"/>
                <wp:positionH relativeFrom="margin">
                  <wp:posOffset>565150</wp:posOffset>
                </wp:positionH>
                <wp:positionV relativeFrom="margin">
                  <wp:posOffset>921385</wp:posOffset>
                </wp:positionV>
                <wp:extent cx="4319905" cy="228346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9905" cy="22834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56F66" w:rsidRPr="00CD0BDF" w:rsidRDefault="00F56F66" w:rsidP="00EA20C9">
                            <w:pPr>
                              <w:pStyle w:val="UtilComReportHeading"/>
                              <w:spacing w:line="240" w:lineRule="auto"/>
                              <w:ind w:left="0"/>
                            </w:pPr>
                            <w:r>
                              <w:t>Application TO amend the ELECTRICITY Retail supply code</w:t>
                            </w:r>
                          </w:p>
                          <w:p w:rsidR="00F56F66" w:rsidRPr="004B7ED0" w:rsidRDefault="00F56F66" w:rsidP="00835024">
                            <w:pPr>
                              <w:rPr>
                                <w:b/>
                              </w:rPr>
                            </w:pPr>
                            <w:r w:rsidRPr="004B7ED0">
                              <w:rPr>
                                <w:b/>
                              </w:rPr>
                              <w:t>Consultation Paper</w:t>
                            </w:r>
                            <w:r>
                              <w:rPr>
                                <w:b/>
                              </w:rPr>
                              <w:t xml:space="preserve">  </w:t>
                            </w:r>
                          </w:p>
                          <w:p w:rsidR="00F56F66" w:rsidRPr="00CD0BDF" w:rsidRDefault="00F56F66" w:rsidP="00835024">
                            <w:pPr>
                              <w:pStyle w:val="UtilComDate"/>
                              <w:spacing w:before="240"/>
                            </w:pPr>
                            <w:r w:rsidRPr="0064394C">
                              <w:t>July 2016</w:t>
                            </w:r>
                          </w:p>
                          <w:p w:rsidR="00F56F66" w:rsidRPr="00835024" w:rsidRDefault="00F56F66" w:rsidP="0083502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4.5pt;margin-top:72.55pt;width:340.15pt;height:179.8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8Y8QIAAHsGAAAOAAAAZHJzL2Uyb0RvYy54bWysVdtumzAYvp+0d7B8TznESQCVTAkJ06Tu&#10;ILV7AAdMsAY2s52Sbtq777dpkzTdxbSOC8uH35+/7z9x/e7QteieKc2lyHB4FWDERCkrLnYZ/npX&#10;eDFG2lBR0VYKluEHpvG7xds310Ofskg2sq2YQgAidDr0GW6M6VPf12XDOqqvZM8EHNZSddTAUu38&#10;StEB0LvWj4Jg5g9SVb2SJdMadtfjIV44/Lpmpflc15oZ1GYYuBk3Kjdu7egvrmm6U7RvePlIg/4D&#10;i45yAY8eodbUULRX/AVUx0sltazNVSk7X9Y1L5nTAGrC4ELNbUN75rSAc3R/dJP+f7Dlp/svCvEq&#10;wxFGgnYQojt2MGglDyiy3hl6nYLRbQ9m5gDbEGWnVPc3svymkZB5Q8WOLZWSQ8NoBexCe9M/uzri&#10;aAuyHT7KCp6heyMd0KFWnXUdOAMBOkTp4RgZS6WETTIJkySYYlTCWRTFEzJzsfNp+nS9V9q8Z7JD&#10;dpJhBaF38PT+RhtLh6ZPJvY1IQveti78rXi2AYbjDnP5M96mKVCBqbW0pFxsfyZBsok3MfFINNt4&#10;JFivvWWRE29WhPPperLO83X4y7IISdrwqmLCPvqUZyH5uzg+ZvyYIcdM07LllYWzlLTabfNWoXsK&#10;eV64z4UATk5m/nMaziWg5UJSGJFgFSVeMYvnHinI1EvmQewFYbJKZgFJyLp4LumGC/Z6SWjIcDKN&#10;pmNunUhfaAvc91IbTTtuoJO0vMtwfDSiqc3IjahcoA3l7Tg/c4Wl/2dXLItpMCeT2JvPpxOPTDaB&#10;t4qL3Fvm4Ww236zy1eYiuhuXMfr13nAxOUu/M76Pb5woQ74+5aYrOVtlY72Zw/YAwm0dbmX1AMWn&#10;JJQGVBh0bJg0Uv3AaIDul2H9fU8Vw6j9IKCAk5AQ2y7dgkznESzU+cn2/ISKEqAybDAap7kZW+y+&#10;V3zXwEtjyxByCUVfc1eOJ1YgxS6gwzlRj93YttDztbM6/TMWvwEAAP//AwBQSwMEFAAGAAgAAAAh&#10;AF3O9t/fAAAACgEAAA8AAABkcnMvZG93bnJldi54bWxMj81OwzAQhO9IvIO1SL1Ru23SNiFOhUBc&#10;QZQfiZsbb5Oo8TqK3Sa8PcsJjrMzmv2m2E2uExccQutJw2KuQCBV3rZUa3h/e7rdggjRkDWdJ9Tw&#10;jQF25fVVYXLrR3rFyz7Wgkso5EZDE2OfSxmqBp0Jc98jsXf0gzOR5VBLO5iRy10nl0qtpTMt8YfG&#10;9PjQYHXan52Gj+fj12eiXupHl/ajn5Qkl0mtZzfT/R2IiFP8C8MvPqNDyUwHfyYbRKdhm/GUyPck&#10;XYDgwGadrUAcNKQq2YAsC/l/QvkDAAD//wMAUEsBAi0AFAAGAAgAAAAhALaDOJL+AAAA4QEAABMA&#10;AAAAAAAAAAAAAAAAAAAAAFtDb250ZW50X1R5cGVzXS54bWxQSwECLQAUAAYACAAAACEAOP0h/9YA&#10;AACUAQAACwAAAAAAAAAAAAAAAAAvAQAAX3JlbHMvLnJlbHNQSwECLQAUAAYACAAAACEApf3vGPEC&#10;AAB7BgAADgAAAAAAAAAAAAAAAAAuAgAAZHJzL2Uyb0RvYy54bWxQSwECLQAUAAYACAAAACEAXc72&#10;398AAAAKAQAADwAAAAAAAAAAAAAAAABLBQAAZHJzL2Rvd25yZXYueG1sUEsFBgAAAAAEAAQA8wAA&#10;AFcGAAAAAA==&#10;" o:allowincell="f" filled="f" stroked="f">
                <v:textbox>
                  <w:txbxContent>
                    <w:p w:rsidR="00F56F66" w:rsidRPr="00CD0BDF" w:rsidRDefault="00F56F66" w:rsidP="00EA20C9">
                      <w:pPr>
                        <w:pStyle w:val="UtilComReportHeading"/>
                        <w:spacing w:line="240" w:lineRule="auto"/>
                        <w:ind w:left="0"/>
                      </w:pPr>
                      <w:r>
                        <w:t>Application TO amend the ELECTRICITY Retail supply code</w:t>
                      </w:r>
                    </w:p>
                    <w:p w:rsidR="00F56F66" w:rsidRPr="004B7ED0" w:rsidRDefault="00F56F66" w:rsidP="00835024">
                      <w:pPr>
                        <w:rPr>
                          <w:b/>
                        </w:rPr>
                      </w:pPr>
                      <w:r w:rsidRPr="004B7ED0">
                        <w:rPr>
                          <w:b/>
                        </w:rPr>
                        <w:t>Consultation Paper</w:t>
                      </w:r>
                      <w:r>
                        <w:rPr>
                          <w:b/>
                        </w:rPr>
                        <w:t xml:space="preserve">  </w:t>
                      </w:r>
                    </w:p>
                    <w:p w:rsidR="00F56F66" w:rsidRPr="00CD0BDF" w:rsidRDefault="00F56F66" w:rsidP="00835024">
                      <w:pPr>
                        <w:pStyle w:val="UtilComDate"/>
                        <w:spacing w:before="240"/>
                      </w:pPr>
                      <w:r w:rsidRPr="0064394C">
                        <w:t>July 2016</w:t>
                      </w:r>
                    </w:p>
                    <w:p w:rsidR="00F56F66" w:rsidRPr="00835024" w:rsidRDefault="00F56F66" w:rsidP="00835024"/>
                  </w:txbxContent>
                </v:textbox>
                <w10:wrap anchorx="margin" anchory="margin"/>
              </v:shape>
            </w:pict>
          </mc:Fallback>
        </mc:AlternateContent>
      </w:r>
    </w:p>
    <w:p w:rsidR="00134C3F" w:rsidRPr="001A02AA" w:rsidRDefault="00984DBC" w:rsidP="001A02AA">
      <w:pPr>
        <w:pStyle w:val="UtilComHeading2"/>
      </w:pPr>
      <w:bookmarkStart w:id="1" w:name="_Toc453509207"/>
      <w:bookmarkStart w:id="2" w:name="_Toc457203876"/>
      <w:bookmarkStart w:id="3" w:name="_Toc457204092"/>
      <w:bookmarkStart w:id="4" w:name="_Toc457207263"/>
      <w:bookmarkStart w:id="5" w:name="_Toc457207575"/>
      <w:r w:rsidRPr="006E3A87">
        <w:lastRenderedPageBreak/>
        <w:t>Table of Contents</w:t>
      </w:r>
      <w:bookmarkEnd w:id="1"/>
      <w:bookmarkEnd w:id="2"/>
      <w:bookmarkEnd w:id="3"/>
      <w:bookmarkEnd w:id="4"/>
      <w:bookmarkEnd w:id="5"/>
      <w:r w:rsidR="00112DA4">
        <w:rPr>
          <w:highlight w:val="yellow"/>
        </w:rPr>
        <w:fldChar w:fldCharType="begin"/>
      </w:r>
      <w:r w:rsidR="00112DA4">
        <w:rPr>
          <w:highlight w:val="yellow"/>
        </w:rPr>
        <w:instrText xml:space="preserve"> TOC \h \z \t "UtilCom Chapter Heading,1,UtilCom Heading 2,2,UtilCom Heading 3,3" </w:instrText>
      </w:r>
      <w:r w:rsidR="00112DA4">
        <w:rPr>
          <w:highlight w:val="yellow"/>
        </w:rPr>
        <w:fldChar w:fldCharType="separate"/>
      </w:r>
    </w:p>
    <w:p w:rsidR="00134C3F" w:rsidRDefault="0013464F">
      <w:pPr>
        <w:pStyle w:val="TOC2"/>
        <w:rPr>
          <w:rFonts w:asciiTheme="minorHAnsi" w:eastAsiaTheme="minorEastAsia" w:hAnsiTheme="minorHAnsi" w:cstheme="minorBidi"/>
          <w:noProof/>
          <w:sz w:val="22"/>
          <w:szCs w:val="22"/>
          <w:lang w:val="en-AU" w:eastAsia="en-AU"/>
        </w:rPr>
      </w:pPr>
      <w:hyperlink w:anchor="_Toc457207576" w:history="1">
        <w:r w:rsidR="00134C3F" w:rsidRPr="00EA647E">
          <w:rPr>
            <w:rStyle w:val="Hyperlink"/>
            <w:noProof/>
          </w:rPr>
          <w:t>Confidentiality</w:t>
        </w:r>
        <w:r w:rsidR="00134C3F">
          <w:rPr>
            <w:noProof/>
            <w:webHidden/>
          </w:rPr>
          <w:tab/>
        </w:r>
        <w:r w:rsidR="00134C3F">
          <w:rPr>
            <w:noProof/>
            <w:webHidden/>
          </w:rPr>
          <w:fldChar w:fldCharType="begin"/>
        </w:r>
        <w:r w:rsidR="00134C3F">
          <w:rPr>
            <w:noProof/>
            <w:webHidden/>
          </w:rPr>
          <w:instrText xml:space="preserve"> PAGEREF _Toc457207576 \h </w:instrText>
        </w:r>
        <w:r w:rsidR="00134C3F">
          <w:rPr>
            <w:noProof/>
            <w:webHidden/>
          </w:rPr>
        </w:r>
        <w:r w:rsidR="00134C3F">
          <w:rPr>
            <w:noProof/>
            <w:webHidden/>
          </w:rPr>
          <w:fldChar w:fldCharType="separate"/>
        </w:r>
        <w:r w:rsidR="00EA2ADF">
          <w:rPr>
            <w:noProof/>
            <w:webHidden/>
          </w:rPr>
          <w:t>5</w:t>
        </w:r>
        <w:r w:rsidR="00134C3F">
          <w:rPr>
            <w:noProof/>
            <w:webHidden/>
          </w:rPr>
          <w:fldChar w:fldCharType="end"/>
        </w:r>
      </w:hyperlink>
    </w:p>
    <w:p w:rsidR="00134C3F" w:rsidRDefault="0013464F">
      <w:pPr>
        <w:pStyle w:val="TOC2"/>
        <w:rPr>
          <w:rFonts w:asciiTheme="minorHAnsi" w:eastAsiaTheme="minorEastAsia" w:hAnsiTheme="minorHAnsi" w:cstheme="minorBidi"/>
          <w:noProof/>
          <w:sz w:val="22"/>
          <w:szCs w:val="22"/>
          <w:lang w:val="en-AU" w:eastAsia="en-AU"/>
        </w:rPr>
      </w:pPr>
      <w:hyperlink w:anchor="_Toc457207577" w:history="1">
        <w:r w:rsidR="00134C3F" w:rsidRPr="00EA647E">
          <w:rPr>
            <w:rStyle w:val="Hyperlink"/>
            <w:noProof/>
          </w:rPr>
          <w:t>Public Access to Submissions</w:t>
        </w:r>
        <w:r w:rsidR="00134C3F">
          <w:rPr>
            <w:noProof/>
            <w:webHidden/>
          </w:rPr>
          <w:tab/>
        </w:r>
        <w:r w:rsidR="00134C3F">
          <w:rPr>
            <w:noProof/>
            <w:webHidden/>
          </w:rPr>
          <w:fldChar w:fldCharType="begin"/>
        </w:r>
        <w:r w:rsidR="00134C3F">
          <w:rPr>
            <w:noProof/>
            <w:webHidden/>
          </w:rPr>
          <w:instrText xml:space="preserve"> PAGEREF _Toc457207577 \h </w:instrText>
        </w:r>
        <w:r w:rsidR="00134C3F">
          <w:rPr>
            <w:noProof/>
            <w:webHidden/>
          </w:rPr>
        </w:r>
        <w:r w:rsidR="00134C3F">
          <w:rPr>
            <w:noProof/>
            <w:webHidden/>
          </w:rPr>
          <w:fldChar w:fldCharType="separate"/>
        </w:r>
        <w:r w:rsidR="00EA2ADF">
          <w:rPr>
            <w:noProof/>
            <w:webHidden/>
          </w:rPr>
          <w:t>5</w:t>
        </w:r>
        <w:r w:rsidR="00134C3F">
          <w:rPr>
            <w:noProof/>
            <w:webHidden/>
          </w:rPr>
          <w:fldChar w:fldCharType="end"/>
        </w:r>
      </w:hyperlink>
    </w:p>
    <w:p w:rsidR="00134C3F" w:rsidRDefault="0013464F">
      <w:pPr>
        <w:pStyle w:val="TOC2"/>
        <w:rPr>
          <w:rFonts w:asciiTheme="minorHAnsi" w:eastAsiaTheme="minorEastAsia" w:hAnsiTheme="minorHAnsi" w:cstheme="minorBidi"/>
          <w:noProof/>
          <w:sz w:val="22"/>
          <w:szCs w:val="22"/>
          <w:lang w:val="en-AU" w:eastAsia="en-AU"/>
        </w:rPr>
      </w:pPr>
      <w:hyperlink w:anchor="_Toc457207578" w:history="1">
        <w:r w:rsidR="00134C3F" w:rsidRPr="00EA647E">
          <w:rPr>
            <w:rStyle w:val="Hyperlink"/>
            <w:noProof/>
          </w:rPr>
          <w:t>Call for Submissions</w:t>
        </w:r>
        <w:r w:rsidR="00134C3F">
          <w:rPr>
            <w:noProof/>
            <w:webHidden/>
          </w:rPr>
          <w:tab/>
        </w:r>
        <w:r w:rsidR="00134C3F">
          <w:rPr>
            <w:noProof/>
            <w:webHidden/>
          </w:rPr>
          <w:fldChar w:fldCharType="begin"/>
        </w:r>
        <w:r w:rsidR="00134C3F">
          <w:rPr>
            <w:noProof/>
            <w:webHidden/>
          </w:rPr>
          <w:instrText xml:space="preserve"> PAGEREF _Toc457207578 \h </w:instrText>
        </w:r>
        <w:r w:rsidR="00134C3F">
          <w:rPr>
            <w:noProof/>
            <w:webHidden/>
          </w:rPr>
        </w:r>
        <w:r w:rsidR="00134C3F">
          <w:rPr>
            <w:noProof/>
            <w:webHidden/>
          </w:rPr>
          <w:fldChar w:fldCharType="separate"/>
        </w:r>
        <w:r w:rsidR="00EA2ADF">
          <w:rPr>
            <w:noProof/>
            <w:webHidden/>
          </w:rPr>
          <w:t>5</w:t>
        </w:r>
        <w:r w:rsidR="00134C3F">
          <w:rPr>
            <w:noProof/>
            <w:webHidden/>
          </w:rPr>
          <w:fldChar w:fldCharType="end"/>
        </w:r>
      </w:hyperlink>
    </w:p>
    <w:p w:rsidR="00134C3F" w:rsidRDefault="0013464F">
      <w:pPr>
        <w:pStyle w:val="TOC1"/>
        <w:tabs>
          <w:tab w:val="right" w:leader="dot" w:pos="9062"/>
        </w:tabs>
        <w:rPr>
          <w:rFonts w:asciiTheme="minorHAnsi" w:eastAsiaTheme="minorEastAsia" w:hAnsiTheme="minorHAnsi" w:cstheme="minorBidi"/>
          <w:b w:val="0"/>
          <w:noProof/>
          <w:spacing w:val="0"/>
          <w:szCs w:val="22"/>
          <w:lang w:val="en-AU" w:eastAsia="en-AU"/>
        </w:rPr>
      </w:pPr>
      <w:hyperlink w:anchor="_Toc457207579" w:history="1">
        <w:r w:rsidR="00134C3F" w:rsidRPr="00EA647E">
          <w:rPr>
            <w:rStyle w:val="Hyperlink"/>
            <w:noProof/>
          </w:rPr>
          <w:t>Glossary</w:t>
        </w:r>
        <w:r w:rsidR="00134C3F">
          <w:rPr>
            <w:noProof/>
            <w:webHidden/>
          </w:rPr>
          <w:tab/>
        </w:r>
        <w:r w:rsidR="00134C3F">
          <w:rPr>
            <w:noProof/>
            <w:webHidden/>
          </w:rPr>
          <w:fldChar w:fldCharType="begin"/>
        </w:r>
        <w:r w:rsidR="00134C3F">
          <w:rPr>
            <w:noProof/>
            <w:webHidden/>
          </w:rPr>
          <w:instrText xml:space="preserve"> PAGEREF _Toc457207579 \h </w:instrText>
        </w:r>
        <w:r w:rsidR="00134C3F">
          <w:rPr>
            <w:noProof/>
            <w:webHidden/>
          </w:rPr>
        </w:r>
        <w:r w:rsidR="00134C3F">
          <w:rPr>
            <w:noProof/>
            <w:webHidden/>
          </w:rPr>
          <w:fldChar w:fldCharType="separate"/>
        </w:r>
        <w:r w:rsidR="00EA2ADF">
          <w:rPr>
            <w:noProof/>
            <w:webHidden/>
          </w:rPr>
          <w:t>6</w:t>
        </w:r>
        <w:r w:rsidR="00134C3F">
          <w:rPr>
            <w:noProof/>
            <w:webHidden/>
          </w:rPr>
          <w:fldChar w:fldCharType="end"/>
        </w:r>
      </w:hyperlink>
    </w:p>
    <w:p w:rsidR="00134C3F" w:rsidRDefault="0013464F">
      <w:pPr>
        <w:pStyle w:val="TOC1"/>
        <w:tabs>
          <w:tab w:val="right" w:leader="dot" w:pos="9062"/>
        </w:tabs>
        <w:rPr>
          <w:rFonts w:asciiTheme="minorHAnsi" w:eastAsiaTheme="minorEastAsia" w:hAnsiTheme="minorHAnsi" w:cstheme="minorBidi"/>
          <w:b w:val="0"/>
          <w:noProof/>
          <w:spacing w:val="0"/>
          <w:szCs w:val="22"/>
          <w:lang w:val="en-AU" w:eastAsia="en-AU"/>
        </w:rPr>
      </w:pPr>
      <w:hyperlink w:anchor="_Toc457207580" w:history="1">
        <w:r w:rsidR="00134C3F" w:rsidRPr="00EA647E">
          <w:rPr>
            <w:rStyle w:val="Hyperlink"/>
            <w:noProof/>
          </w:rPr>
          <w:t>Application to Amend the Electricity Retail Supply Code</w:t>
        </w:r>
        <w:r w:rsidR="00134C3F">
          <w:rPr>
            <w:noProof/>
            <w:webHidden/>
          </w:rPr>
          <w:tab/>
        </w:r>
        <w:r w:rsidR="00134C3F">
          <w:rPr>
            <w:noProof/>
            <w:webHidden/>
          </w:rPr>
          <w:fldChar w:fldCharType="begin"/>
        </w:r>
        <w:r w:rsidR="00134C3F">
          <w:rPr>
            <w:noProof/>
            <w:webHidden/>
          </w:rPr>
          <w:instrText xml:space="preserve"> PAGEREF _Toc457207580 \h </w:instrText>
        </w:r>
        <w:r w:rsidR="00134C3F">
          <w:rPr>
            <w:noProof/>
            <w:webHidden/>
          </w:rPr>
        </w:r>
        <w:r w:rsidR="00134C3F">
          <w:rPr>
            <w:noProof/>
            <w:webHidden/>
          </w:rPr>
          <w:fldChar w:fldCharType="separate"/>
        </w:r>
        <w:r w:rsidR="00EA2ADF">
          <w:rPr>
            <w:noProof/>
            <w:webHidden/>
          </w:rPr>
          <w:t>4</w:t>
        </w:r>
        <w:r w:rsidR="00134C3F">
          <w:rPr>
            <w:noProof/>
            <w:webHidden/>
          </w:rPr>
          <w:fldChar w:fldCharType="end"/>
        </w:r>
      </w:hyperlink>
    </w:p>
    <w:p w:rsidR="00134C3F" w:rsidRDefault="0013464F">
      <w:pPr>
        <w:pStyle w:val="TOC2"/>
        <w:rPr>
          <w:rFonts w:asciiTheme="minorHAnsi" w:eastAsiaTheme="minorEastAsia" w:hAnsiTheme="minorHAnsi" w:cstheme="minorBidi"/>
          <w:noProof/>
          <w:sz w:val="22"/>
          <w:szCs w:val="22"/>
          <w:lang w:val="en-AU" w:eastAsia="en-AU"/>
        </w:rPr>
      </w:pPr>
      <w:hyperlink w:anchor="_Toc457207581" w:history="1">
        <w:r w:rsidR="00134C3F" w:rsidRPr="00EA647E">
          <w:rPr>
            <w:rStyle w:val="Hyperlink"/>
            <w:noProof/>
          </w:rPr>
          <w:t>Introduction</w:t>
        </w:r>
        <w:r w:rsidR="00134C3F">
          <w:rPr>
            <w:noProof/>
            <w:webHidden/>
          </w:rPr>
          <w:tab/>
        </w:r>
        <w:r w:rsidR="00134C3F">
          <w:rPr>
            <w:noProof/>
            <w:webHidden/>
          </w:rPr>
          <w:fldChar w:fldCharType="begin"/>
        </w:r>
        <w:r w:rsidR="00134C3F">
          <w:rPr>
            <w:noProof/>
            <w:webHidden/>
          </w:rPr>
          <w:instrText xml:space="preserve"> PAGEREF _Toc457207581 \h </w:instrText>
        </w:r>
        <w:r w:rsidR="00134C3F">
          <w:rPr>
            <w:noProof/>
            <w:webHidden/>
          </w:rPr>
        </w:r>
        <w:r w:rsidR="00134C3F">
          <w:rPr>
            <w:noProof/>
            <w:webHidden/>
          </w:rPr>
          <w:fldChar w:fldCharType="separate"/>
        </w:r>
        <w:r w:rsidR="00EA2ADF">
          <w:rPr>
            <w:noProof/>
            <w:webHidden/>
          </w:rPr>
          <w:t>4</w:t>
        </w:r>
        <w:r w:rsidR="00134C3F">
          <w:rPr>
            <w:noProof/>
            <w:webHidden/>
          </w:rPr>
          <w:fldChar w:fldCharType="end"/>
        </w:r>
      </w:hyperlink>
    </w:p>
    <w:p w:rsidR="00134C3F" w:rsidRDefault="0013464F">
      <w:pPr>
        <w:pStyle w:val="TOC2"/>
        <w:rPr>
          <w:rFonts w:asciiTheme="minorHAnsi" w:eastAsiaTheme="minorEastAsia" w:hAnsiTheme="minorHAnsi" w:cstheme="minorBidi"/>
          <w:noProof/>
          <w:sz w:val="22"/>
          <w:szCs w:val="22"/>
          <w:lang w:val="en-AU" w:eastAsia="en-AU"/>
        </w:rPr>
      </w:pPr>
      <w:hyperlink w:anchor="_Toc457207582" w:history="1">
        <w:r w:rsidR="00134C3F" w:rsidRPr="00EA647E">
          <w:rPr>
            <w:rStyle w:val="Hyperlink"/>
            <w:noProof/>
          </w:rPr>
          <w:t>Purpose of this Paper and Process for Consultation</w:t>
        </w:r>
        <w:r w:rsidR="00134C3F">
          <w:rPr>
            <w:noProof/>
            <w:webHidden/>
          </w:rPr>
          <w:tab/>
        </w:r>
        <w:r w:rsidR="00134C3F">
          <w:rPr>
            <w:noProof/>
            <w:webHidden/>
          </w:rPr>
          <w:fldChar w:fldCharType="begin"/>
        </w:r>
        <w:r w:rsidR="00134C3F">
          <w:rPr>
            <w:noProof/>
            <w:webHidden/>
          </w:rPr>
          <w:instrText xml:space="preserve"> PAGEREF _Toc457207582 \h </w:instrText>
        </w:r>
        <w:r w:rsidR="00134C3F">
          <w:rPr>
            <w:noProof/>
            <w:webHidden/>
          </w:rPr>
        </w:r>
        <w:r w:rsidR="00134C3F">
          <w:rPr>
            <w:noProof/>
            <w:webHidden/>
          </w:rPr>
          <w:fldChar w:fldCharType="separate"/>
        </w:r>
        <w:r w:rsidR="00EA2ADF">
          <w:rPr>
            <w:noProof/>
            <w:webHidden/>
          </w:rPr>
          <w:t>6</w:t>
        </w:r>
        <w:r w:rsidR="00134C3F">
          <w:rPr>
            <w:noProof/>
            <w:webHidden/>
          </w:rPr>
          <w:fldChar w:fldCharType="end"/>
        </w:r>
      </w:hyperlink>
    </w:p>
    <w:p w:rsidR="00134C3F" w:rsidRDefault="0013464F">
      <w:pPr>
        <w:pStyle w:val="TOC2"/>
        <w:rPr>
          <w:rFonts w:asciiTheme="minorHAnsi" w:eastAsiaTheme="minorEastAsia" w:hAnsiTheme="minorHAnsi" w:cstheme="minorBidi"/>
          <w:noProof/>
          <w:sz w:val="22"/>
          <w:szCs w:val="22"/>
          <w:lang w:val="en-AU" w:eastAsia="en-AU"/>
        </w:rPr>
      </w:pPr>
      <w:hyperlink w:anchor="_Toc457207583" w:history="1">
        <w:r w:rsidR="00134C3F" w:rsidRPr="00EA647E">
          <w:rPr>
            <w:rStyle w:val="Hyperlink"/>
            <w:noProof/>
          </w:rPr>
          <w:t>History of the Retail Supply Code</w:t>
        </w:r>
        <w:r w:rsidR="00134C3F">
          <w:rPr>
            <w:noProof/>
            <w:webHidden/>
          </w:rPr>
          <w:tab/>
        </w:r>
        <w:r w:rsidR="00134C3F">
          <w:rPr>
            <w:noProof/>
            <w:webHidden/>
          </w:rPr>
          <w:fldChar w:fldCharType="begin"/>
        </w:r>
        <w:r w:rsidR="00134C3F">
          <w:rPr>
            <w:noProof/>
            <w:webHidden/>
          </w:rPr>
          <w:instrText xml:space="preserve"> PAGEREF _Toc457207583 \h </w:instrText>
        </w:r>
        <w:r w:rsidR="00134C3F">
          <w:rPr>
            <w:noProof/>
            <w:webHidden/>
          </w:rPr>
        </w:r>
        <w:r w:rsidR="00134C3F">
          <w:rPr>
            <w:noProof/>
            <w:webHidden/>
          </w:rPr>
          <w:fldChar w:fldCharType="separate"/>
        </w:r>
        <w:r w:rsidR="00EA2ADF">
          <w:rPr>
            <w:noProof/>
            <w:webHidden/>
          </w:rPr>
          <w:t>7</w:t>
        </w:r>
        <w:r w:rsidR="00134C3F">
          <w:rPr>
            <w:noProof/>
            <w:webHidden/>
          </w:rPr>
          <w:fldChar w:fldCharType="end"/>
        </w:r>
      </w:hyperlink>
    </w:p>
    <w:p w:rsidR="00134C3F" w:rsidRDefault="0013464F" w:rsidP="00134C3F">
      <w:pPr>
        <w:pStyle w:val="TOC4"/>
        <w:rPr>
          <w:rFonts w:asciiTheme="minorHAnsi" w:eastAsiaTheme="minorEastAsia" w:hAnsiTheme="minorHAnsi" w:cstheme="minorBidi"/>
          <w:sz w:val="22"/>
          <w:szCs w:val="22"/>
          <w:lang w:val="en-AU" w:eastAsia="en-AU"/>
        </w:rPr>
      </w:pPr>
      <w:hyperlink w:anchor="_Toc457207584" w:history="1">
        <w:r w:rsidR="00134C3F" w:rsidRPr="00EA647E">
          <w:rPr>
            <w:rStyle w:val="Hyperlink"/>
          </w:rPr>
          <w:t>Full retail contestability</w:t>
        </w:r>
        <w:r w:rsidR="00134C3F">
          <w:rPr>
            <w:webHidden/>
          </w:rPr>
          <w:tab/>
        </w:r>
        <w:r w:rsidR="00134C3F">
          <w:rPr>
            <w:webHidden/>
          </w:rPr>
          <w:fldChar w:fldCharType="begin"/>
        </w:r>
        <w:r w:rsidR="00134C3F">
          <w:rPr>
            <w:webHidden/>
          </w:rPr>
          <w:instrText xml:space="preserve"> PAGEREF _Toc457207584 \h </w:instrText>
        </w:r>
        <w:r w:rsidR="00134C3F">
          <w:rPr>
            <w:webHidden/>
          </w:rPr>
        </w:r>
        <w:r w:rsidR="00134C3F">
          <w:rPr>
            <w:webHidden/>
          </w:rPr>
          <w:fldChar w:fldCharType="separate"/>
        </w:r>
        <w:r w:rsidR="00EA2ADF">
          <w:rPr>
            <w:webHidden/>
          </w:rPr>
          <w:t>7</w:t>
        </w:r>
        <w:r w:rsidR="00134C3F">
          <w:rPr>
            <w:webHidden/>
          </w:rPr>
          <w:fldChar w:fldCharType="end"/>
        </w:r>
      </w:hyperlink>
    </w:p>
    <w:p w:rsidR="00134C3F" w:rsidRDefault="0013464F" w:rsidP="00134C3F">
      <w:pPr>
        <w:pStyle w:val="TOC4"/>
        <w:rPr>
          <w:rFonts w:asciiTheme="minorHAnsi" w:eastAsiaTheme="minorEastAsia" w:hAnsiTheme="minorHAnsi" w:cstheme="minorBidi"/>
          <w:sz w:val="22"/>
          <w:szCs w:val="22"/>
          <w:lang w:val="en-AU" w:eastAsia="en-AU"/>
        </w:rPr>
      </w:pPr>
      <w:hyperlink w:anchor="_Toc457207585" w:history="1">
        <w:r w:rsidR="00134C3F" w:rsidRPr="00EA647E">
          <w:rPr>
            <w:rStyle w:val="Hyperlink"/>
          </w:rPr>
          <w:t>Development of the Code</w:t>
        </w:r>
        <w:r w:rsidR="00134C3F">
          <w:rPr>
            <w:webHidden/>
          </w:rPr>
          <w:tab/>
        </w:r>
        <w:r w:rsidR="00134C3F">
          <w:rPr>
            <w:webHidden/>
          </w:rPr>
          <w:fldChar w:fldCharType="begin"/>
        </w:r>
        <w:r w:rsidR="00134C3F">
          <w:rPr>
            <w:webHidden/>
          </w:rPr>
          <w:instrText xml:space="preserve"> PAGEREF _Toc457207585 \h </w:instrText>
        </w:r>
        <w:r w:rsidR="00134C3F">
          <w:rPr>
            <w:webHidden/>
          </w:rPr>
        </w:r>
        <w:r w:rsidR="00134C3F">
          <w:rPr>
            <w:webHidden/>
          </w:rPr>
          <w:fldChar w:fldCharType="separate"/>
        </w:r>
        <w:r w:rsidR="00EA2ADF">
          <w:rPr>
            <w:webHidden/>
          </w:rPr>
          <w:t>7</w:t>
        </w:r>
        <w:r w:rsidR="00134C3F">
          <w:rPr>
            <w:webHidden/>
          </w:rPr>
          <w:fldChar w:fldCharType="end"/>
        </w:r>
      </w:hyperlink>
    </w:p>
    <w:p w:rsidR="00134C3F" w:rsidRDefault="0013464F" w:rsidP="00134C3F">
      <w:pPr>
        <w:pStyle w:val="TOC4"/>
        <w:rPr>
          <w:rFonts w:asciiTheme="minorHAnsi" w:eastAsiaTheme="minorEastAsia" w:hAnsiTheme="minorHAnsi" w:cstheme="minorBidi"/>
          <w:sz w:val="22"/>
          <w:szCs w:val="22"/>
          <w:lang w:val="en-AU" w:eastAsia="en-AU"/>
        </w:rPr>
      </w:pPr>
      <w:hyperlink w:anchor="_Toc457207586" w:history="1">
        <w:r w:rsidR="00134C3F" w:rsidRPr="00EA647E">
          <w:rPr>
            <w:rStyle w:val="Hyperlink"/>
          </w:rPr>
          <w:t>Previous amendments to the Code</w:t>
        </w:r>
        <w:r w:rsidR="00134C3F">
          <w:rPr>
            <w:webHidden/>
          </w:rPr>
          <w:tab/>
        </w:r>
        <w:r w:rsidR="00134C3F">
          <w:rPr>
            <w:webHidden/>
          </w:rPr>
          <w:fldChar w:fldCharType="begin"/>
        </w:r>
        <w:r w:rsidR="00134C3F">
          <w:rPr>
            <w:webHidden/>
          </w:rPr>
          <w:instrText xml:space="preserve"> PAGEREF _Toc457207586 \h </w:instrText>
        </w:r>
        <w:r w:rsidR="00134C3F">
          <w:rPr>
            <w:webHidden/>
          </w:rPr>
        </w:r>
        <w:r w:rsidR="00134C3F">
          <w:rPr>
            <w:webHidden/>
          </w:rPr>
          <w:fldChar w:fldCharType="separate"/>
        </w:r>
        <w:r w:rsidR="00EA2ADF">
          <w:rPr>
            <w:webHidden/>
          </w:rPr>
          <w:t>8</w:t>
        </w:r>
        <w:r w:rsidR="00134C3F">
          <w:rPr>
            <w:webHidden/>
          </w:rPr>
          <w:fldChar w:fldCharType="end"/>
        </w:r>
      </w:hyperlink>
    </w:p>
    <w:p w:rsidR="00134C3F" w:rsidRDefault="0013464F">
      <w:pPr>
        <w:pStyle w:val="TOC1"/>
        <w:tabs>
          <w:tab w:val="right" w:leader="dot" w:pos="9062"/>
        </w:tabs>
        <w:rPr>
          <w:rFonts w:asciiTheme="minorHAnsi" w:eastAsiaTheme="minorEastAsia" w:hAnsiTheme="minorHAnsi" w:cstheme="minorBidi"/>
          <w:b w:val="0"/>
          <w:noProof/>
          <w:spacing w:val="0"/>
          <w:szCs w:val="22"/>
          <w:lang w:val="en-AU" w:eastAsia="en-AU"/>
        </w:rPr>
      </w:pPr>
      <w:hyperlink w:anchor="_Toc457207587" w:history="1">
        <w:r w:rsidR="00134C3F" w:rsidRPr="00EA647E">
          <w:rPr>
            <w:rStyle w:val="Hyperlink"/>
            <w:noProof/>
          </w:rPr>
          <w:t>Roles and Responsibilities of the Market Operator</w:t>
        </w:r>
        <w:r w:rsidR="00134C3F">
          <w:rPr>
            <w:noProof/>
            <w:webHidden/>
          </w:rPr>
          <w:tab/>
        </w:r>
        <w:r w:rsidR="00134C3F">
          <w:rPr>
            <w:noProof/>
            <w:webHidden/>
          </w:rPr>
          <w:fldChar w:fldCharType="begin"/>
        </w:r>
        <w:r w:rsidR="00134C3F">
          <w:rPr>
            <w:noProof/>
            <w:webHidden/>
          </w:rPr>
          <w:instrText xml:space="preserve"> PAGEREF _Toc457207587 \h </w:instrText>
        </w:r>
        <w:r w:rsidR="00134C3F">
          <w:rPr>
            <w:noProof/>
            <w:webHidden/>
          </w:rPr>
        </w:r>
        <w:r w:rsidR="00134C3F">
          <w:rPr>
            <w:noProof/>
            <w:webHidden/>
          </w:rPr>
          <w:fldChar w:fldCharType="separate"/>
        </w:r>
        <w:r w:rsidR="00EA2ADF">
          <w:rPr>
            <w:noProof/>
            <w:webHidden/>
          </w:rPr>
          <w:t>10</w:t>
        </w:r>
        <w:r w:rsidR="00134C3F">
          <w:rPr>
            <w:noProof/>
            <w:webHidden/>
          </w:rPr>
          <w:fldChar w:fldCharType="end"/>
        </w:r>
      </w:hyperlink>
    </w:p>
    <w:p w:rsidR="00134C3F" w:rsidRDefault="0013464F">
      <w:pPr>
        <w:pStyle w:val="TOC2"/>
        <w:rPr>
          <w:rFonts w:asciiTheme="minorHAnsi" w:eastAsiaTheme="minorEastAsia" w:hAnsiTheme="minorHAnsi" w:cstheme="minorBidi"/>
          <w:noProof/>
          <w:sz w:val="22"/>
          <w:szCs w:val="22"/>
          <w:lang w:val="en-AU" w:eastAsia="en-AU"/>
        </w:rPr>
      </w:pPr>
      <w:hyperlink w:anchor="_Toc457207588" w:history="1">
        <w:r w:rsidR="00134C3F" w:rsidRPr="00EA647E">
          <w:rPr>
            <w:rStyle w:val="Hyperlink"/>
            <w:noProof/>
          </w:rPr>
          <w:t>Summary</w:t>
        </w:r>
        <w:r w:rsidR="00134C3F">
          <w:rPr>
            <w:noProof/>
            <w:webHidden/>
          </w:rPr>
          <w:tab/>
        </w:r>
        <w:r w:rsidR="00134C3F">
          <w:rPr>
            <w:noProof/>
            <w:webHidden/>
          </w:rPr>
          <w:fldChar w:fldCharType="begin"/>
        </w:r>
        <w:r w:rsidR="00134C3F">
          <w:rPr>
            <w:noProof/>
            <w:webHidden/>
          </w:rPr>
          <w:instrText xml:space="preserve"> PAGEREF _Toc457207588 \h </w:instrText>
        </w:r>
        <w:r w:rsidR="00134C3F">
          <w:rPr>
            <w:noProof/>
            <w:webHidden/>
          </w:rPr>
        </w:r>
        <w:r w:rsidR="00134C3F">
          <w:rPr>
            <w:noProof/>
            <w:webHidden/>
          </w:rPr>
          <w:fldChar w:fldCharType="separate"/>
        </w:r>
        <w:r w:rsidR="00EA2ADF">
          <w:rPr>
            <w:noProof/>
            <w:webHidden/>
          </w:rPr>
          <w:t>10</w:t>
        </w:r>
        <w:r w:rsidR="00134C3F">
          <w:rPr>
            <w:noProof/>
            <w:webHidden/>
          </w:rPr>
          <w:fldChar w:fldCharType="end"/>
        </w:r>
      </w:hyperlink>
    </w:p>
    <w:p w:rsidR="00134C3F" w:rsidRDefault="0013464F">
      <w:pPr>
        <w:pStyle w:val="TOC2"/>
        <w:rPr>
          <w:rFonts w:asciiTheme="minorHAnsi" w:eastAsiaTheme="minorEastAsia" w:hAnsiTheme="minorHAnsi" w:cstheme="minorBidi"/>
          <w:noProof/>
          <w:sz w:val="22"/>
          <w:szCs w:val="22"/>
          <w:lang w:val="en-AU" w:eastAsia="en-AU"/>
        </w:rPr>
      </w:pPr>
      <w:hyperlink w:anchor="_Toc457207589" w:history="1">
        <w:r w:rsidR="00134C3F" w:rsidRPr="00EA647E">
          <w:rPr>
            <w:rStyle w:val="Hyperlink"/>
            <w:noProof/>
          </w:rPr>
          <w:t>Separation of Duties</w:t>
        </w:r>
        <w:r w:rsidR="00134C3F">
          <w:rPr>
            <w:noProof/>
            <w:webHidden/>
          </w:rPr>
          <w:tab/>
        </w:r>
        <w:r w:rsidR="00134C3F">
          <w:rPr>
            <w:noProof/>
            <w:webHidden/>
          </w:rPr>
          <w:fldChar w:fldCharType="begin"/>
        </w:r>
        <w:r w:rsidR="00134C3F">
          <w:rPr>
            <w:noProof/>
            <w:webHidden/>
          </w:rPr>
          <w:instrText xml:space="preserve"> PAGEREF _Toc457207589 \h </w:instrText>
        </w:r>
        <w:r w:rsidR="00134C3F">
          <w:rPr>
            <w:noProof/>
            <w:webHidden/>
          </w:rPr>
        </w:r>
        <w:r w:rsidR="00134C3F">
          <w:rPr>
            <w:noProof/>
            <w:webHidden/>
          </w:rPr>
          <w:fldChar w:fldCharType="separate"/>
        </w:r>
        <w:r w:rsidR="00EA2ADF">
          <w:rPr>
            <w:noProof/>
            <w:webHidden/>
          </w:rPr>
          <w:t>10</w:t>
        </w:r>
        <w:r w:rsidR="00134C3F">
          <w:rPr>
            <w:noProof/>
            <w:webHidden/>
          </w:rPr>
          <w:fldChar w:fldCharType="end"/>
        </w:r>
      </w:hyperlink>
    </w:p>
    <w:p w:rsidR="00134C3F" w:rsidRDefault="0013464F" w:rsidP="00134C3F">
      <w:pPr>
        <w:pStyle w:val="TOC4"/>
        <w:rPr>
          <w:rFonts w:asciiTheme="minorHAnsi" w:eastAsiaTheme="minorEastAsia" w:hAnsiTheme="minorHAnsi" w:cstheme="minorBidi"/>
          <w:sz w:val="22"/>
          <w:szCs w:val="22"/>
          <w:lang w:val="en-AU" w:eastAsia="en-AU"/>
        </w:rPr>
      </w:pPr>
      <w:hyperlink w:anchor="_Toc457207590" w:history="1">
        <w:r w:rsidR="00134C3F" w:rsidRPr="00EA647E">
          <w:rPr>
            <w:rStyle w:val="Hyperlink"/>
          </w:rPr>
          <w:t>Issue1 – Transfer of Section 6, Market Data to the Market Operator</w:t>
        </w:r>
        <w:r w:rsidR="00134C3F">
          <w:rPr>
            <w:webHidden/>
          </w:rPr>
          <w:tab/>
        </w:r>
        <w:r w:rsidR="00134C3F">
          <w:rPr>
            <w:webHidden/>
          </w:rPr>
          <w:fldChar w:fldCharType="begin"/>
        </w:r>
        <w:r w:rsidR="00134C3F">
          <w:rPr>
            <w:webHidden/>
          </w:rPr>
          <w:instrText xml:space="preserve"> PAGEREF _Toc457207590 \h </w:instrText>
        </w:r>
        <w:r w:rsidR="00134C3F">
          <w:rPr>
            <w:webHidden/>
          </w:rPr>
        </w:r>
        <w:r w:rsidR="00134C3F">
          <w:rPr>
            <w:webHidden/>
          </w:rPr>
          <w:fldChar w:fldCharType="separate"/>
        </w:r>
        <w:r w:rsidR="00EA2ADF">
          <w:rPr>
            <w:webHidden/>
          </w:rPr>
          <w:t>10</w:t>
        </w:r>
        <w:r w:rsidR="00134C3F">
          <w:rPr>
            <w:webHidden/>
          </w:rPr>
          <w:fldChar w:fldCharType="end"/>
        </w:r>
      </w:hyperlink>
    </w:p>
    <w:p w:rsidR="00134C3F" w:rsidRDefault="0013464F" w:rsidP="00134C3F">
      <w:pPr>
        <w:pStyle w:val="TOC4"/>
        <w:rPr>
          <w:rFonts w:asciiTheme="minorHAnsi" w:eastAsiaTheme="minorEastAsia" w:hAnsiTheme="minorHAnsi" w:cstheme="minorBidi"/>
          <w:sz w:val="22"/>
          <w:szCs w:val="22"/>
          <w:lang w:val="en-AU" w:eastAsia="en-AU"/>
        </w:rPr>
      </w:pPr>
      <w:hyperlink w:anchor="_Toc457207591" w:history="1">
        <w:r w:rsidR="00134C3F" w:rsidRPr="00EA647E">
          <w:rPr>
            <w:rStyle w:val="Hyperlink"/>
          </w:rPr>
          <w:t>Responsibility for provision of standing data</w:t>
        </w:r>
        <w:r w:rsidR="00134C3F">
          <w:rPr>
            <w:webHidden/>
          </w:rPr>
          <w:tab/>
        </w:r>
        <w:r w:rsidR="00134C3F">
          <w:rPr>
            <w:webHidden/>
          </w:rPr>
          <w:fldChar w:fldCharType="begin"/>
        </w:r>
        <w:r w:rsidR="00134C3F">
          <w:rPr>
            <w:webHidden/>
          </w:rPr>
          <w:instrText xml:space="preserve"> PAGEREF _Toc457207591 \h </w:instrText>
        </w:r>
        <w:r w:rsidR="00134C3F">
          <w:rPr>
            <w:webHidden/>
          </w:rPr>
        </w:r>
        <w:r w:rsidR="00134C3F">
          <w:rPr>
            <w:webHidden/>
          </w:rPr>
          <w:fldChar w:fldCharType="separate"/>
        </w:r>
        <w:r w:rsidR="00EA2ADF">
          <w:rPr>
            <w:webHidden/>
          </w:rPr>
          <w:t>11</w:t>
        </w:r>
        <w:r w:rsidR="00134C3F">
          <w:rPr>
            <w:webHidden/>
          </w:rPr>
          <w:fldChar w:fldCharType="end"/>
        </w:r>
      </w:hyperlink>
    </w:p>
    <w:p w:rsidR="00134C3F" w:rsidRDefault="0013464F" w:rsidP="00134C3F">
      <w:pPr>
        <w:pStyle w:val="TOC4"/>
        <w:rPr>
          <w:rFonts w:asciiTheme="minorHAnsi" w:eastAsiaTheme="minorEastAsia" w:hAnsiTheme="minorHAnsi" w:cstheme="minorBidi"/>
          <w:sz w:val="22"/>
          <w:szCs w:val="22"/>
          <w:lang w:val="en-AU" w:eastAsia="en-AU"/>
        </w:rPr>
      </w:pPr>
      <w:hyperlink w:anchor="_Toc457207592" w:history="1">
        <w:r w:rsidR="00134C3F" w:rsidRPr="00EA647E">
          <w:rPr>
            <w:rStyle w:val="Hyperlink"/>
          </w:rPr>
          <w:t>Providing standing data for accumulation meters</w:t>
        </w:r>
        <w:r w:rsidR="00134C3F">
          <w:rPr>
            <w:webHidden/>
          </w:rPr>
          <w:tab/>
        </w:r>
        <w:r w:rsidR="00134C3F">
          <w:rPr>
            <w:webHidden/>
          </w:rPr>
          <w:fldChar w:fldCharType="begin"/>
        </w:r>
        <w:r w:rsidR="00134C3F">
          <w:rPr>
            <w:webHidden/>
          </w:rPr>
          <w:instrText xml:space="preserve"> PAGEREF _Toc457207592 \h </w:instrText>
        </w:r>
        <w:r w:rsidR="00134C3F">
          <w:rPr>
            <w:webHidden/>
          </w:rPr>
        </w:r>
        <w:r w:rsidR="00134C3F">
          <w:rPr>
            <w:webHidden/>
          </w:rPr>
          <w:fldChar w:fldCharType="separate"/>
        </w:r>
        <w:r w:rsidR="00EA2ADF">
          <w:rPr>
            <w:webHidden/>
          </w:rPr>
          <w:t>11</w:t>
        </w:r>
        <w:r w:rsidR="00134C3F">
          <w:rPr>
            <w:webHidden/>
          </w:rPr>
          <w:fldChar w:fldCharType="end"/>
        </w:r>
      </w:hyperlink>
    </w:p>
    <w:p w:rsidR="00134C3F" w:rsidRDefault="0013464F" w:rsidP="00134C3F">
      <w:pPr>
        <w:pStyle w:val="TOC4"/>
        <w:rPr>
          <w:rFonts w:asciiTheme="minorHAnsi" w:eastAsiaTheme="minorEastAsia" w:hAnsiTheme="minorHAnsi" w:cstheme="minorBidi"/>
          <w:sz w:val="22"/>
          <w:szCs w:val="22"/>
          <w:lang w:val="en-AU" w:eastAsia="en-AU"/>
        </w:rPr>
      </w:pPr>
      <w:hyperlink w:anchor="_Toc457207593" w:history="1">
        <w:r w:rsidR="00134C3F" w:rsidRPr="00EA647E">
          <w:rPr>
            <w:rStyle w:val="Hyperlink"/>
          </w:rPr>
          <w:t>Issue 2 – Transfer of Section 8, Customer Transfers to the Market Operator</w:t>
        </w:r>
        <w:r w:rsidR="00134C3F">
          <w:rPr>
            <w:webHidden/>
          </w:rPr>
          <w:tab/>
        </w:r>
        <w:r w:rsidR="00134C3F">
          <w:rPr>
            <w:webHidden/>
          </w:rPr>
          <w:fldChar w:fldCharType="begin"/>
        </w:r>
        <w:r w:rsidR="00134C3F">
          <w:rPr>
            <w:webHidden/>
          </w:rPr>
          <w:instrText xml:space="preserve"> PAGEREF _Toc457207593 \h </w:instrText>
        </w:r>
        <w:r w:rsidR="00134C3F">
          <w:rPr>
            <w:webHidden/>
          </w:rPr>
        </w:r>
        <w:r w:rsidR="00134C3F">
          <w:rPr>
            <w:webHidden/>
          </w:rPr>
          <w:fldChar w:fldCharType="separate"/>
        </w:r>
        <w:r w:rsidR="00EA2ADF">
          <w:rPr>
            <w:webHidden/>
          </w:rPr>
          <w:t>11</w:t>
        </w:r>
        <w:r w:rsidR="00134C3F">
          <w:rPr>
            <w:webHidden/>
          </w:rPr>
          <w:fldChar w:fldCharType="end"/>
        </w:r>
      </w:hyperlink>
    </w:p>
    <w:p w:rsidR="00134C3F" w:rsidRDefault="0013464F">
      <w:pPr>
        <w:pStyle w:val="TOC2"/>
        <w:rPr>
          <w:rFonts w:asciiTheme="minorHAnsi" w:eastAsiaTheme="minorEastAsia" w:hAnsiTheme="minorHAnsi" w:cstheme="minorBidi"/>
          <w:noProof/>
          <w:sz w:val="22"/>
          <w:szCs w:val="22"/>
          <w:lang w:val="en-AU" w:eastAsia="en-AU"/>
        </w:rPr>
      </w:pPr>
      <w:hyperlink w:anchor="_Toc457207594" w:history="1">
        <w:r w:rsidR="00134C3F" w:rsidRPr="00EA647E">
          <w:rPr>
            <w:rStyle w:val="Hyperlink"/>
            <w:noProof/>
          </w:rPr>
          <w:t>Non-I-NTEM Functions</w:t>
        </w:r>
        <w:r w:rsidR="00134C3F">
          <w:rPr>
            <w:noProof/>
            <w:webHidden/>
          </w:rPr>
          <w:tab/>
        </w:r>
        <w:r w:rsidR="00134C3F">
          <w:rPr>
            <w:noProof/>
            <w:webHidden/>
          </w:rPr>
          <w:fldChar w:fldCharType="begin"/>
        </w:r>
        <w:r w:rsidR="00134C3F">
          <w:rPr>
            <w:noProof/>
            <w:webHidden/>
          </w:rPr>
          <w:instrText xml:space="preserve"> PAGEREF _Toc457207594 \h </w:instrText>
        </w:r>
        <w:r w:rsidR="00134C3F">
          <w:rPr>
            <w:noProof/>
            <w:webHidden/>
          </w:rPr>
        </w:r>
        <w:r w:rsidR="00134C3F">
          <w:rPr>
            <w:noProof/>
            <w:webHidden/>
          </w:rPr>
          <w:fldChar w:fldCharType="separate"/>
        </w:r>
        <w:r w:rsidR="00EA2ADF">
          <w:rPr>
            <w:noProof/>
            <w:webHidden/>
          </w:rPr>
          <w:t>12</w:t>
        </w:r>
        <w:r w:rsidR="00134C3F">
          <w:rPr>
            <w:noProof/>
            <w:webHidden/>
          </w:rPr>
          <w:fldChar w:fldCharType="end"/>
        </w:r>
      </w:hyperlink>
    </w:p>
    <w:p w:rsidR="00134C3F" w:rsidRDefault="0013464F" w:rsidP="00134C3F">
      <w:pPr>
        <w:pStyle w:val="TOC4"/>
        <w:rPr>
          <w:rFonts w:asciiTheme="minorHAnsi" w:eastAsiaTheme="minorEastAsia" w:hAnsiTheme="minorHAnsi" w:cstheme="minorBidi"/>
          <w:sz w:val="22"/>
          <w:szCs w:val="22"/>
          <w:lang w:val="en-AU" w:eastAsia="en-AU"/>
        </w:rPr>
      </w:pPr>
      <w:hyperlink w:anchor="_Toc457207595" w:history="1">
        <w:r w:rsidR="00134C3F" w:rsidRPr="00EA647E">
          <w:rPr>
            <w:rStyle w:val="Hyperlink"/>
          </w:rPr>
          <w:t>Issue 3 – Use of settlement statements for other major networks</w:t>
        </w:r>
        <w:r w:rsidR="00134C3F">
          <w:rPr>
            <w:webHidden/>
          </w:rPr>
          <w:tab/>
        </w:r>
        <w:r w:rsidR="00134C3F">
          <w:rPr>
            <w:webHidden/>
          </w:rPr>
          <w:fldChar w:fldCharType="begin"/>
        </w:r>
        <w:r w:rsidR="00134C3F">
          <w:rPr>
            <w:webHidden/>
          </w:rPr>
          <w:instrText xml:space="preserve"> PAGEREF _Toc457207595 \h </w:instrText>
        </w:r>
        <w:r w:rsidR="00134C3F">
          <w:rPr>
            <w:webHidden/>
          </w:rPr>
        </w:r>
        <w:r w:rsidR="00134C3F">
          <w:rPr>
            <w:webHidden/>
          </w:rPr>
          <w:fldChar w:fldCharType="separate"/>
        </w:r>
        <w:r w:rsidR="00EA2ADF">
          <w:rPr>
            <w:webHidden/>
          </w:rPr>
          <w:t>12</w:t>
        </w:r>
        <w:r w:rsidR="00134C3F">
          <w:rPr>
            <w:webHidden/>
          </w:rPr>
          <w:fldChar w:fldCharType="end"/>
        </w:r>
      </w:hyperlink>
    </w:p>
    <w:p w:rsidR="00134C3F" w:rsidRDefault="0013464F">
      <w:pPr>
        <w:pStyle w:val="TOC1"/>
        <w:tabs>
          <w:tab w:val="right" w:leader="dot" w:pos="9062"/>
        </w:tabs>
        <w:rPr>
          <w:rFonts w:asciiTheme="minorHAnsi" w:eastAsiaTheme="minorEastAsia" w:hAnsiTheme="minorHAnsi" w:cstheme="minorBidi"/>
          <w:b w:val="0"/>
          <w:noProof/>
          <w:spacing w:val="0"/>
          <w:szCs w:val="22"/>
          <w:lang w:val="en-AU" w:eastAsia="en-AU"/>
        </w:rPr>
      </w:pPr>
      <w:hyperlink w:anchor="_Toc457207596" w:history="1">
        <w:r w:rsidR="00134C3F" w:rsidRPr="00EA647E">
          <w:rPr>
            <w:rStyle w:val="Hyperlink"/>
            <w:noProof/>
          </w:rPr>
          <w:t>The Role of a Designated Retailer</w:t>
        </w:r>
        <w:r w:rsidR="00134C3F">
          <w:rPr>
            <w:noProof/>
            <w:webHidden/>
          </w:rPr>
          <w:tab/>
        </w:r>
        <w:r w:rsidR="00134C3F">
          <w:rPr>
            <w:noProof/>
            <w:webHidden/>
          </w:rPr>
          <w:fldChar w:fldCharType="begin"/>
        </w:r>
        <w:r w:rsidR="00134C3F">
          <w:rPr>
            <w:noProof/>
            <w:webHidden/>
          </w:rPr>
          <w:instrText xml:space="preserve"> PAGEREF _Toc457207596 \h </w:instrText>
        </w:r>
        <w:r w:rsidR="00134C3F">
          <w:rPr>
            <w:noProof/>
            <w:webHidden/>
          </w:rPr>
        </w:r>
        <w:r w:rsidR="00134C3F">
          <w:rPr>
            <w:noProof/>
            <w:webHidden/>
          </w:rPr>
          <w:fldChar w:fldCharType="separate"/>
        </w:r>
        <w:r w:rsidR="00EA2ADF">
          <w:rPr>
            <w:noProof/>
            <w:webHidden/>
          </w:rPr>
          <w:t>13</w:t>
        </w:r>
        <w:r w:rsidR="00134C3F">
          <w:rPr>
            <w:noProof/>
            <w:webHidden/>
          </w:rPr>
          <w:fldChar w:fldCharType="end"/>
        </w:r>
      </w:hyperlink>
    </w:p>
    <w:p w:rsidR="00134C3F" w:rsidRDefault="0013464F">
      <w:pPr>
        <w:pStyle w:val="TOC2"/>
        <w:rPr>
          <w:rFonts w:asciiTheme="minorHAnsi" w:eastAsiaTheme="minorEastAsia" w:hAnsiTheme="minorHAnsi" w:cstheme="minorBidi"/>
          <w:noProof/>
          <w:sz w:val="22"/>
          <w:szCs w:val="22"/>
          <w:lang w:val="en-AU" w:eastAsia="en-AU"/>
        </w:rPr>
      </w:pPr>
      <w:hyperlink w:anchor="_Toc457207597" w:history="1">
        <w:r w:rsidR="00134C3F" w:rsidRPr="00EA647E">
          <w:rPr>
            <w:rStyle w:val="Hyperlink"/>
            <w:noProof/>
          </w:rPr>
          <w:t>Local Retailer Definition</w:t>
        </w:r>
        <w:r w:rsidR="00134C3F">
          <w:rPr>
            <w:noProof/>
            <w:webHidden/>
          </w:rPr>
          <w:tab/>
        </w:r>
        <w:r w:rsidR="00134C3F">
          <w:rPr>
            <w:noProof/>
            <w:webHidden/>
          </w:rPr>
          <w:fldChar w:fldCharType="begin"/>
        </w:r>
        <w:r w:rsidR="00134C3F">
          <w:rPr>
            <w:noProof/>
            <w:webHidden/>
          </w:rPr>
          <w:instrText xml:space="preserve"> PAGEREF _Toc457207597 \h </w:instrText>
        </w:r>
        <w:r w:rsidR="00134C3F">
          <w:rPr>
            <w:noProof/>
            <w:webHidden/>
          </w:rPr>
        </w:r>
        <w:r w:rsidR="00134C3F">
          <w:rPr>
            <w:noProof/>
            <w:webHidden/>
          </w:rPr>
          <w:fldChar w:fldCharType="separate"/>
        </w:r>
        <w:r w:rsidR="00EA2ADF">
          <w:rPr>
            <w:noProof/>
            <w:webHidden/>
          </w:rPr>
          <w:t>13</w:t>
        </w:r>
        <w:r w:rsidR="00134C3F">
          <w:rPr>
            <w:noProof/>
            <w:webHidden/>
          </w:rPr>
          <w:fldChar w:fldCharType="end"/>
        </w:r>
      </w:hyperlink>
    </w:p>
    <w:p w:rsidR="00134C3F" w:rsidRDefault="0013464F" w:rsidP="00134C3F">
      <w:pPr>
        <w:pStyle w:val="TOC4"/>
        <w:rPr>
          <w:rFonts w:asciiTheme="minorHAnsi" w:eastAsiaTheme="minorEastAsia" w:hAnsiTheme="minorHAnsi" w:cstheme="minorBidi"/>
          <w:sz w:val="22"/>
          <w:szCs w:val="22"/>
          <w:lang w:val="en-AU" w:eastAsia="en-AU"/>
        </w:rPr>
      </w:pPr>
      <w:hyperlink w:anchor="_Toc457207598" w:history="1">
        <w:r w:rsidR="00134C3F" w:rsidRPr="00EA647E">
          <w:rPr>
            <w:rStyle w:val="Hyperlink"/>
          </w:rPr>
          <w:t>Issue 4 – Jacana Energy as a ‘local retailer’ and its rights to sell to out-of-contract customers</w:t>
        </w:r>
        <w:r w:rsidR="00134C3F">
          <w:rPr>
            <w:webHidden/>
          </w:rPr>
          <w:tab/>
        </w:r>
        <w:r w:rsidR="00134C3F">
          <w:rPr>
            <w:webHidden/>
          </w:rPr>
          <w:fldChar w:fldCharType="begin"/>
        </w:r>
        <w:r w:rsidR="00134C3F">
          <w:rPr>
            <w:webHidden/>
          </w:rPr>
          <w:instrText xml:space="preserve"> PAGEREF _Toc457207598 \h </w:instrText>
        </w:r>
        <w:r w:rsidR="00134C3F">
          <w:rPr>
            <w:webHidden/>
          </w:rPr>
        </w:r>
        <w:r w:rsidR="00134C3F">
          <w:rPr>
            <w:webHidden/>
          </w:rPr>
          <w:fldChar w:fldCharType="separate"/>
        </w:r>
        <w:r w:rsidR="00EA2ADF">
          <w:rPr>
            <w:webHidden/>
          </w:rPr>
          <w:t>13</w:t>
        </w:r>
        <w:r w:rsidR="00134C3F">
          <w:rPr>
            <w:webHidden/>
          </w:rPr>
          <w:fldChar w:fldCharType="end"/>
        </w:r>
      </w:hyperlink>
    </w:p>
    <w:p w:rsidR="00134C3F" w:rsidRDefault="0013464F">
      <w:pPr>
        <w:pStyle w:val="TOC2"/>
        <w:rPr>
          <w:rFonts w:asciiTheme="minorHAnsi" w:eastAsiaTheme="minorEastAsia" w:hAnsiTheme="minorHAnsi" w:cstheme="minorBidi"/>
          <w:noProof/>
          <w:sz w:val="22"/>
          <w:szCs w:val="22"/>
          <w:lang w:val="en-AU" w:eastAsia="en-AU"/>
        </w:rPr>
      </w:pPr>
      <w:hyperlink w:anchor="_Toc457207599" w:history="1">
        <w:r w:rsidR="00134C3F" w:rsidRPr="00EA647E">
          <w:rPr>
            <w:rStyle w:val="Hyperlink"/>
            <w:noProof/>
          </w:rPr>
          <w:t>Treatment of Greenfield Sites</w:t>
        </w:r>
        <w:r w:rsidR="00134C3F">
          <w:rPr>
            <w:noProof/>
            <w:webHidden/>
          </w:rPr>
          <w:tab/>
        </w:r>
        <w:r w:rsidR="00134C3F">
          <w:rPr>
            <w:noProof/>
            <w:webHidden/>
          </w:rPr>
          <w:fldChar w:fldCharType="begin"/>
        </w:r>
        <w:r w:rsidR="00134C3F">
          <w:rPr>
            <w:noProof/>
            <w:webHidden/>
          </w:rPr>
          <w:instrText xml:space="preserve"> PAGEREF _Toc457207599 \h </w:instrText>
        </w:r>
        <w:r w:rsidR="00134C3F">
          <w:rPr>
            <w:noProof/>
            <w:webHidden/>
          </w:rPr>
        </w:r>
        <w:r w:rsidR="00134C3F">
          <w:rPr>
            <w:noProof/>
            <w:webHidden/>
          </w:rPr>
          <w:fldChar w:fldCharType="separate"/>
        </w:r>
        <w:r w:rsidR="00EA2ADF">
          <w:rPr>
            <w:noProof/>
            <w:webHidden/>
          </w:rPr>
          <w:t>13</w:t>
        </w:r>
        <w:r w:rsidR="00134C3F">
          <w:rPr>
            <w:noProof/>
            <w:webHidden/>
          </w:rPr>
          <w:fldChar w:fldCharType="end"/>
        </w:r>
      </w:hyperlink>
    </w:p>
    <w:p w:rsidR="00134C3F" w:rsidRDefault="0013464F" w:rsidP="00134C3F">
      <w:pPr>
        <w:pStyle w:val="TOC4"/>
        <w:rPr>
          <w:rFonts w:asciiTheme="minorHAnsi" w:eastAsiaTheme="minorEastAsia" w:hAnsiTheme="minorHAnsi" w:cstheme="minorBidi"/>
          <w:sz w:val="22"/>
          <w:szCs w:val="22"/>
          <w:lang w:val="en-AU" w:eastAsia="en-AU"/>
        </w:rPr>
      </w:pPr>
      <w:hyperlink w:anchor="_Toc457207600" w:history="1">
        <w:r w:rsidR="00134C3F" w:rsidRPr="00EA647E">
          <w:rPr>
            <w:rStyle w:val="Hyperlink"/>
          </w:rPr>
          <w:t>Issue 5 – Non-Jacana Energy retailers signing up for greenfield sites</w:t>
        </w:r>
        <w:r w:rsidR="00134C3F">
          <w:rPr>
            <w:webHidden/>
          </w:rPr>
          <w:tab/>
        </w:r>
        <w:r w:rsidR="00134C3F">
          <w:rPr>
            <w:webHidden/>
          </w:rPr>
          <w:fldChar w:fldCharType="begin"/>
        </w:r>
        <w:r w:rsidR="00134C3F">
          <w:rPr>
            <w:webHidden/>
          </w:rPr>
          <w:instrText xml:space="preserve"> PAGEREF _Toc457207600 \h </w:instrText>
        </w:r>
        <w:r w:rsidR="00134C3F">
          <w:rPr>
            <w:webHidden/>
          </w:rPr>
        </w:r>
        <w:r w:rsidR="00134C3F">
          <w:rPr>
            <w:webHidden/>
          </w:rPr>
          <w:fldChar w:fldCharType="separate"/>
        </w:r>
        <w:r w:rsidR="00EA2ADF">
          <w:rPr>
            <w:webHidden/>
          </w:rPr>
          <w:t>13</w:t>
        </w:r>
        <w:r w:rsidR="00134C3F">
          <w:rPr>
            <w:webHidden/>
          </w:rPr>
          <w:fldChar w:fldCharType="end"/>
        </w:r>
      </w:hyperlink>
    </w:p>
    <w:p w:rsidR="00134C3F" w:rsidRDefault="0013464F">
      <w:pPr>
        <w:pStyle w:val="TOC1"/>
        <w:tabs>
          <w:tab w:val="right" w:leader="dot" w:pos="9062"/>
        </w:tabs>
        <w:rPr>
          <w:rFonts w:asciiTheme="minorHAnsi" w:eastAsiaTheme="minorEastAsia" w:hAnsiTheme="minorHAnsi" w:cstheme="minorBidi"/>
          <w:b w:val="0"/>
          <w:noProof/>
          <w:spacing w:val="0"/>
          <w:szCs w:val="22"/>
          <w:lang w:val="en-AU" w:eastAsia="en-AU"/>
        </w:rPr>
      </w:pPr>
      <w:hyperlink w:anchor="_Toc457207601" w:history="1">
        <w:r w:rsidR="00134C3F" w:rsidRPr="00EA647E">
          <w:rPr>
            <w:rStyle w:val="Hyperlink"/>
            <w:noProof/>
          </w:rPr>
          <w:t>Metering and Customer Information</w:t>
        </w:r>
        <w:r w:rsidR="00134C3F">
          <w:rPr>
            <w:noProof/>
            <w:webHidden/>
          </w:rPr>
          <w:tab/>
        </w:r>
        <w:r w:rsidR="00134C3F">
          <w:rPr>
            <w:noProof/>
            <w:webHidden/>
          </w:rPr>
          <w:fldChar w:fldCharType="begin"/>
        </w:r>
        <w:r w:rsidR="00134C3F">
          <w:rPr>
            <w:noProof/>
            <w:webHidden/>
          </w:rPr>
          <w:instrText xml:space="preserve"> PAGEREF _Toc457207601 \h </w:instrText>
        </w:r>
        <w:r w:rsidR="00134C3F">
          <w:rPr>
            <w:noProof/>
            <w:webHidden/>
          </w:rPr>
        </w:r>
        <w:r w:rsidR="00134C3F">
          <w:rPr>
            <w:noProof/>
            <w:webHidden/>
          </w:rPr>
          <w:fldChar w:fldCharType="separate"/>
        </w:r>
        <w:r w:rsidR="00EA2ADF">
          <w:rPr>
            <w:noProof/>
            <w:webHidden/>
          </w:rPr>
          <w:t>15</w:t>
        </w:r>
        <w:r w:rsidR="00134C3F">
          <w:rPr>
            <w:noProof/>
            <w:webHidden/>
          </w:rPr>
          <w:fldChar w:fldCharType="end"/>
        </w:r>
      </w:hyperlink>
    </w:p>
    <w:p w:rsidR="00134C3F" w:rsidRDefault="0013464F" w:rsidP="00134C3F">
      <w:pPr>
        <w:pStyle w:val="TOC4"/>
        <w:rPr>
          <w:rFonts w:asciiTheme="minorHAnsi" w:eastAsiaTheme="minorEastAsia" w:hAnsiTheme="minorHAnsi" w:cstheme="minorBidi"/>
          <w:sz w:val="22"/>
          <w:szCs w:val="22"/>
          <w:lang w:val="en-AU" w:eastAsia="en-AU"/>
        </w:rPr>
      </w:pPr>
      <w:hyperlink w:anchor="_Toc457207602" w:history="1">
        <w:r w:rsidR="00134C3F" w:rsidRPr="00EA647E">
          <w:rPr>
            <w:rStyle w:val="Hyperlink"/>
          </w:rPr>
          <w:t>Issue 6 – Network Access to customer information</w:t>
        </w:r>
        <w:r w:rsidR="00134C3F">
          <w:rPr>
            <w:webHidden/>
          </w:rPr>
          <w:tab/>
        </w:r>
        <w:r w:rsidR="00134C3F">
          <w:rPr>
            <w:webHidden/>
          </w:rPr>
          <w:fldChar w:fldCharType="begin"/>
        </w:r>
        <w:r w:rsidR="00134C3F">
          <w:rPr>
            <w:webHidden/>
          </w:rPr>
          <w:instrText xml:space="preserve"> PAGEREF _Toc457207602 \h </w:instrText>
        </w:r>
        <w:r w:rsidR="00134C3F">
          <w:rPr>
            <w:webHidden/>
          </w:rPr>
        </w:r>
        <w:r w:rsidR="00134C3F">
          <w:rPr>
            <w:webHidden/>
          </w:rPr>
          <w:fldChar w:fldCharType="separate"/>
        </w:r>
        <w:r w:rsidR="00EA2ADF">
          <w:rPr>
            <w:webHidden/>
          </w:rPr>
          <w:t>15</w:t>
        </w:r>
        <w:r w:rsidR="00134C3F">
          <w:rPr>
            <w:webHidden/>
          </w:rPr>
          <w:fldChar w:fldCharType="end"/>
        </w:r>
      </w:hyperlink>
    </w:p>
    <w:p w:rsidR="00134C3F" w:rsidRDefault="0013464F" w:rsidP="00134C3F">
      <w:pPr>
        <w:pStyle w:val="TOC4"/>
        <w:rPr>
          <w:rFonts w:asciiTheme="minorHAnsi" w:eastAsiaTheme="minorEastAsia" w:hAnsiTheme="minorHAnsi" w:cstheme="minorBidi"/>
          <w:sz w:val="22"/>
          <w:szCs w:val="22"/>
          <w:lang w:val="en-AU" w:eastAsia="en-AU"/>
        </w:rPr>
      </w:pPr>
      <w:hyperlink w:anchor="_Toc457207603" w:history="1">
        <w:r w:rsidR="00134C3F" w:rsidRPr="00EA647E">
          <w:rPr>
            <w:rStyle w:val="Hyperlink"/>
          </w:rPr>
          <w:t>Issue 7 – Requirement of interval metering</w:t>
        </w:r>
        <w:r w:rsidR="00134C3F">
          <w:rPr>
            <w:webHidden/>
          </w:rPr>
          <w:tab/>
        </w:r>
        <w:r w:rsidR="00134C3F">
          <w:rPr>
            <w:webHidden/>
          </w:rPr>
          <w:fldChar w:fldCharType="begin"/>
        </w:r>
        <w:r w:rsidR="00134C3F">
          <w:rPr>
            <w:webHidden/>
          </w:rPr>
          <w:instrText xml:space="preserve"> PAGEREF _Toc457207603 \h </w:instrText>
        </w:r>
        <w:r w:rsidR="00134C3F">
          <w:rPr>
            <w:webHidden/>
          </w:rPr>
        </w:r>
        <w:r w:rsidR="00134C3F">
          <w:rPr>
            <w:webHidden/>
          </w:rPr>
          <w:fldChar w:fldCharType="separate"/>
        </w:r>
        <w:r w:rsidR="00EA2ADF">
          <w:rPr>
            <w:webHidden/>
          </w:rPr>
          <w:t>15</w:t>
        </w:r>
        <w:r w:rsidR="00134C3F">
          <w:rPr>
            <w:webHidden/>
          </w:rPr>
          <w:fldChar w:fldCharType="end"/>
        </w:r>
      </w:hyperlink>
    </w:p>
    <w:p w:rsidR="00134C3F" w:rsidRDefault="0013464F" w:rsidP="00134C3F">
      <w:pPr>
        <w:pStyle w:val="TOC4"/>
        <w:rPr>
          <w:rFonts w:asciiTheme="minorHAnsi" w:eastAsiaTheme="minorEastAsia" w:hAnsiTheme="minorHAnsi" w:cstheme="minorBidi"/>
          <w:sz w:val="22"/>
          <w:szCs w:val="22"/>
          <w:lang w:val="en-AU" w:eastAsia="en-AU"/>
        </w:rPr>
      </w:pPr>
      <w:hyperlink w:anchor="_Toc457207604" w:history="1">
        <w:r w:rsidR="00134C3F" w:rsidRPr="00EA647E">
          <w:rPr>
            <w:rStyle w:val="Hyperlink"/>
          </w:rPr>
          <w:t>Issue 8 – NMI allocation procedure</w:t>
        </w:r>
        <w:r w:rsidR="00134C3F">
          <w:rPr>
            <w:webHidden/>
          </w:rPr>
          <w:tab/>
        </w:r>
        <w:r w:rsidR="00134C3F">
          <w:rPr>
            <w:webHidden/>
          </w:rPr>
          <w:fldChar w:fldCharType="begin"/>
        </w:r>
        <w:r w:rsidR="00134C3F">
          <w:rPr>
            <w:webHidden/>
          </w:rPr>
          <w:instrText xml:space="preserve"> PAGEREF _Toc457207604 \h </w:instrText>
        </w:r>
        <w:r w:rsidR="00134C3F">
          <w:rPr>
            <w:webHidden/>
          </w:rPr>
        </w:r>
        <w:r w:rsidR="00134C3F">
          <w:rPr>
            <w:webHidden/>
          </w:rPr>
          <w:fldChar w:fldCharType="separate"/>
        </w:r>
        <w:r w:rsidR="00EA2ADF">
          <w:rPr>
            <w:webHidden/>
          </w:rPr>
          <w:t>16</w:t>
        </w:r>
        <w:r w:rsidR="00134C3F">
          <w:rPr>
            <w:webHidden/>
          </w:rPr>
          <w:fldChar w:fldCharType="end"/>
        </w:r>
      </w:hyperlink>
    </w:p>
    <w:p w:rsidR="00134C3F" w:rsidRDefault="0013464F">
      <w:pPr>
        <w:pStyle w:val="TOC1"/>
        <w:tabs>
          <w:tab w:val="right" w:leader="dot" w:pos="9062"/>
        </w:tabs>
        <w:rPr>
          <w:rFonts w:asciiTheme="minorHAnsi" w:eastAsiaTheme="minorEastAsia" w:hAnsiTheme="minorHAnsi" w:cstheme="minorBidi"/>
          <w:b w:val="0"/>
          <w:noProof/>
          <w:spacing w:val="0"/>
          <w:szCs w:val="22"/>
          <w:lang w:val="en-AU" w:eastAsia="en-AU"/>
        </w:rPr>
      </w:pPr>
      <w:hyperlink w:anchor="_Toc457207605" w:history="1">
        <w:r w:rsidR="00134C3F" w:rsidRPr="00EA647E">
          <w:rPr>
            <w:rStyle w:val="Hyperlink"/>
            <w:noProof/>
          </w:rPr>
          <w:t>Other Issues Raised by Power and Water Corporation</w:t>
        </w:r>
        <w:r w:rsidR="00134C3F">
          <w:rPr>
            <w:noProof/>
            <w:webHidden/>
          </w:rPr>
          <w:tab/>
        </w:r>
        <w:r w:rsidR="00134C3F">
          <w:rPr>
            <w:noProof/>
            <w:webHidden/>
          </w:rPr>
          <w:fldChar w:fldCharType="begin"/>
        </w:r>
        <w:r w:rsidR="00134C3F">
          <w:rPr>
            <w:noProof/>
            <w:webHidden/>
          </w:rPr>
          <w:instrText xml:space="preserve"> PAGEREF _Toc457207605 \h </w:instrText>
        </w:r>
        <w:r w:rsidR="00134C3F">
          <w:rPr>
            <w:noProof/>
            <w:webHidden/>
          </w:rPr>
        </w:r>
        <w:r w:rsidR="00134C3F">
          <w:rPr>
            <w:noProof/>
            <w:webHidden/>
          </w:rPr>
          <w:fldChar w:fldCharType="separate"/>
        </w:r>
        <w:r w:rsidR="00EA2ADF">
          <w:rPr>
            <w:noProof/>
            <w:webHidden/>
          </w:rPr>
          <w:t>17</w:t>
        </w:r>
        <w:r w:rsidR="00134C3F">
          <w:rPr>
            <w:noProof/>
            <w:webHidden/>
          </w:rPr>
          <w:fldChar w:fldCharType="end"/>
        </w:r>
      </w:hyperlink>
    </w:p>
    <w:p w:rsidR="00134C3F" w:rsidRDefault="0013464F" w:rsidP="00134C3F">
      <w:pPr>
        <w:pStyle w:val="TOC4"/>
        <w:rPr>
          <w:rFonts w:asciiTheme="minorHAnsi" w:eastAsiaTheme="minorEastAsia" w:hAnsiTheme="minorHAnsi" w:cstheme="minorBidi"/>
          <w:sz w:val="22"/>
          <w:szCs w:val="22"/>
          <w:lang w:val="en-AU" w:eastAsia="en-AU"/>
        </w:rPr>
      </w:pPr>
      <w:hyperlink w:anchor="_Toc457207606" w:history="1">
        <w:r w:rsidR="00134C3F" w:rsidRPr="00EA647E">
          <w:rPr>
            <w:rStyle w:val="Hyperlink"/>
          </w:rPr>
          <w:t>Issue 9 – Removal of requirement for the Commission’s approval of charges</w:t>
        </w:r>
        <w:r w:rsidR="00134C3F">
          <w:rPr>
            <w:webHidden/>
          </w:rPr>
          <w:tab/>
        </w:r>
        <w:r w:rsidR="00134C3F">
          <w:rPr>
            <w:webHidden/>
          </w:rPr>
          <w:fldChar w:fldCharType="begin"/>
        </w:r>
        <w:r w:rsidR="00134C3F">
          <w:rPr>
            <w:webHidden/>
          </w:rPr>
          <w:instrText xml:space="preserve"> PAGEREF _Toc457207606 \h </w:instrText>
        </w:r>
        <w:r w:rsidR="00134C3F">
          <w:rPr>
            <w:webHidden/>
          </w:rPr>
        </w:r>
        <w:r w:rsidR="00134C3F">
          <w:rPr>
            <w:webHidden/>
          </w:rPr>
          <w:fldChar w:fldCharType="separate"/>
        </w:r>
        <w:r w:rsidR="00EA2ADF">
          <w:rPr>
            <w:webHidden/>
          </w:rPr>
          <w:t>17</w:t>
        </w:r>
        <w:r w:rsidR="00134C3F">
          <w:rPr>
            <w:webHidden/>
          </w:rPr>
          <w:fldChar w:fldCharType="end"/>
        </w:r>
      </w:hyperlink>
    </w:p>
    <w:p w:rsidR="00134C3F" w:rsidRDefault="0013464F" w:rsidP="00134C3F">
      <w:pPr>
        <w:pStyle w:val="TOC4"/>
        <w:rPr>
          <w:rFonts w:asciiTheme="minorHAnsi" w:eastAsiaTheme="minorEastAsia" w:hAnsiTheme="minorHAnsi" w:cstheme="minorBidi"/>
          <w:sz w:val="22"/>
          <w:szCs w:val="22"/>
          <w:lang w:val="en-AU" w:eastAsia="en-AU"/>
        </w:rPr>
      </w:pPr>
      <w:hyperlink w:anchor="_Toc457207607" w:history="1">
        <w:r w:rsidR="00134C3F" w:rsidRPr="00EA647E">
          <w:rPr>
            <w:rStyle w:val="Hyperlink"/>
          </w:rPr>
          <w:t>Issue 10 – Customer transfer notification timeframes</w:t>
        </w:r>
        <w:r w:rsidR="00134C3F">
          <w:rPr>
            <w:webHidden/>
          </w:rPr>
          <w:tab/>
        </w:r>
        <w:r w:rsidR="00134C3F">
          <w:rPr>
            <w:webHidden/>
          </w:rPr>
          <w:fldChar w:fldCharType="begin"/>
        </w:r>
        <w:r w:rsidR="00134C3F">
          <w:rPr>
            <w:webHidden/>
          </w:rPr>
          <w:instrText xml:space="preserve"> PAGEREF _Toc457207607 \h </w:instrText>
        </w:r>
        <w:r w:rsidR="00134C3F">
          <w:rPr>
            <w:webHidden/>
          </w:rPr>
        </w:r>
        <w:r w:rsidR="00134C3F">
          <w:rPr>
            <w:webHidden/>
          </w:rPr>
          <w:fldChar w:fldCharType="separate"/>
        </w:r>
        <w:r w:rsidR="00EA2ADF">
          <w:rPr>
            <w:webHidden/>
          </w:rPr>
          <w:t>17</w:t>
        </w:r>
        <w:r w:rsidR="00134C3F">
          <w:rPr>
            <w:webHidden/>
          </w:rPr>
          <w:fldChar w:fldCharType="end"/>
        </w:r>
      </w:hyperlink>
    </w:p>
    <w:p w:rsidR="00134C3F" w:rsidRDefault="0013464F">
      <w:pPr>
        <w:pStyle w:val="TOC1"/>
        <w:tabs>
          <w:tab w:val="right" w:leader="dot" w:pos="9062"/>
        </w:tabs>
        <w:rPr>
          <w:rFonts w:asciiTheme="minorHAnsi" w:eastAsiaTheme="minorEastAsia" w:hAnsiTheme="minorHAnsi" w:cstheme="minorBidi"/>
          <w:b w:val="0"/>
          <w:noProof/>
          <w:spacing w:val="0"/>
          <w:szCs w:val="22"/>
          <w:lang w:val="en-AU" w:eastAsia="en-AU"/>
        </w:rPr>
      </w:pPr>
      <w:hyperlink w:anchor="_Toc457207608" w:history="1">
        <w:r w:rsidR="00134C3F" w:rsidRPr="00EA647E">
          <w:rPr>
            <w:rStyle w:val="Hyperlink"/>
            <w:noProof/>
          </w:rPr>
          <w:t>Power and Water Corporation’s Submission to the Utilities Commission</w:t>
        </w:r>
        <w:r w:rsidR="00134C3F">
          <w:rPr>
            <w:noProof/>
            <w:webHidden/>
          </w:rPr>
          <w:tab/>
        </w:r>
        <w:r w:rsidR="00134C3F">
          <w:rPr>
            <w:noProof/>
            <w:webHidden/>
          </w:rPr>
          <w:fldChar w:fldCharType="begin"/>
        </w:r>
        <w:r w:rsidR="00134C3F">
          <w:rPr>
            <w:noProof/>
            <w:webHidden/>
          </w:rPr>
          <w:instrText xml:space="preserve"> PAGEREF _Toc457207608 \h </w:instrText>
        </w:r>
        <w:r w:rsidR="00134C3F">
          <w:rPr>
            <w:noProof/>
            <w:webHidden/>
          </w:rPr>
        </w:r>
        <w:r w:rsidR="00134C3F">
          <w:rPr>
            <w:noProof/>
            <w:webHidden/>
          </w:rPr>
          <w:fldChar w:fldCharType="separate"/>
        </w:r>
        <w:r w:rsidR="00EA2ADF">
          <w:rPr>
            <w:noProof/>
            <w:webHidden/>
          </w:rPr>
          <w:t>18</w:t>
        </w:r>
        <w:r w:rsidR="00134C3F">
          <w:rPr>
            <w:noProof/>
            <w:webHidden/>
          </w:rPr>
          <w:fldChar w:fldCharType="end"/>
        </w:r>
      </w:hyperlink>
    </w:p>
    <w:p w:rsidR="00835024" w:rsidRPr="006E3A87" w:rsidRDefault="00112DA4" w:rsidP="0059333F">
      <w:pPr>
        <w:pStyle w:val="UtilComHeading2"/>
      </w:pPr>
      <w:r>
        <w:rPr>
          <w:sz w:val="18"/>
          <w:szCs w:val="18"/>
          <w:highlight w:val="yellow"/>
        </w:rPr>
        <w:fldChar w:fldCharType="end"/>
      </w:r>
      <w:r w:rsidR="009E2FD6">
        <w:rPr>
          <w:sz w:val="18"/>
          <w:szCs w:val="18"/>
        </w:rPr>
        <w:tab/>
      </w:r>
      <w:r w:rsidR="00617C81" w:rsidRPr="006E3A87">
        <w:br w:type="page"/>
      </w:r>
      <w:bookmarkStart w:id="6" w:name="_Toc315949022"/>
      <w:bookmarkStart w:id="7" w:name="_Toc316026378"/>
      <w:bookmarkStart w:id="8" w:name="_Toc326309643"/>
      <w:bookmarkStart w:id="9" w:name="_Toc457204093"/>
      <w:bookmarkStart w:id="10" w:name="_Toc457207576"/>
      <w:r w:rsidR="00835024" w:rsidRPr="006E3A87">
        <w:lastRenderedPageBreak/>
        <w:t>Confidentiality</w:t>
      </w:r>
      <w:bookmarkEnd w:id="6"/>
      <w:bookmarkEnd w:id="7"/>
      <w:bookmarkEnd w:id="8"/>
      <w:bookmarkEnd w:id="9"/>
      <w:bookmarkEnd w:id="10"/>
    </w:p>
    <w:p w:rsidR="00835024" w:rsidRDefault="00835024" w:rsidP="00835024">
      <w:r>
        <w:t>In the interest of transparency, t</w:t>
      </w:r>
      <w:r w:rsidRPr="00FC19B9">
        <w:t xml:space="preserve">he </w:t>
      </w:r>
      <w:r w:rsidR="0059333F">
        <w:t xml:space="preserve">Utilities </w:t>
      </w:r>
      <w:r w:rsidRPr="00FC19B9">
        <w:t xml:space="preserve">Commission </w:t>
      </w:r>
      <w:r w:rsidR="0059333F">
        <w:t xml:space="preserve">(the Commission) </w:t>
      </w:r>
      <w:r w:rsidRPr="00FC19B9">
        <w:t>will make</w:t>
      </w:r>
      <w:r>
        <w:t xml:space="preserve"> submissions publicly available with the exception of any confidential information as defined under the </w:t>
      </w:r>
      <w:r>
        <w:rPr>
          <w:i/>
        </w:rPr>
        <w:t>Utilities Commission Act</w:t>
      </w:r>
      <w:r>
        <w:t>. Confidential information includes:</w:t>
      </w:r>
    </w:p>
    <w:p w:rsidR="00835024" w:rsidRDefault="00835024" w:rsidP="00835024">
      <w:pPr>
        <w:numPr>
          <w:ilvl w:val="0"/>
          <w:numId w:val="9"/>
        </w:numPr>
      </w:pPr>
      <w:r>
        <w:t>information that could affect the competitive position of a licensed entity or other person; or</w:t>
      </w:r>
    </w:p>
    <w:p w:rsidR="00835024" w:rsidRDefault="00835024" w:rsidP="00835024">
      <w:pPr>
        <w:numPr>
          <w:ilvl w:val="0"/>
          <w:numId w:val="9"/>
        </w:numPr>
      </w:pPr>
      <w:r>
        <w:t>information that is commercially sensitive for some other reason.</w:t>
      </w:r>
    </w:p>
    <w:p w:rsidR="00835024" w:rsidRDefault="00835024" w:rsidP="0059333F">
      <w:pPr>
        <w:pStyle w:val="UtilComBodyText"/>
      </w:pPr>
      <w:r>
        <w:t xml:space="preserve">The submission must clearly specify the document (or part of it) </w:t>
      </w:r>
      <w:r w:rsidR="00E37901">
        <w:t xml:space="preserve">that </w:t>
      </w:r>
      <w:r>
        <w:t xml:space="preserve">contains confidential information. </w:t>
      </w:r>
      <w:r w:rsidRPr="00FC19B9">
        <w:t>A version of the submission suitable for publication (</w:t>
      </w:r>
      <w:r w:rsidR="00E37901">
        <w:t>that is,</w:t>
      </w:r>
      <w:r w:rsidRPr="00FC19B9">
        <w:t xml:space="preserve"> with any confidential </w:t>
      </w:r>
      <w:r>
        <w:t>information</w:t>
      </w:r>
      <w:r w:rsidRPr="00FC19B9">
        <w:t xml:space="preserve"> removed) should also be provided.</w:t>
      </w:r>
      <w:r>
        <w:t xml:space="preserve"> </w:t>
      </w:r>
    </w:p>
    <w:p w:rsidR="00835024" w:rsidRPr="006E3A87" w:rsidRDefault="00835024" w:rsidP="00835024">
      <w:pPr>
        <w:pStyle w:val="UtilComHeading2"/>
      </w:pPr>
      <w:bookmarkStart w:id="11" w:name="_Toc315949023"/>
      <w:bookmarkStart w:id="12" w:name="_Toc316026379"/>
      <w:bookmarkStart w:id="13" w:name="_Toc326309644"/>
      <w:bookmarkStart w:id="14" w:name="_Toc457207577"/>
      <w:r w:rsidRPr="006E3A87">
        <w:t xml:space="preserve">Public </w:t>
      </w:r>
      <w:r w:rsidR="00E37901">
        <w:t>A</w:t>
      </w:r>
      <w:r w:rsidR="00E37901" w:rsidRPr="006E3A87">
        <w:t xml:space="preserve">ccess </w:t>
      </w:r>
      <w:r w:rsidRPr="006E3A87">
        <w:t xml:space="preserve">to </w:t>
      </w:r>
      <w:r w:rsidR="005257FE">
        <w:t>S</w:t>
      </w:r>
      <w:r w:rsidRPr="006E3A87">
        <w:t>ubmissions</w:t>
      </w:r>
      <w:bookmarkEnd w:id="11"/>
      <w:bookmarkEnd w:id="12"/>
      <w:bookmarkEnd w:id="13"/>
      <w:bookmarkEnd w:id="14"/>
    </w:p>
    <w:p w:rsidR="00835024" w:rsidRDefault="00835024" w:rsidP="00835024">
      <w:r>
        <w:t xml:space="preserve">Subject to </w:t>
      </w:r>
      <w:r w:rsidR="00B3292F">
        <w:t>confidentiality requirements</w:t>
      </w:r>
      <w:r>
        <w:t>, submissions will be made available for public inspection at the office of the Commission and on its website (</w:t>
      </w:r>
      <w:hyperlink r:id="rId14" w:history="1">
        <w:r w:rsidRPr="0068002B">
          <w:rPr>
            <w:rStyle w:val="Hyperlink"/>
          </w:rPr>
          <w:t>www.utilicom.nt.gov.au</w:t>
        </w:r>
      </w:hyperlink>
      <w:r>
        <w:t>).</w:t>
      </w:r>
    </w:p>
    <w:p w:rsidR="00835024" w:rsidRDefault="00835024" w:rsidP="00835024">
      <w:r>
        <w:t>To facilitate publication on the Commission’s website, submissions should be provided electronically by CD</w:t>
      </w:r>
      <w:r w:rsidR="00B3292F">
        <w:t xml:space="preserve"> or </w:t>
      </w:r>
      <w:r>
        <w:t>DVD, or email</w:t>
      </w:r>
      <w:r w:rsidR="00E37901">
        <w:t>ed</w:t>
      </w:r>
      <w:r>
        <w:t xml:space="preserve"> in Adobe Acrobat or Microsoft Word format. </w:t>
      </w:r>
      <w:r w:rsidR="00B3292F">
        <w:t xml:space="preserve">Submissions can be made in writing if </w:t>
      </w:r>
      <w:r>
        <w:t>th</w:t>
      </w:r>
      <w:r w:rsidR="00B3292F">
        <w:t>ese options are</w:t>
      </w:r>
      <w:r>
        <w:t xml:space="preserve"> not possible</w:t>
      </w:r>
      <w:r w:rsidR="00B3292F">
        <w:t>.</w:t>
      </w:r>
      <w:r>
        <w:t xml:space="preserve"> </w:t>
      </w:r>
    </w:p>
    <w:p w:rsidR="00835024" w:rsidRPr="006E3A87" w:rsidRDefault="004201A3" w:rsidP="00835024">
      <w:pPr>
        <w:pStyle w:val="UtilComHeading2"/>
      </w:pPr>
      <w:bookmarkStart w:id="15" w:name="_Toc457207578"/>
      <w:r>
        <w:t xml:space="preserve">Call for </w:t>
      </w:r>
      <w:r w:rsidR="005257FE">
        <w:t>S</w:t>
      </w:r>
      <w:r>
        <w:t>ubmissions</w:t>
      </w:r>
      <w:bookmarkEnd w:id="15"/>
    </w:p>
    <w:p w:rsidR="00835024" w:rsidRDefault="00835024" w:rsidP="00835024">
      <w:r>
        <w:t>Any questions regarding this report should be directed in the first instance to the Commission at any of the following:</w:t>
      </w:r>
    </w:p>
    <w:p w:rsidR="00835024" w:rsidRDefault="00835024" w:rsidP="00835024"/>
    <w:p w:rsidR="00835024" w:rsidRDefault="00835024" w:rsidP="00835024">
      <w:r>
        <w:t>Utilities Commission</w:t>
      </w:r>
      <w:r>
        <w:br/>
        <w:t>GPO Box 915</w:t>
      </w:r>
      <w:r>
        <w:br/>
        <w:t>DARWIN NT 0801</w:t>
      </w:r>
    </w:p>
    <w:p w:rsidR="00835024" w:rsidRDefault="00835024" w:rsidP="00835024"/>
    <w:p w:rsidR="00835024" w:rsidRDefault="00835024" w:rsidP="00B67063">
      <w:pPr>
        <w:pStyle w:val="UtilComBodyText"/>
      </w:pPr>
      <w:r>
        <w:t>Telephone</w:t>
      </w:r>
      <w:r w:rsidR="005A25DA">
        <w:t>: 08 8999 5480</w:t>
      </w:r>
    </w:p>
    <w:p w:rsidR="00ED53E8" w:rsidRDefault="00835024" w:rsidP="00B67063">
      <w:pPr>
        <w:pStyle w:val="UtilComBodyText"/>
      </w:pPr>
      <w:r>
        <w:t xml:space="preserve">Email: </w:t>
      </w:r>
      <w:hyperlink r:id="rId15" w:history="1">
        <w:r>
          <w:rPr>
            <w:rStyle w:val="Hyperlink"/>
          </w:rPr>
          <w:t>utilities.commission@nt.gov.au</w:t>
        </w:r>
      </w:hyperlink>
    </w:p>
    <w:p w:rsidR="00ED53E8" w:rsidRDefault="00ED53E8">
      <w:pPr>
        <w:spacing w:before="0" w:after="0" w:line="240" w:lineRule="auto"/>
      </w:pPr>
      <w:r>
        <w:br w:type="page"/>
      </w:r>
    </w:p>
    <w:p w:rsidR="00ED53E8" w:rsidRDefault="00ED53E8" w:rsidP="00134C3F">
      <w:pPr>
        <w:pStyle w:val="UtilComChapterHeading"/>
      </w:pPr>
      <w:bookmarkStart w:id="16" w:name="_Toc457207579"/>
      <w:r w:rsidRPr="009E41D1">
        <w:lastRenderedPageBreak/>
        <w:t>Glossary</w:t>
      </w:r>
      <w:bookmarkEnd w:id="16"/>
    </w:p>
    <w:tbl>
      <w:tblPr>
        <w:tblW w:w="9214" w:type="dxa"/>
        <w:tblLayout w:type="fixed"/>
        <w:tblLook w:val="05E0" w:firstRow="1" w:lastRow="1" w:firstColumn="1" w:lastColumn="1" w:noHBand="0" w:noVBand="1"/>
      </w:tblPr>
      <w:tblGrid>
        <w:gridCol w:w="2242"/>
        <w:gridCol w:w="6972"/>
      </w:tblGrid>
      <w:tr w:rsidR="00ED53E8" w:rsidRPr="009E41D1" w:rsidTr="00B13354">
        <w:trPr>
          <w:trHeight w:val="360"/>
        </w:trPr>
        <w:tc>
          <w:tcPr>
            <w:tcW w:w="2242" w:type="dxa"/>
            <w:tcMar>
              <w:top w:w="57" w:type="dxa"/>
              <w:left w:w="0" w:type="dxa"/>
              <w:bottom w:w="57" w:type="dxa"/>
              <w:right w:w="85" w:type="dxa"/>
            </w:tcMar>
          </w:tcPr>
          <w:p w:rsidR="00ED53E8" w:rsidRPr="009E41D1" w:rsidRDefault="00ED53E8" w:rsidP="00F24847">
            <w:pPr>
              <w:autoSpaceDE w:val="0"/>
              <w:autoSpaceDN w:val="0"/>
              <w:adjustRightInd w:val="0"/>
              <w:spacing w:before="40"/>
              <w:textAlignment w:val="center"/>
              <w:rPr>
                <w:rFonts w:cs="Arial"/>
                <w:b/>
              </w:rPr>
            </w:pPr>
            <w:r w:rsidRPr="009E41D1">
              <w:rPr>
                <w:rFonts w:cs="Arial"/>
                <w:b/>
              </w:rPr>
              <w:t>Term</w:t>
            </w:r>
          </w:p>
        </w:tc>
        <w:tc>
          <w:tcPr>
            <w:tcW w:w="6972" w:type="dxa"/>
            <w:tcMar>
              <w:top w:w="57" w:type="dxa"/>
              <w:left w:w="0" w:type="dxa"/>
              <w:bottom w:w="57" w:type="dxa"/>
              <w:right w:w="85" w:type="dxa"/>
            </w:tcMar>
          </w:tcPr>
          <w:p w:rsidR="00ED53E8" w:rsidRPr="009E41D1" w:rsidRDefault="00ED53E8" w:rsidP="00F24847">
            <w:pPr>
              <w:autoSpaceDE w:val="0"/>
              <w:autoSpaceDN w:val="0"/>
              <w:adjustRightInd w:val="0"/>
              <w:spacing w:before="40"/>
              <w:textAlignment w:val="center"/>
              <w:rPr>
                <w:rFonts w:cs="Arial"/>
                <w:b/>
              </w:rPr>
            </w:pPr>
            <w:r w:rsidRPr="009E41D1">
              <w:rPr>
                <w:rFonts w:cs="Arial"/>
                <w:b/>
              </w:rPr>
              <w:t>Definition</w:t>
            </w:r>
          </w:p>
        </w:tc>
      </w:tr>
      <w:tr w:rsidR="00ED53E8" w:rsidRPr="009E41D1" w:rsidTr="00B13354">
        <w:tc>
          <w:tcPr>
            <w:tcW w:w="2242" w:type="dxa"/>
            <w:tcMar>
              <w:top w:w="57" w:type="dxa"/>
              <w:left w:w="0" w:type="dxa"/>
              <w:bottom w:w="57" w:type="dxa"/>
              <w:right w:w="85" w:type="dxa"/>
            </w:tcMar>
          </w:tcPr>
          <w:p w:rsidR="00ED53E8" w:rsidRPr="009E41D1" w:rsidRDefault="00ED53E8" w:rsidP="00A1638B">
            <w:pPr>
              <w:autoSpaceDE w:val="0"/>
              <w:autoSpaceDN w:val="0"/>
              <w:adjustRightInd w:val="0"/>
              <w:spacing w:before="40" w:line="300" w:lineRule="atLeast"/>
              <w:textAlignment w:val="center"/>
              <w:rPr>
                <w:rFonts w:cs="Arial"/>
              </w:rPr>
            </w:pPr>
            <w:r w:rsidRPr="009E41D1">
              <w:rPr>
                <w:rFonts w:cs="Arial"/>
              </w:rPr>
              <w:t>AEMO</w:t>
            </w:r>
          </w:p>
        </w:tc>
        <w:tc>
          <w:tcPr>
            <w:tcW w:w="6972" w:type="dxa"/>
            <w:tcMar>
              <w:top w:w="57" w:type="dxa"/>
              <w:left w:w="0" w:type="dxa"/>
              <w:bottom w:w="57" w:type="dxa"/>
              <w:right w:w="85" w:type="dxa"/>
            </w:tcMar>
          </w:tcPr>
          <w:p w:rsidR="00ED53E8" w:rsidRPr="009E41D1" w:rsidRDefault="00ED53E8" w:rsidP="00A1638B">
            <w:pPr>
              <w:autoSpaceDE w:val="0"/>
              <w:autoSpaceDN w:val="0"/>
              <w:adjustRightInd w:val="0"/>
              <w:spacing w:before="40" w:line="300" w:lineRule="atLeast"/>
              <w:textAlignment w:val="center"/>
              <w:rPr>
                <w:rFonts w:cs="Arial"/>
              </w:rPr>
            </w:pPr>
            <w:r w:rsidRPr="009E41D1">
              <w:rPr>
                <w:rFonts w:cs="Arial"/>
              </w:rPr>
              <w:t>Australian Energy Market Operator</w:t>
            </w:r>
          </w:p>
        </w:tc>
      </w:tr>
      <w:tr w:rsidR="00ED53E8" w:rsidRPr="009E41D1" w:rsidTr="00B13354">
        <w:tc>
          <w:tcPr>
            <w:tcW w:w="2242" w:type="dxa"/>
            <w:tcMar>
              <w:top w:w="57" w:type="dxa"/>
              <w:left w:w="0" w:type="dxa"/>
              <w:bottom w:w="57" w:type="dxa"/>
              <w:right w:w="85" w:type="dxa"/>
            </w:tcMar>
          </w:tcPr>
          <w:p w:rsidR="00ED53E8" w:rsidRPr="009E41D1" w:rsidRDefault="00ED53E8" w:rsidP="00A1638B">
            <w:pPr>
              <w:autoSpaceDE w:val="0"/>
              <w:autoSpaceDN w:val="0"/>
              <w:adjustRightInd w:val="0"/>
              <w:spacing w:before="40" w:line="300" w:lineRule="atLeast"/>
              <w:textAlignment w:val="center"/>
              <w:rPr>
                <w:rFonts w:cs="Arial"/>
              </w:rPr>
            </w:pPr>
            <w:r w:rsidRPr="009E41D1">
              <w:rPr>
                <w:rFonts w:cs="Arial"/>
              </w:rPr>
              <w:t>AER</w:t>
            </w:r>
          </w:p>
        </w:tc>
        <w:tc>
          <w:tcPr>
            <w:tcW w:w="6972" w:type="dxa"/>
            <w:tcMar>
              <w:top w:w="57" w:type="dxa"/>
              <w:left w:w="0" w:type="dxa"/>
              <w:bottom w:w="57" w:type="dxa"/>
              <w:right w:w="85" w:type="dxa"/>
            </w:tcMar>
          </w:tcPr>
          <w:p w:rsidR="00ED53E8" w:rsidRPr="009E41D1" w:rsidRDefault="00ED53E8" w:rsidP="00A1638B">
            <w:pPr>
              <w:autoSpaceDE w:val="0"/>
              <w:autoSpaceDN w:val="0"/>
              <w:adjustRightInd w:val="0"/>
              <w:spacing w:before="40" w:line="300" w:lineRule="atLeast"/>
              <w:textAlignment w:val="center"/>
              <w:rPr>
                <w:rFonts w:cs="Arial"/>
              </w:rPr>
            </w:pPr>
            <w:r w:rsidRPr="009E41D1">
              <w:rPr>
                <w:rFonts w:cs="Arial"/>
              </w:rPr>
              <w:t>Australian Energy Regulator</w:t>
            </w:r>
          </w:p>
        </w:tc>
      </w:tr>
      <w:tr w:rsidR="009E41D1" w:rsidRPr="009E41D1" w:rsidTr="00B13354">
        <w:tc>
          <w:tcPr>
            <w:tcW w:w="2242" w:type="dxa"/>
            <w:tcMar>
              <w:top w:w="57" w:type="dxa"/>
              <w:left w:w="0" w:type="dxa"/>
              <w:bottom w:w="57" w:type="dxa"/>
              <w:right w:w="85" w:type="dxa"/>
            </w:tcMar>
          </w:tcPr>
          <w:p w:rsidR="009E41D1" w:rsidRPr="009E41D1" w:rsidRDefault="009E41D1" w:rsidP="00A1638B">
            <w:pPr>
              <w:autoSpaceDE w:val="0"/>
              <w:autoSpaceDN w:val="0"/>
              <w:adjustRightInd w:val="0"/>
              <w:spacing w:before="40" w:line="300" w:lineRule="atLeast"/>
              <w:textAlignment w:val="center"/>
              <w:rPr>
                <w:rFonts w:cs="Arial"/>
              </w:rPr>
            </w:pPr>
            <w:r>
              <w:rPr>
                <w:rFonts w:cs="Arial"/>
              </w:rPr>
              <w:t>Code</w:t>
            </w:r>
          </w:p>
        </w:tc>
        <w:tc>
          <w:tcPr>
            <w:tcW w:w="6972" w:type="dxa"/>
            <w:tcMar>
              <w:top w:w="57" w:type="dxa"/>
              <w:left w:w="0" w:type="dxa"/>
              <w:bottom w:w="57" w:type="dxa"/>
              <w:right w:w="85" w:type="dxa"/>
            </w:tcMar>
          </w:tcPr>
          <w:p w:rsidR="009E41D1" w:rsidRPr="009E41D1" w:rsidRDefault="009E41D1" w:rsidP="00A1638B">
            <w:pPr>
              <w:autoSpaceDE w:val="0"/>
              <w:autoSpaceDN w:val="0"/>
              <w:adjustRightInd w:val="0"/>
              <w:spacing w:before="40" w:line="300" w:lineRule="atLeast"/>
              <w:textAlignment w:val="center"/>
              <w:rPr>
                <w:rFonts w:cs="Arial"/>
                <w:i/>
              </w:rPr>
            </w:pPr>
            <w:r>
              <w:rPr>
                <w:rFonts w:cs="Arial"/>
              </w:rPr>
              <w:t xml:space="preserve">Northern Territory Electricity Retail Supply Code </w:t>
            </w:r>
          </w:p>
        </w:tc>
      </w:tr>
      <w:tr w:rsidR="00FE32B4" w:rsidRPr="009E41D1" w:rsidTr="00B13354">
        <w:tc>
          <w:tcPr>
            <w:tcW w:w="2242" w:type="dxa"/>
            <w:tcMar>
              <w:top w:w="57" w:type="dxa"/>
              <w:left w:w="0" w:type="dxa"/>
              <w:bottom w:w="57" w:type="dxa"/>
              <w:right w:w="85" w:type="dxa"/>
            </w:tcMar>
          </w:tcPr>
          <w:p w:rsidR="00FE32B4" w:rsidRDefault="00FE32B4" w:rsidP="00F56F66">
            <w:pPr>
              <w:pStyle w:val="Heading8"/>
            </w:pPr>
            <w:r>
              <w:t>FRC</w:t>
            </w:r>
          </w:p>
        </w:tc>
        <w:tc>
          <w:tcPr>
            <w:tcW w:w="6972" w:type="dxa"/>
            <w:tcMar>
              <w:top w:w="57" w:type="dxa"/>
              <w:left w:w="0" w:type="dxa"/>
              <w:bottom w:w="57" w:type="dxa"/>
              <w:right w:w="85" w:type="dxa"/>
            </w:tcMar>
          </w:tcPr>
          <w:p w:rsidR="00FE32B4" w:rsidRDefault="00FC729C" w:rsidP="00A1638B">
            <w:pPr>
              <w:autoSpaceDE w:val="0"/>
              <w:autoSpaceDN w:val="0"/>
              <w:adjustRightInd w:val="0"/>
              <w:spacing w:before="40" w:line="300" w:lineRule="atLeast"/>
              <w:textAlignment w:val="center"/>
              <w:rPr>
                <w:rFonts w:cs="Arial"/>
              </w:rPr>
            </w:pPr>
            <w:r>
              <w:rPr>
                <w:rFonts w:cs="Arial"/>
              </w:rPr>
              <w:t>f</w:t>
            </w:r>
            <w:r w:rsidR="00FE32B4">
              <w:rPr>
                <w:rFonts w:cs="Arial"/>
              </w:rPr>
              <w:t xml:space="preserve">ull </w:t>
            </w:r>
            <w:r>
              <w:rPr>
                <w:rFonts w:cs="Arial"/>
              </w:rPr>
              <w:t>r</w:t>
            </w:r>
            <w:r w:rsidR="00FE32B4">
              <w:rPr>
                <w:rFonts w:cs="Arial"/>
              </w:rPr>
              <w:t xml:space="preserve">etail </w:t>
            </w:r>
            <w:r>
              <w:rPr>
                <w:rFonts w:cs="Arial"/>
              </w:rPr>
              <w:t>c</w:t>
            </w:r>
            <w:r w:rsidR="00FE32B4">
              <w:rPr>
                <w:rFonts w:cs="Arial"/>
              </w:rPr>
              <w:t xml:space="preserve">ontestability </w:t>
            </w:r>
          </w:p>
        </w:tc>
      </w:tr>
      <w:tr w:rsidR="00F678B3" w:rsidRPr="009E41D1" w:rsidTr="00B13354">
        <w:tc>
          <w:tcPr>
            <w:tcW w:w="2242" w:type="dxa"/>
            <w:tcMar>
              <w:top w:w="57" w:type="dxa"/>
              <w:left w:w="0" w:type="dxa"/>
              <w:bottom w:w="57" w:type="dxa"/>
              <w:right w:w="85" w:type="dxa"/>
            </w:tcMar>
          </w:tcPr>
          <w:p w:rsidR="00F678B3" w:rsidRDefault="00F678B3" w:rsidP="00A1638B">
            <w:pPr>
              <w:autoSpaceDE w:val="0"/>
              <w:autoSpaceDN w:val="0"/>
              <w:adjustRightInd w:val="0"/>
              <w:spacing w:before="40" w:line="300" w:lineRule="atLeast"/>
              <w:textAlignment w:val="center"/>
              <w:rPr>
                <w:rFonts w:cs="Arial"/>
              </w:rPr>
            </w:pPr>
            <w:r>
              <w:rPr>
                <w:rFonts w:cs="Arial"/>
              </w:rPr>
              <w:t>I-NTEM</w:t>
            </w:r>
          </w:p>
        </w:tc>
        <w:tc>
          <w:tcPr>
            <w:tcW w:w="6972" w:type="dxa"/>
            <w:tcMar>
              <w:top w:w="57" w:type="dxa"/>
              <w:left w:w="0" w:type="dxa"/>
              <w:bottom w:w="57" w:type="dxa"/>
              <w:right w:w="85" w:type="dxa"/>
            </w:tcMar>
          </w:tcPr>
          <w:p w:rsidR="00F678B3" w:rsidRDefault="00A22D88" w:rsidP="00A1638B">
            <w:pPr>
              <w:autoSpaceDE w:val="0"/>
              <w:autoSpaceDN w:val="0"/>
              <w:adjustRightInd w:val="0"/>
              <w:spacing w:before="40" w:line="300" w:lineRule="atLeast"/>
              <w:textAlignment w:val="center"/>
              <w:rPr>
                <w:rFonts w:cs="Arial"/>
              </w:rPr>
            </w:pPr>
            <w:r>
              <w:rPr>
                <w:rFonts w:cs="Arial"/>
              </w:rPr>
              <w:t xml:space="preserve">Interim Northern Territory Electricity Market </w:t>
            </w:r>
          </w:p>
        </w:tc>
      </w:tr>
      <w:tr w:rsidR="00FE32B4" w:rsidRPr="009E41D1" w:rsidTr="00B13354">
        <w:tc>
          <w:tcPr>
            <w:tcW w:w="2242" w:type="dxa"/>
            <w:tcMar>
              <w:top w:w="57" w:type="dxa"/>
              <w:left w:w="0" w:type="dxa"/>
              <w:bottom w:w="57" w:type="dxa"/>
              <w:right w:w="85" w:type="dxa"/>
            </w:tcMar>
          </w:tcPr>
          <w:p w:rsidR="00FE32B4" w:rsidRDefault="00FE32B4" w:rsidP="00A1638B">
            <w:pPr>
              <w:autoSpaceDE w:val="0"/>
              <w:autoSpaceDN w:val="0"/>
              <w:adjustRightInd w:val="0"/>
              <w:spacing w:before="40" w:line="300" w:lineRule="atLeast"/>
              <w:textAlignment w:val="center"/>
              <w:rPr>
                <w:rFonts w:cs="Arial"/>
              </w:rPr>
            </w:pPr>
            <w:r>
              <w:rPr>
                <w:rFonts w:cs="Arial"/>
              </w:rPr>
              <w:t>Jacana Energy</w:t>
            </w:r>
          </w:p>
        </w:tc>
        <w:tc>
          <w:tcPr>
            <w:tcW w:w="6972" w:type="dxa"/>
            <w:tcMar>
              <w:top w:w="57" w:type="dxa"/>
              <w:left w:w="0" w:type="dxa"/>
              <w:bottom w:w="57" w:type="dxa"/>
              <w:right w:w="85" w:type="dxa"/>
            </w:tcMar>
          </w:tcPr>
          <w:p w:rsidR="00FE32B4" w:rsidRDefault="00A22D88" w:rsidP="00E37901">
            <w:pPr>
              <w:autoSpaceDE w:val="0"/>
              <w:autoSpaceDN w:val="0"/>
              <w:adjustRightInd w:val="0"/>
              <w:spacing w:before="40" w:line="300" w:lineRule="atLeast"/>
              <w:textAlignment w:val="center"/>
              <w:rPr>
                <w:rFonts w:cs="Arial"/>
              </w:rPr>
            </w:pPr>
            <w:r w:rsidRPr="00A22D88">
              <w:rPr>
                <w:rFonts w:cs="Arial"/>
              </w:rPr>
              <w:t xml:space="preserve">Power Retail Corporation, a government owned corporation established in accordance with the </w:t>
            </w:r>
            <w:r w:rsidRPr="00B67063">
              <w:rPr>
                <w:rStyle w:val="UtilComItalic"/>
              </w:rPr>
              <w:t xml:space="preserve">Government Owned </w:t>
            </w:r>
            <w:r w:rsidR="00E37901" w:rsidRPr="00B67063">
              <w:rPr>
                <w:rStyle w:val="UtilComItalic"/>
              </w:rPr>
              <w:t>Corporations</w:t>
            </w:r>
            <w:r w:rsidR="00E37901">
              <w:rPr>
                <w:rStyle w:val="UtilComItalic"/>
              </w:rPr>
              <w:t> </w:t>
            </w:r>
            <w:r w:rsidRPr="00B67063">
              <w:rPr>
                <w:rStyle w:val="UtilComItalic"/>
              </w:rPr>
              <w:t>Act</w:t>
            </w:r>
            <w:r w:rsidRPr="00A22D88">
              <w:rPr>
                <w:rFonts w:cs="Arial"/>
              </w:rPr>
              <w:t xml:space="preserve"> and trading as Jacana Energy</w:t>
            </w:r>
          </w:p>
        </w:tc>
      </w:tr>
      <w:tr w:rsidR="000E2B5D" w:rsidRPr="009E41D1" w:rsidTr="00B13354">
        <w:tc>
          <w:tcPr>
            <w:tcW w:w="2242" w:type="dxa"/>
            <w:tcMar>
              <w:top w:w="57" w:type="dxa"/>
              <w:left w:w="0" w:type="dxa"/>
              <w:bottom w:w="57" w:type="dxa"/>
              <w:right w:w="85" w:type="dxa"/>
            </w:tcMar>
          </w:tcPr>
          <w:p w:rsidR="000E2B5D" w:rsidRPr="009E41D1" w:rsidRDefault="000E2B5D" w:rsidP="00A1638B">
            <w:pPr>
              <w:autoSpaceDE w:val="0"/>
              <w:autoSpaceDN w:val="0"/>
              <w:adjustRightInd w:val="0"/>
              <w:spacing w:before="40" w:line="300" w:lineRule="atLeast"/>
              <w:textAlignment w:val="center"/>
              <w:rPr>
                <w:rFonts w:cs="Arial"/>
              </w:rPr>
            </w:pPr>
            <w:r>
              <w:rPr>
                <w:rFonts w:cs="Arial"/>
              </w:rPr>
              <w:t>MSATS</w:t>
            </w:r>
          </w:p>
        </w:tc>
        <w:tc>
          <w:tcPr>
            <w:tcW w:w="6972" w:type="dxa"/>
            <w:tcMar>
              <w:top w:w="57" w:type="dxa"/>
              <w:left w:w="0" w:type="dxa"/>
              <w:bottom w:w="57" w:type="dxa"/>
              <w:right w:w="85" w:type="dxa"/>
            </w:tcMar>
          </w:tcPr>
          <w:p w:rsidR="000E2B5D" w:rsidRPr="009E41D1" w:rsidRDefault="000E2B5D" w:rsidP="00A1638B">
            <w:pPr>
              <w:autoSpaceDE w:val="0"/>
              <w:autoSpaceDN w:val="0"/>
              <w:adjustRightInd w:val="0"/>
              <w:spacing w:before="40" w:line="300" w:lineRule="atLeast"/>
              <w:textAlignment w:val="center"/>
              <w:rPr>
                <w:rFonts w:cs="Arial"/>
              </w:rPr>
            </w:pPr>
            <w:r>
              <w:rPr>
                <w:rFonts w:cs="Arial"/>
              </w:rPr>
              <w:t xml:space="preserve">Market Settlement and Transfer Solutions </w:t>
            </w:r>
          </w:p>
        </w:tc>
      </w:tr>
      <w:tr w:rsidR="000E2B5D" w:rsidRPr="009E41D1" w:rsidTr="00B13354">
        <w:tc>
          <w:tcPr>
            <w:tcW w:w="2242" w:type="dxa"/>
            <w:tcMar>
              <w:top w:w="57" w:type="dxa"/>
              <w:left w:w="0" w:type="dxa"/>
              <w:bottom w:w="57" w:type="dxa"/>
              <w:right w:w="85" w:type="dxa"/>
            </w:tcMar>
          </w:tcPr>
          <w:p w:rsidR="000E2B5D" w:rsidRDefault="000E2B5D" w:rsidP="00A1638B">
            <w:pPr>
              <w:autoSpaceDE w:val="0"/>
              <w:autoSpaceDN w:val="0"/>
              <w:adjustRightInd w:val="0"/>
              <w:spacing w:before="40" w:line="300" w:lineRule="atLeast"/>
              <w:textAlignment w:val="center"/>
              <w:rPr>
                <w:rFonts w:cs="Arial"/>
              </w:rPr>
            </w:pPr>
            <w:r>
              <w:rPr>
                <w:rFonts w:cs="Arial"/>
              </w:rPr>
              <w:t>NMI</w:t>
            </w:r>
          </w:p>
        </w:tc>
        <w:tc>
          <w:tcPr>
            <w:tcW w:w="6972" w:type="dxa"/>
            <w:tcMar>
              <w:top w:w="57" w:type="dxa"/>
              <w:left w:w="0" w:type="dxa"/>
              <w:bottom w:w="57" w:type="dxa"/>
              <w:right w:w="85" w:type="dxa"/>
            </w:tcMar>
          </w:tcPr>
          <w:p w:rsidR="000E2B5D" w:rsidRDefault="000E2B5D" w:rsidP="00A1638B">
            <w:pPr>
              <w:autoSpaceDE w:val="0"/>
              <w:autoSpaceDN w:val="0"/>
              <w:adjustRightInd w:val="0"/>
              <w:spacing w:before="40" w:line="300" w:lineRule="atLeast"/>
              <w:textAlignment w:val="center"/>
              <w:rPr>
                <w:rFonts w:cs="Arial"/>
              </w:rPr>
            </w:pPr>
            <w:r>
              <w:rPr>
                <w:rFonts w:cs="Arial"/>
              </w:rPr>
              <w:t xml:space="preserve">National Metering Identifier </w:t>
            </w:r>
          </w:p>
        </w:tc>
      </w:tr>
      <w:tr w:rsidR="000E2B5D" w:rsidRPr="009E41D1" w:rsidTr="00B13354">
        <w:tc>
          <w:tcPr>
            <w:tcW w:w="2242" w:type="dxa"/>
            <w:tcMar>
              <w:top w:w="57" w:type="dxa"/>
              <w:left w:w="0" w:type="dxa"/>
              <w:bottom w:w="57" w:type="dxa"/>
              <w:right w:w="85" w:type="dxa"/>
            </w:tcMar>
          </w:tcPr>
          <w:p w:rsidR="000E2B5D" w:rsidRDefault="000E2B5D" w:rsidP="00A1638B">
            <w:pPr>
              <w:autoSpaceDE w:val="0"/>
              <w:autoSpaceDN w:val="0"/>
              <w:adjustRightInd w:val="0"/>
              <w:spacing w:before="40" w:line="300" w:lineRule="atLeast"/>
              <w:textAlignment w:val="center"/>
              <w:rPr>
                <w:rFonts w:cs="Arial"/>
              </w:rPr>
            </w:pPr>
            <w:r>
              <w:rPr>
                <w:rFonts w:cs="Arial"/>
              </w:rPr>
              <w:t>NSLP</w:t>
            </w:r>
          </w:p>
        </w:tc>
        <w:tc>
          <w:tcPr>
            <w:tcW w:w="6972" w:type="dxa"/>
            <w:tcMar>
              <w:top w:w="57" w:type="dxa"/>
              <w:left w:w="0" w:type="dxa"/>
              <w:bottom w:w="57" w:type="dxa"/>
              <w:right w:w="85" w:type="dxa"/>
            </w:tcMar>
          </w:tcPr>
          <w:p w:rsidR="000E2B5D" w:rsidRDefault="000E2B5D" w:rsidP="00A1638B">
            <w:pPr>
              <w:autoSpaceDE w:val="0"/>
              <w:autoSpaceDN w:val="0"/>
              <w:adjustRightInd w:val="0"/>
              <w:spacing w:before="40" w:line="300" w:lineRule="atLeast"/>
              <w:textAlignment w:val="center"/>
              <w:rPr>
                <w:rFonts w:cs="Arial"/>
              </w:rPr>
            </w:pPr>
            <w:r>
              <w:rPr>
                <w:rFonts w:cs="Arial"/>
              </w:rPr>
              <w:t xml:space="preserve">Net System Load Profile </w:t>
            </w:r>
          </w:p>
        </w:tc>
      </w:tr>
      <w:tr w:rsidR="000E2B5D" w:rsidRPr="009E41D1" w:rsidTr="00B13354">
        <w:tc>
          <w:tcPr>
            <w:tcW w:w="2242" w:type="dxa"/>
            <w:tcMar>
              <w:top w:w="57" w:type="dxa"/>
              <w:left w:w="0" w:type="dxa"/>
              <w:bottom w:w="57" w:type="dxa"/>
              <w:right w:w="85" w:type="dxa"/>
            </w:tcMar>
          </w:tcPr>
          <w:p w:rsidR="000E2B5D" w:rsidRDefault="000E2B5D" w:rsidP="00A1638B">
            <w:pPr>
              <w:autoSpaceDE w:val="0"/>
              <w:autoSpaceDN w:val="0"/>
              <w:adjustRightInd w:val="0"/>
              <w:spacing w:before="40" w:line="300" w:lineRule="atLeast"/>
              <w:textAlignment w:val="center"/>
              <w:rPr>
                <w:rFonts w:cs="Arial"/>
              </w:rPr>
            </w:pPr>
            <w:r>
              <w:rPr>
                <w:rFonts w:cs="Arial"/>
              </w:rPr>
              <w:t>NEM</w:t>
            </w:r>
          </w:p>
        </w:tc>
        <w:tc>
          <w:tcPr>
            <w:tcW w:w="6972" w:type="dxa"/>
            <w:tcMar>
              <w:top w:w="57" w:type="dxa"/>
              <w:left w:w="0" w:type="dxa"/>
              <w:bottom w:w="57" w:type="dxa"/>
              <w:right w:w="85" w:type="dxa"/>
            </w:tcMar>
          </w:tcPr>
          <w:p w:rsidR="000E2B5D" w:rsidRDefault="000E2B5D" w:rsidP="00A1638B">
            <w:pPr>
              <w:autoSpaceDE w:val="0"/>
              <w:autoSpaceDN w:val="0"/>
              <w:adjustRightInd w:val="0"/>
              <w:spacing w:before="40" w:line="300" w:lineRule="atLeast"/>
              <w:textAlignment w:val="center"/>
              <w:rPr>
                <w:rFonts w:cs="Arial"/>
              </w:rPr>
            </w:pPr>
            <w:r>
              <w:rPr>
                <w:rFonts w:cs="Arial"/>
              </w:rPr>
              <w:t xml:space="preserve">National Electricity Market </w:t>
            </w:r>
          </w:p>
        </w:tc>
      </w:tr>
      <w:tr w:rsidR="000E2B5D" w:rsidRPr="009E41D1" w:rsidTr="00B13354">
        <w:tc>
          <w:tcPr>
            <w:tcW w:w="2242" w:type="dxa"/>
            <w:tcMar>
              <w:top w:w="57" w:type="dxa"/>
              <w:left w:w="0" w:type="dxa"/>
              <w:bottom w:w="57" w:type="dxa"/>
              <w:right w:w="85" w:type="dxa"/>
            </w:tcMar>
          </w:tcPr>
          <w:p w:rsidR="000E2B5D" w:rsidRDefault="000E2B5D" w:rsidP="00A1638B">
            <w:pPr>
              <w:autoSpaceDE w:val="0"/>
              <w:autoSpaceDN w:val="0"/>
              <w:adjustRightInd w:val="0"/>
              <w:spacing w:before="40" w:line="300" w:lineRule="atLeast"/>
              <w:textAlignment w:val="center"/>
              <w:rPr>
                <w:rFonts w:cs="Arial"/>
              </w:rPr>
            </w:pPr>
            <w:r>
              <w:rPr>
                <w:rFonts w:cs="Arial"/>
              </w:rPr>
              <w:t>NEL</w:t>
            </w:r>
          </w:p>
        </w:tc>
        <w:tc>
          <w:tcPr>
            <w:tcW w:w="6972" w:type="dxa"/>
            <w:tcMar>
              <w:top w:w="57" w:type="dxa"/>
              <w:left w:w="0" w:type="dxa"/>
              <w:bottom w:w="57" w:type="dxa"/>
              <w:right w:w="85" w:type="dxa"/>
            </w:tcMar>
          </w:tcPr>
          <w:p w:rsidR="000E2B5D" w:rsidRDefault="000E2B5D" w:rsidP="00A1638B">
            <w:pPr>
              <w:autoSpaceDE w:val="0"/>
              <w:autoSpaceDN w:val="0"/>
              <w:adjustRightInd w:val="0"/>
              <w:spacing w:before="40" w:line="300" w:lineRule="atLeast"/>
              <w:textAlignment w:val="center"/>
              <w:rPr>
                <w:rFonts w:cs="Arial"/>
              </w:rPr>
            </w:pPr>
            <w:r>
              <w:rPr>
                <w:rFonts w:cs="Arial"/>
              </w:rPr>
              <w:t>National Electricity Law</w:t>
            </w:r>
          </w:p>
        </w:tc>
      </w:tr>
      <w:tr w:rsidR="000E2B5D" w:rsidRPr="009E41D1" w:rsidTr="00B13354">
        <w:tc>
          <w:tcPr>
            <w:tcW w:w="2242" w:type="dxa"/>
            <w:tcMar>
              <w:top w:w="57" w:type="dxa"/>
              <w:left w:w="0" w:type="dxa"/>
              <w:bottom w:w="57" w:type="dxa"/>
              <w:right w:w="85" w:type="dxa"/>
            </w:tcMar>
          </w:tcPr>
          <w:p w:rsidR="000E2B5D" w:rsidRDefault="000E2B5D" w:rsidP="00A1638B">
            <w:pPr>
              <w:autoSpaceDE w:val="0"/>
              <w:autoSpaceDN w:val="0"/>
              <w:adjustRightInd w:val="0"/>
              <w:spacing w:before="40" w:line="300" w:lineRule="atLeast"/>
              <w:textAlignment w:val="center"/>
              <w:rPr>
                <w:rFonts w:cs="Arial"/>
              </w:rPr>
            </w:pPr>
            <w:r>
              <w:rPr>
                <w:rFonts w:cs="Arial"/>
              </w:rPr>
              <w:t>Minister</w:t>
            </w:r>
          </w:p>
        </w:tc>
        <w:tc>
          <w:tcPr>
            <w:tcW w:w="6972" w:type="dxa"/>
            <w:tcMar>
              <w:top w:w="57" w:type="dxa"/>
              <w:left w:w="0" w:type="dxa"/>
              <w:bottom w:w="57" w:type="dxa"/>
              <w:right w:w="85" w:type="dxa"/>
            </w:tcMar>
          </w:tcPr>
          <w:p w:rsidR="000E2B5D" w:rsidRDefault="000E2B5D" w:rsidP="00A1638B">
            <w:pPr>
              <w:autoSpaceDE w:val="0"/>
              <w:autoSpaceDN w:val="0"/>
              <w:adjustRightInd w:val="0"/>
              <w:spacing w:before="40" w:line="300" w:lineRule="atLeast"/>
              <w:textAlignment w:val="center"/>
              <w:rPr>
                <w:rFonts w:cs="Arial"/>
              </w:rPr>
            </w:pPr>
            <w:r>
              <w:rPr>
                <w:rFonts w:cs="Arial"/>
              </w:rPr>
              <w:t xml:space="preserve">The Treasurer acting as the Regulatory Minister </w:t>
            </w:r>
          </w:p>
        </w:tc>
      </w:tr>
      <w:tr w:rsidR="000E2B5D" w:rsidRPr="009E41D1" w:rsidTr="00B13354">
        <w:tc>
          <w:tcPr>
            <w:tcW w:w="2242" w:type="dxa"/>
            <w:tcMar>
              <w:top w:w="57" w:type="dxa"/>
              <w:left w:w="0" w:type="dxa"/>
              <w:bottom w:w="57" w:type="dxa"/>
              <w:right w:w="85" w:type="dxa"/>
            </w:tcMar>
          </w:tcPr>
          <w:p w:rsidR="000E2B5D" w:rsidRDefault="000E2B5D" w:rsidP="00A1638B">
            <w:pPr>
              <w:autoSpaceDE w:val="0"/>
              <w:autoSpaceDN w:val="0"/>
              <w:adjustRightInd w:val="0"/>
              <w:spacing w:before="40" w:line="300" w:lineRule="atLeast"/>
              <w:textAlignment w:val="center"/>
              <w:rPr>
                <w:rFonts w:cs="Arial"/>
              </w:rPr>
            </w:pPr>
            <w:r>
              <w:rPr>
                <w:rFonts w:cs="Arial"/>
              </w:rPr>
              <w:t>PWC</w:t>
            </w:r>
          </w:p>
        </w:tc>
        <w:tc>
          <w:tcPr>
            <w:tcW w:w="6972" w:type="dxa"/>
            <w:tcMar>
              <w:top w:w="57" w:type="dxa"/>
              <w:left w:w="0" w:type="dxa"/>
              <w:bottom w:w="57" w:type="dxa"/>
              <w:right w:w="85" w:type="dxa"/>
            </w:tcMar>
          </w:tcPr>
          <w:p w:rsidR="000E2B5D" w:rsidRDefault="000E2B5D" w:rsidP="00A1638B">
            <w:pPr>
              <w:autoSpaceDE w:val="0"/>
              <w:autoSpaceDN w:val="0"/>
              <w:adjustRightInd w:val="0"/>
              <w:spacing w:before="40" w:line="300" w:lineRule="atLeast"/>
              <w:textAlignment w:val="center"/>
              <w:rPr>
                <w:rFonts w:cs="Arial"/>
              </w:rPr>
            </w:pPr>
            <w:r>
              <w:rPr>
                <w:rFonts w:cs="Arial"/>
              </w:rPr>
              <w:t xml:space="preserve">Power and Water Corporation </w:t>
            </w:r>
          </w:p>
        </w:tc>
      </w:tr>
      <w:tr w:rsidR="000E2B5D" w:rsidRPr="009E41D1" w:rsidTr="00B13354">
        <w:tc>
          <w:tcPr>
            <w:tcW w:w="2242" w:type="dxa"/>
            <w:tcMar>
              <w:top w:w="57" w:type="dxa"/>
              <w:left w:w="0" w:type="dxa"/>
              <w:bottom w:w="57" w:type="dxa"/>
              <w:right w:w="85" w:type="dxa"/>
            </w:tcMar>
          </w:tcPr>
          <w:p w:rsidR="000E2B5D" w:rsidRDefault="000E2B5D" w:rsidP="00A1638B">
            <w:pPr>
              <w:autoSpaceDE w:val="0"/>
              <w:autoSpaceDN w:val="0"/>
              <w:adjustRightInd w:val="0"/>
              <w:spacing w:before="40" w:line="300" w:lineRule="atLeast"/>
              <w:textAlignment w:val="center"/>
              <w:rPr>
                <w:rFonts w:cs="Arial"/>
              </w:rPr>
            </w:pPr>
            <w:r>
              <w:rPr>
                <w:rFonts w:cs="Arial"/>
              </w:rPr>
              <w:t>QEnergy</w:t>
            </w:r>
          </w:p>
        </w:tc>
        <w:tc>
          <w:tcPr>
            <w:tcW w:w="6972" w:type="dxa"/>
            <w:tcMar>
              <w:top w:w="57" w:type="dxa"/>
              <w:left w:w="0" w:type="dxa"/>
              <w:bottom w:w="57" w:type="dxa"/>
              <w:right w:w="85" w:type="dxa"/>
            </w:tcMar>
          </w:tcPr>
          <w:p w:rsidR="000E2B5D" w:rsidRDefault="000E2B5D" w:rsidP="00DC3101">
            <w:pPr>
              <w:autoSpaceDE w:val="0"/>
              <w:autoSpaceDN w:val="0"/>
              <w:adjustRightInd w:val="0"/>
              <w:spacing w:before="40" w:line="300" w:lineRule="atLeast"/>
              <w:textAlignment w:val="center"/>
              <w:rPr>
                <w:rFonts w:cs="Arial"/>
              </w:rPr>
            </w:pPr>
            <w:r>
              <w:rPr>
                <w:rFonts w:cs="Arial"/>
              </w:rPr>
              <w:t>QEnergy Ltd (</w:t>
            </w:r>
            <w:r w:rsidR="00DC3101">
              <w:rPr>
                <w:rFonts w:cs="Arial"/>
              </w:rPr>
              <w:t xml:space="preserve">an </w:t>
            </w:r>
            <w:r>
              <w:rPr>
                <w:rFonts w:cs="Arial"/>
              </w:rPr>
              <w:t xml:space="preserve">entity licensed to retail electricity in the Northern Territory) </w:t>
            </w:r>
          </w:p>
        </w:tc>
      </w:tr>
      <w:tr w:rsidR="000E2B5D" w:rsidRPr="009E41D1" w:rsidTr="00B13354">
        <w:tc>
          <w:tcPr>
            <w:tcW w:w="2242" w:type="dxa"/>
            <w:tcMar>
              <w:top w:w="57" w:type="dxa"/>
              <w:left w:w="0" w:type="dxa"/>
              <w:bottom w:w="57" w:type="dxa"/>
              <w:right w:w="85" w:type="dxa"/>
            </w:tcMar>
          </w:tcPr>
          <w:p w:rsidR="000E2B5D" w:rsidRDefault="000E2B5D" w:rsidP="00A1638B">
            <w:pPr>
              <w:autoSpaceDE w:val="0"/>
              <w:autoSpaceDN w:val="0"/>
              <w:adjustRightInd w:val="0"/>
              <w:spacing w:before="40" w:line="300" w:lineRule="atLeast"/>
              <w:textAlignment w:val="center"/>
              <w:rPr>
                <w:rFonts w:cs="Arial"/>
              </w:rPr>
            </w:pPr>
            <w:r>
              <w:rPr>
                <w:rFonts w:cs="Arial"/>
              </w:rPr>
              <w:t>RoLR</w:t>
            </w:r>
          </w:p>
        </w:tc>
        <w:tc>
          <w:tcPr>
            <w:tcW w:w="6972" w:type="dxa"/>
            <w:tcMar>
              <w:top w:w="57" w:type="dxa"/>
              <w:left w:w="0" w:type="dxa"/>
              <w:bottom w:w="57" w:type="dxa"/>
              <w:right w:w="85" w:type="dxa"/>
            </w:tcMar>
          </w:tcPr>
          <w:p w:rsidR="000E2B5D" w:rsidRDefault="000E2B5D" w:rsidP="00A1638B">
            <w:pPr>
              <w:autoSpaceDE w:val="0"/>
              <w:autoSpaceDN w:val="0"/>
              <w:adjustRightInd w:val="0"/>
              <w:spacing w:before="40" w:line="300" w:lineRule="atLeast"/>
              <w:textAlignment w:val="center"/>
              <w:rPr>
                <w:rFonts w:cs="Arial"/>
              </w:rPr>
            </w:pPr>
            <w:r>
              <w:rPr>
                <w:rFonts w:cs="Arial"/>
              </w:rPr>
              <w:t xml:space="preserve">Retailer of Last Resort </w:t>
            </w:r>
          </w:p>
        </w:tc>
      </w:tr>
      <w:tr w:rsidR="000E2B5D" w:rsidRPr="009E41D1" w:rsidTr="00B13354">
        <w:tc>
          <w:tcPr>
            <w:tcW w:w="2242" w:type="dxa"/>
            <w:tcMar>
              <w:top w:w="57" w:type="dxa"/>
              <w:left w:w="0" w:type="dxa"/>
              <w:bottom w:w="57" w:type="dxa"/>
              <w:right w:w="85" w:type="dxa"/>
            </w:tcMar>
          </w:tcPr>
          <w:p w:rsidR="000E2B5D" w:rsidRPr="009E41D1" w:rsidRDefault="000E2B5D" w:rsidP="00A1638B">
            <w:pPr>
              <w:autoSpaceDE w:val="0"/>
              <w:autoSpaceDN w:val="0"/>
              <w:adjustRightInd w:val="0"/>
              <w:spacing w:before="40" w:line="300" w:lineRule="atLeast"/>
              <w:textAlignment w:val="center"/>
              <w:rPr>
                <w:rFonts w:cs="Arial"/>
              </w:rPr>
            </w:pPr>
            <w:r>
              <w:rPr>
                <w:rFonts w:cs="Arial"/>
              </w:rPr>
              <w:t>SCTC</w:t>
            </w:r>
          </w:p>
        </w:tc>
        <w:tc>
          <w:tcPr>
            <w:tcW w:w="6972" w:type="dxa"/>
            <w:tcMar>
              <w:top w:w="57" w:type="dxa"/>
              <w:left w:w="0" w:type="dxa"/>
              <w:bottom w:w="57" w:type="dxa"/>
              <w:right w:w="85" w:type="dxa"/>
            </w:tcMar>
          </w:tcPr>
          <w:p w:rsidR="000E2B5D" w:rsidRPr="009E41D1" w:rsidRDefault="000E2B5D" w:rsidP="00A1638B">
            <w:pPr>
              <w:autoSpaceDE w:val="0"/>
              <w:autoSpaceDN w:val="0"/>
              <w:adjustRightInd w:val="0"/>
              <w:spacing w:before="40" w:line="300" w:lineRule="atLeast"/>
              <w:textAlignment w:val="center"/>
              <w:rPr>
                <w:rFonts w:cs="Arial"/>
              </w:rPr>
            </w:pPr>
            <w:r>
              <w:rPr>
                <w:rFonts w:cs="Arial"/>
              </w:rPr>
              <w:t>System Control Technical Code</w:t>
            </w:r>
          </w:p>
        </w:tc>
      </w:tr>
      <w:tr w:rsidR="000E2B5D" w:rsidRPr="009E41D1" w:rsidTr="00B13354">
        <w:tc>
          <w:tcPr>
            <w:tcW w:w="2242" w:type="dxa"/>
            <w:tcMar>
              <w:top w:w="57" w:type="dxa"/>
              <w:left w:w="0" w:type="dxa"/>
              <w:bottom w:w="57" w:type="dxa"/>
              <w:right w:w="85" w:type="dxa"/>
            </w:tcMar>
          </w:tcPr>
          <w:p w:rsidR="000E2B5D" w:rsidRDefault="000E2B5D" w:rsidP="00A1638B">
            <w:pPr>
              <w:autoSpaceDE w:val="0"/>
              <w:autoSpaceDN w:val="0"/>
              <w:adjustRightInd w:val="0"/>
              <w:spacing w:before="40" w:line="300" w:lineRule="atLeast"/>
              <w:textAlignment w:val="center"/>
              <w:rPr>
                <w:rFonts w:cs="Arial"/>
              </w:rPr>
            </w:pPr>
            <w:r>
              <w:rPr>
                <w:rFonts w:cs="Arial"/>
              </w:rPr>
              <w:t>The Commission</w:t>
            </w:r>
          </w:p>
        </w:tc>
        <w:tc>
          <w:tcPr>
            <w:tcW w:w="6972" w:type="dxa"/>
            <w:tcMar>
              <w:top w:w="57" w:type="dxa"/>
              <w:left w:w="0" w:type="dxa"/>
              <w:bottom w:w="57" w:type="dxa"/>
              <w:right w:w="85" w:type="dxa"/>
            </w:tcMar>
          </w:tcPr>
          <w:p w:rsidR="000E2B5D" w:rsidRDefault="000E2B5D" w:rsidP="00A1638B">
            <w:pPr>
              <w:autoSpaceDE w:val="0"/>
              <w:autoSpaceDN w:val="0"/>
              <w:adjustRightInd w:val="0"/>
              <w:spacing w:before="40" w:line="300" w:lineRule="atLeast"/>
              <w:textAlignment w:val="center"/>
              <w:rPr>
                <w:rFonts w:cs="Arial"/>
              </w:rPr>
            </w:pPr>
            <w:r>
              <w:rPr>
                <w:rFonts w:cs="Arial"/>
              </w:rPr>
              <w:t>The Utilities Commission</w:t>
            </w:r>
            <w:r w:rsidR="00B67063">
              <w:rPr>
                <w:rFonts w:cs="Arial"/>
              </w:rPr>
              <w:t xml:space="preserve"> of the Northern Territory</w:t>
            </w:r>
          </w:p>
        </w:tc>
      </w:tr>
      <w:tr w:rsidR="000E2B5D" w:rsidRPr="009E41D1" w:rsidTr="00B13354">
        <w:tc>
          <w:tcPr>
            <w:tcW w:w="2242" w:type="dxa"/>
            <w:tcMar>
              <w:top w:w="57" w:type="dxa"/>
              <w:left w:w="0" w:type="dxa"/>
              <w:bottom w:w="57" w:type="dxa"/>
              <w:right w:w="85" w:type="dxa"/>
            </w:tcMar>
          </w:tcPr>
          <w:p w:rsidR="000E2B5D" w:rsidRPr="009E41D1" w:rsidRDefault="000E2B5D" w:rsidP="00A1638B">
            <w:pPr>
              <w:autoSpaceDE w:val="0"/>
              <w:autoSpaceDN w:val="0"/>
              <w:adjustRightInd w:val="0"/>
              <w:spacing w:before="40" w:line="300" w:lineRule="atLeast"/>
              <w:textAlignment w:val="center"/>
              <w:rPr>
                <w:rFonts w:cs="Arial"/>
              </w:rPr>
            </w:pPr>
            <w:r>
              <w:rPr>
                <w:rFonts w:cs="Arial"/>
              </w:rPr>
              <w:t>Tranche</w:t>
            </w:r>
          </w:p>
        </w:tc>
        <w:tc>
          <w:tcPr>
            <w:tcW w:w="6972" w:type="dxa"/>
            <w:tcMar>
              <w:top w:w="57" w:type="dxa"/>
              <w:left w:w="0" w:type="dxa"/>
              <w:bottom w:w="57" w:type="dxa"/>
              <w:right w:w="85" w:type="dxa"/>
            </w:tcMar>
          </w:tcPr>
          <w:p w:rsidR="000E2B5D" w:rsidRPr="009E41D1" w:rsidRDefault="000E2B5D" w:rsidP="00A1638B">
            <w:pPr>
              <w:autoSpaceDE w:val="0"/>
              <w:autoSpaceDN w:val="0"/>
              <w:adjustRightInd w:val="0"/>
              <w:spacing w:before="40" w:line="300" w:lineRule="atLeast"/>
              <w:textAlignment w:val="center"/>
              <w:rPr>
                <w:rFonts w:cs="Arial"/>
              </w:rPr>
            </w:pPr>
            <w:r>
              <w:rPr>
                <w:rFonts w:cs="Arial"/>
              </w:rPr>
              <w:t xml:space="preserve">A category of customers based on annual consumption </w:t>
            </w:r>
          </w:p>
        </w:tc>
      </w:tr>
      <w:tr w:rsidR="000E2B5D" w:rsidRPr="009E41D1" w:rsidTr="00B13354">
        <w:tc>
          <w:tcPr>
            <w:tcW w:w="2242" w:type="dxa"/>
            <w:tcMar>
              <w:top w:w="57" w:type="dxa"/>
              <w:left w:w="0" w:type="dxa"/>
              <w:bottom w:w="57" w:type="dxa"/>
              <w:right w:w="85" w:type="dxa"/>
            </w:tcMar>
          </w:tcPr>
          <w:p w:rsidR="000E2B5D" w:rsidRPr="009E41D1" w:rsidRDefault="000E2B5D" w:rsidP="00A1638B">
            <w:pPr>
              <w:autoSpaceDE w:val="0"/>
              <w:autoSpaceDN w:val="0"/>
              <w:adjustRightInd w:val="0"/>
              <w:spacing w:before="40" w:line="300" w:lineRule="atLeast"/>
              <w:textAlignment w:val="center"/>
              <w:rPr>
                <w:rFonts w:cs="Arial"/>
              </w:rPr>
            </w:pPr>
            <w:r>
              <w:rPr>
                <w:rFonts w:cs="Arial"/>
              </w:rPr>
              <w:t>The Act</w:t>
            </w:r>
          </w:p>
        </w:tc>
        <w:tc>
          <w:tcPr>
            <w:tcW w:w="6972" w:type="dxa"/>
            <w:tcMar>
              <w:top w:w="57" w:type="dxa"/>
              <w:left w:w="0" w:type="dxa"/>
              <w:bottom w:w="57" w:type="dxa"/>
              <w:right w:w="85" w:type="dxa"/>
            </w:tcMar>
          </w:tcPr>
          <w:p w:rsidR="000E2B5D" w:rsidRPr="009E41D1" w:rsidRDefault="000E2B5D" w:rsidP="00A1638B">
            <w:pPr>
              <w:autoSpaceDE w:val="0"/>
              <w:autoSpaceDN w:val="0"/>
              <w:adjustRightInd w:val="0"/>
              <w:spacing w:before="40" w:line="300" w:lineRule="atLeast"/>
              <w:textAlignment w:val="center"/>
              <w:rPr>
                <w:rFonts w:cs="Arial"/>
              </w:rPr>
            </w:pPr>
            <w:r>
              <w:rPr>
                <w:rFonts w:cs="Arial"/>
              </w:rPr>
              <w:t xml:space="preserve">The </w:t>
            </w:r>
            <w:r w:rsidRPr="00ED516B">
              <w:rPr>
                <w:rFonts w:cs="Arial"/>
                <w:i/>
              </w:rPr>
              <w:t>Utilities Commission Act</w:t>
            </w:r>
          </w:p>
        </w:tc>
      </w:tr>
    </w:tbl>
    <w:p w:rsidR="00B13354" w:rsidRDefault="00B13354" w:rsidP="00A1638B">
      <w:pPr>
        <w:autoSpaceDE w:val="0"/>
        <w:autoSpaceDN w:val="0"/>
        <w:adjustRightInd w:val="0"/>
        <w:spacing w:before="40" w:line="300" w:lineRule="atLeast"/>
        <w:textAlignment w:val="center"/>
        <w:rPr>
          <w:rFonts w:cs="Arial"/>
        </w:rPr>
        <w:sectPr w:rsidR="00B13354" w:rsidSect="00404679">
          <w:headerReference w:type="even" r:id="rId16"/>
          <w:headerReference w:type="first" r:id="rId17"/>
          <w:footerReference w:type="first" r:id="rId18"/>
          <w:pgSz w:w="11907" w:h="16840" w:code="9"/>
          <w:pgMar w:top="851" w:right="1134" w:bottom="1134" w:left="1701" w:header="567" w:footer="567" w:gutter="0"/>
          <w:pgNumType w:start="4"/>
          <w:cols w:space="720"/>
          <w:titlePg/>
        </w:sectPr>
      </w:pPr>
    </w:p>
    <w:tbl>
      <w:tblPr>
        <w:tblW w:w="9180" w:type="dxa"/>
        <w:tblInd w:w="108" w:type="dxa"/>
        <w:tblLayout w:type="fixed"/>
        <w:tblLook w:val="01E0" w:firstRow="1" w:lastRow="1" w:firstColumn="1" w:lastColumn="1" w:noHBand="0" w:noVBand="0"/>
      </w:tblPr>
      <w:tblGrid>
        <w:gridCol w:w="9180"/>
      </w:tblGrid>
      <w:tr w:rsidR="00F02DC6" w:rsidRPr="00B720F6" w:rsidTr="00E45DF9">
        <w:tc>
          <w:tcPr>
            <w:tcW w:w="9180" w:type="dxa"/>
          </w:tcPr>
          <w:p w:rsidR="00F02DC6" w:rsidRPr="00ED2DE2" w:rsidRDefault="00F02DC6" w:rsidP="00261AF8">
            <w:pPr>
              <w:pStyle w:val="NumberLevel1"/>
            </w:pPr>
          </w:p>
        </w:tc>
      </w:tr>
      <w:tr w:rsidR="00F02DC6" w:rsidTr="00E45DF9">
        <w:tc>
          <w:tcPr>
            <w:tcW w:w="9180" w:type="dxa"/>
          </w:tcPr>
          <w:p w:rsidR="00134C3F" w:rsidRPr="00134C3F" w:rsidRDefault="00F02DC6" w:rsidP="00134C3F">
            <w:pPr>
              <w:pStyle w:val="UtilComChapterHeading"/>
            </w:pPr>
            <w:bookmarkStart w:id="17" w:name="_Toc457207580"/>
            <w:r w:rsidRPr="00134C3F">
              <w:t>Application to Amend the Electricity Retail Supply Code</w:t>
            </w:r>
            <w:bookmarkEnd w:id="17"/>
          </w:p>
        </w:tc>
      </w:tr>
    </w:tbl>
    <w:p w:rsidR="00E75ABB" w:rsidRPr="004D52BF" w:rsidRDefault="00127B06" w:rsidP="00935D6E">
      <w:pPr>
        <w:pStyle w:val="UtilComHeading2"/>
      </w:pPr>
      <w:bookmarkStart w:id="18" w:name="_Toc457207581"/>
      <w:r>
        <w:t>Introduction</w:t>
      </w:r>
      <w:bookmarkEnd w:id="18"/>
    </w:p>
    <w:p w:rsidR="00D763C5" w:rsidRDefault="00D763C5" w:rsidP="00DD3E96">
      <w:pPr>
        <w:numPr>
          <w:ilvl w:val="0"/>
          <w:numId w:val="14"/>
        </w:numPr>
        <w:ind w:left="567" w:hanging="567"/>
      </w:pPr>
      <w:bookmarkStart w:id="19" w:name="_Toc326762892"/>
      <w:bookmarkStart w:id="20" w:name="_Toc327349024"/>
      <w:bookmarkStart w:id="21" w:name="_Toc326315889"/>
      <w:r>
        <w:t xml:space="preserve">The </w:t>
      </w:r>
      <w:r w:rsidR="003B3315">
        <w:t xml:space="preserve">Utilities </w:t>
      </w:r>
      <w:r>
        <w:t>Commission</w:t>
      </w:r>
      <w:r w:rsidR="003B3315">
        <w:t xml:space="preserve"> of the Northern Territory (the Commission)</w:t>
      </w:r>
      <w:r>
        <w:t xml:space="preserve"> is an independent statutory authority responsible for the economic regulation of the electricity supply industry, which is governed by the </w:t>
      </w:r>
      <w:r>
        <w:rPr>
          <w:i/>
        </w:rPr>
        <w:t>Utilities Commission Act</w:t>
      </w:r>
      <w:r>
        <w:t xml:space="preserve"> (the Act), the </w:t>
      </w:r>
      <w:r w:rsidR="003B3315">
        <w:rPr>
          <w:i/>
        </w:rPr>
        <w:t>Electricity</w:t>
      </w:r>
      <w:r>
        <w:rPr>
          <w:i/>
        </w:rPr>
        <w:t xml:space="preserve"> Reform Act</w:t>
      </w:r>
      <w:r>
        <w:t xml:space="preserve"> and associated legislation.</w:t>
      </w:r>
      <w:bookmarkEnd w:id="19"/>
      <w:bookmarkEnd w:id="20"/>
    </w:p>
    <w:p w:rsidR="00902C72" w:rsidRDefault="00044425" w:rsidP="00DD3E96">
      <w:pPr>
        <w:numPr>
          <w:ilvl w:val="0"/>
          <w:numId w:val="14"/>
        </w:numPr>
        <w:ind w:left="567" w:hanging="567"/>
      </w:pPr>
      <w:bookmarkStart w:id="22" w:name="_Toc326762893"/>
      <w:bookmarkStart w:id="23" w:name="_Toc327349025"/>
      <w:r>
        <w:t>Under the Act, the Commission has the power to make</w:t>
      </w:r>
      <w:r w:rsidR="00D60F29">
        <w:t>, vary or revoke</w:t>
      </w:r>
      <w:r>
        <w:t xml:space="preserve"> codes and rules if authori</w:t>
      </w:r>
      <w:r w:rsidR="0087512C">
        <w:t>s</w:t>
      </w:r>
      <w:r>
        <w:t>ed to do so under a relevant industry regulation Act</w:t>
      </w:r>
      <w:r w:rsidR="008B30BD">
        <w:t>,</w:t>
      </w:r>
      <w:r>
        <w:t xml:space="preserve"> or by regulations under the Act</w:t>
      </w:r>
      <w:r w:rsidR="0020796F">
        <w:rPr>
          <w:rStyle w:val="FootnoteReference"/>
        </w:rPr>
        <w:footnoteReference w:id="1"/>
      </w:r>
      <w:r>
        <w:t xml:space="preserve">. These relevant industry regulation Acts include the </w:t>
      </w:r>
      <w:r w:rsidR="000B3EE6">
        <w:rPr>
          <w:i/>
        </w:rPr>
        <w:t>Electricity</w:t>
      </w:r>
      <w:r>
        <w:rPr>
          <w:i/>
        </w:rPr>
        <w:t xml:space="preserve"> Reform Act, </w:t>
      </w:r>
      <w:r>
        <w:t>among others.</w:t>
      </w:r>
      <w:bookmarkEnd w:id="22"/>
      <w:bookmarkEnd w:id="23"/>
    </w:p>
    <w:p w:rsidR="00EC3B93" w:rsidRDefault="0083092B" w:rsidP="00DD3E96">
      <w:pPr>
        <w:numPr>
          <w:ilvl w:val="0"/>
          <w:numId w:val="14"/>
        </w:numPr>
        <w:ind w:left="567" w:hanging="567"/>
      </w:pPr>
      <w:bookmarkStart w:id="24" w:name="_Toc326762894"/>
      <w:bookmarkStart w:id="25" w:name="_Toc327349026"/>
      <w:r>
        <w:t xml:space="preserve">On 3 August 2011, the Commission made </w:t>
      </w:r>
      <w:r w:rsidR="005D6B10">
        <w:t>the</w:t>
      </w:r>
      <w:r>
        <w:t xml:space="preserve"> </w:t>
      </w:r>
      <w:r w:rsidR="005D6B10">
        <w:t xml:space="preserve">Northern Territory </w:t>
      </w:r>
      <w:r w:rsidR="001536C9">
        <w:t>Electricity</w:t>
      </w:r>
      <w:r>
        <w:t xml:space="preserve"> Retail Supply Code (the Code) in accordance with </w:t>
      </w:r>
      <w:r w:rsidR="00B34A64">
        <w:t>the Act</w:t>
      </w:r>
      <w:r>
        <w:t>.</w:t>
      </w:r>
      <w:r w:rsidR="00B34A64">
        <w:rPr>
          <w:rStyle w:val="FootnoteReference"/>
        </w:rPr>
        <w:footnoteReference w:id="2"/>
      </w:r>
      <w:r w:rsidR="001536C9">
        <w:t xml:space="preserve"> </w:t>
      </w:r>
      <w:r w:rsidR="00EC3B93">
        <w:t xml:space="preserve">The Code </w:t>
      </w:r>
      <w:r w:rsidR="00EA20C9">
        <w:t xml:space="preserve">prescribes </w:t>
      </w:r>
      <w:r w:rsidR="00EC3B93">
        <w:t>matters relating to:</w:t>
      </w:r>
      <w:bookmarkEnd w:id="21"/>
      <w:bookmarkEnd w:id="24"/>
      <w:bookmarkEnd w:id="25"/>
    </w:p>
    <w:p w:rsidR="00EC3B93" w:rsidRDefault="00EC3B93" w:rsidP="00247481">
      <w:pPr>
        <w:numPr>
          <w:ilvl w:val="0"/>
          <w:numId w:val="11"/>
        </w:numPr>
        <w:ind w:hanging="513"/>
      </w:pPr>
      <w:r>
        <w:t>arrangements between electricity businesses for the transfer of customers between retailers;</w:t>
      </w:r>
    </w:p>
    <w:p w:rsidR="00EC3B93" w:rsidRDefault="00EC3B93" w:rsidP="00247481">
      <w:pPr>
        <w:numPr>
          <w:ilvl w:val="0"/>
          <w:numId w:val="11"/>
        </w:numPr>
        <w:ind w:hanging="513"/>
      </w:pPr>
      <w:r>
        <w:t>arrangements between generators and retailers</w:t>
      </w:r>
      <w:r w:rsidR="00281FCB">
        <w:t>,</w:t>
      </w:r>
      <w:r>
        <w:t xml:space="preserve"> including credit support and billing;</w:t>
      </w:r>
    </w:p>
    <w:p w:rsidR="00EC3B93" w:rsidRDefault="00EC3B93" w:rsidP="00247481">
      <w:pPr>
        <w:numPr>
          <w:ilvl w:val="0"/>
          <w:numId w:val="11"/>
        </w:numPr>
        <w:ind w:hanging="513"/>
      </w:pPr>
      <w:r>
        <w:t>arrangements between electricity businesses for business</w:t>
      </w:r>
      <w:r w:rsidR="00DA10AA">
        <w:t>-</w:t>
      </w:r>
      <w:r>
        <w:t>to</w:t>
      </w:r>
      <w:r w:rsidR="00DA10AA">
        <w:t>-</w:t>
      </w:r>
      <w:r>
        <w:t>business interaction;</w:t>
      </w:r>
    </w:p>
    <w:p w:rsidR="00EC3B93" w:rsidRDefault="00EC3B93" w:rsidP="00247481">
      <w:pPr>
        <w:numPr>
          <w:ilvl w:val="0"/>
          <w:numId w:val="11"/>
        </w:numPr>
        <w:ind w:hanging="513"/>
      </w:pPr>
      <w:r>
        <w:t xml:space="preserve">arrangements for a </w:t>
      </w:r>
      <w:r w:rsidR="00281FCB">
        <w:t>R</w:t>
      </w:r>
      <w:r>
        <w:t xml:space="preserve">etailer of </w:t>
      </w:r>
      <w:r w:rsidR="00281FCB">
        <w:t>L</w:t>
      </w:r>
      <w:r>
        <w:t xml:space="preserve">ast </w:t>
      </w:r>
      <w:r w:rsidR="00281FCB">
        <w:t>R</w:t>
      </w:r>
      <w:r>
        <w:t>esort</w:t>
      </w:r>
      <w:r w:rsidR="00281FCB">
        <w:t xml:space="preserve"> (RoLR)</w:t>
      </w:r>
      <w:r>
        <w:t>; and</w:t>
      </w:r>
    </w:p>
    <w:p w:rsidR="00D85231" w:rsidRDefault="00EC3B93" w:rsidP="00247481">
      <w:pPr>
        <w:numPr>
          <w:ilvl w:val="0"/>
          <w:numId w:val="11"/>
        </w:numPr>
        <w:ind w:hanging="513"/>
      </w:pPr>
      <w:r>
        <w:t>arrangements for dispute resolution between electricity businesses.</w:t>
      </w:r>
      <w:r w:rsidR="00B34A64">
        <w:rPr>
          <w:rStyle w:val="FootnoteReference"/>
        </w:rPr>
        <w:footnoteReference w:id="3"/>
      </w:r>
    </w:p>
    <w:p w:rsidR="001874B9" w:rsidRDefault="006A3F09" w:rsidP="00DD3E96">
      <w:pPr>
        <w:numPr>
          <w:ilvl w:val="0"/>
          <w:numId w:val="14"/>
        </w:numPr>
        <w:ind w:left="567" w:hanging="567"/>
        <w:rPr>
          <w:rFonts w:cs="Arial"/>
          <w:szCs w:val="22"/>
        </w:rPr>
      </w:pPr>
      <w:bookmarkStart w:id="26" w:name="_Toc326315890"/>
      <w:bookmarkStart w:id="27" w:name="_Toc326762895"/>
      <w:bookmarkStart w:id="28" w:name="_Toc327349027"/>
      <w:r w:rsidRPr="00BA7886">
        <w:rPr>
          <w:szCs w:val="22"/>
        </w:rPr>
        <w:t>On</w:t>
      </w:r>
      <w:r w:rsidR="00BA7886" w:rsidRPr="00BA7886">
        <w:rPr>
          <w:szCs w:val="22"/>
        </w:rPr>
        <w:t xml:space="preserve"> 6 April 2016</w:t>
      </w:r>
      <w:r w:rsidR="00B000D5">
        <w:rPr>
          <w:szCs w:val="22"/>
        </w:rPr>
        <w:t>,</w:t>
      </w:r>
      <w:r w:rsidR="00BA7886" w:rsidRPr="00BA7886">
        <w:rPr>
          <w:szCs w:val="22"/>
        </w:rPr>
        <w:t xml:space="preserve"> Power and Water Corporation (PWC)</w:t>
      </w:r>
      <w:r w:rsidR="00B000D5">
        <w:rPr>
          <w:szCs w:val="22"/>
        </w:rPr>
        <w:t xml:space="preserve"> made</w:t>
      </w:r>
      <w:r w:rsidR="00D3077E">
        <w:rPr>
          <w:szCs w:val="22"/>
        </w:rPr>
        <w:t xml:space="preserve"> an</w:t>
      </w:r>
      <w:r w:rsidR="00B000D5">
        <w:rPr>
          <w:szCs w:val="22"/>
        </w:rPr>
        <w:t xml:space="preserve"> application for amendments t</w:t>
      </w:r>
      <w:r w:rsidR="007569C4" w:rsidRPr="00BA7886">
        <w:rPr>
          <w:szCs w:val="22"/>
        </w:rPr>
        <w:t>o</w:t>
      </w:r>
      <w:r w:rsidR="00C777B6" w:rsidRPr="00BA7886">
        <w:rPr>
          <w:szCs w:val="22"/>
        </w:rPr>
        <w:t xml:space="preserve"> part</w:t>
      </w:r>
      <w:r w:rsidR="005B6974" w:rsidRPr="00BA7886">
        <w:rPr>
          <w:szCs w:val="22"/>
        </w:rPr>
        <w:t>s</w:t>
      </w:r>
      <w:r w:rsidR="00C777B6" w:rsidRPr="00BA7886">
        <w:rPr>
          <w:szCs w:val="22"/>
        </w:rPr>
        <w:t xml:space="preserve"> of the Code.</w:t>
      </w:r>
      <w:r w:rsidR="00DF580B" w:rsidRPr="00BA7886">
        <w:rPr>
          <w:rStyle w:val="FootnoteReference"/>
          <w:szCs w:val="22"/>
        </w:rPr>
        <w:footnoteReference w:id="4"/>
      </w:r>
      <w:r w:rsidR="00C777B6" w:rsidRPr="00BA7886">
        <w:rPr>
          <w:szCs w:val="22"/>
        </w:rPr>
        <w:t xml:space="preserve"> </w:t>
      </w:r>
      <w:r w:rsidR="00F30805">
        <w:rPr>
          <w:szCs w:val="22"/>
        </w:rPr>
        <w:t>PWC</w:t>
      </w:r>
      <w:r w:rsidR="00B000D5">
        <w:rPr>
          <w:szCs w:val="22"/>
        </w:rPr>
        <w:t xml:space="preserve"> advised its request for amendments was i</w:t>
      </w:r>
      <w:r w:rsidR="00F30805">
        <w:rPr>
          <w:szCs w:val="22"/>
        </w:rPr>
        <w:t>n light of</w:t>
      </w:r>
      <w:r w:rsidR="00137A6F">
        <w:rPr>
          <w:rFonts w:cs="Arial"/>
          <w:szCs w:val="22"/>
        </w:rPr>
        <w:t xml:space="preserve"> substantial reform</w:t>
      </w:r>
      <w:r w:rsidR="00BA7886" w:rsidRPr="00BA7886">
        <w:rPr>
          <w:rFonts w:cs="Arial"/>
          <w:szCs w:val="22"/>
        </w:rPr>
        <w:t xml:space="preserve"> to the </w:t>
      </w:r>
      <w:r w:rsidR="00DA10AA">
        <w:rPr>
          <w:rFonts w:cs="Arial"/>
          <w:szCs w:val="22"/>
        </w:rPr>
        <w:t>Northern Territory</w:t>
      </w:r>
      <w:r w:rsidR="00DA10AA" w:rsidRPr="00BA7886">
        <w:rPr>
          <w:rFonts w:cs="Arial"/>
          <w:szCs w:val="22"/>
        </w:rPr>
        <w:t xml:space="preserve"> </w:t>
      </w:r>
      <w:r w:rsidR="00BA7886" w:rsidRPr="00BA7886">
        <w:rPr>
          <w:rFonts w:cs="Arial"/>
          <w:szCs w:val="22"/>
        </w:rPr>
        <w:t xml:space="preserve">electricity sector, including the introduction of a wholesale market, structural separation of </w:t>
      </w:r>
      <w:r w:rsidR="00B000D5">
        <w:rPr>
          <w:rFonts w:cs="Arial"/>
          <w:szCs w:val="22"/>
        </w:rPr>
        <w:t>PWC</w:t>
      </w:r>
      <w:r w:rsidR="00BA7886" w:rsidRPr="00BA7886">
        <w:rPr>
          <w:rFonts w:cs="Arial"/>
          <w:szCs w:val="22"/>
        </w:rPr>
        <w:t xml:space="preserve"> and the entrance of new retailers. </w:t>
      </w:r>
    </w:p>
    <w:p w:rsidR="00D3077E" w:rsidRPr="00D3077E" w:rsidRDefault="00D3077E" w:rsidP="00DD3E96">
      <w:pPr>
        <w:numPr>
          <w:ilvl w:val="0"/>
          <w:numId w:val="14"/>
        </w:numPr>
        <w:ind w:left="567" w:hanging="567"/>
      </w:pPr>
      <w:r>
        <w:t>PWC advised it</w:t>
      </w:r>
      <w:r w:rsidR="00DA10AA">
        <w:t>s application</w:t>
      </w:r>
      <w:r>
        <w:t xml:space="preserve"> contained confidential information but a public version would be provided if requested. The Commission sought a public version suitable for consultation. PWC provided a public version of its application for amendments on 11</w:t>
      </w:r>
      <w:r w:rsidR="00281FCB">
        <w:t> </w:t>
      </w:r>
      <w:r>
        <w:t xml:space="preserve">May 2016. </w:t>
      </w:r>
    </w:p>
    <w:p w:rsidR="00546CB2" w:rsidRDefault="00CB04D7" w:rsidP="00DD3E96">
      <w:pPr>
        <w:numPr>
          <w:ilvl w:val="0"/>
          <w:numId w:val="14"/>
        </w:numPr>
        <w:ind w:left="567" w:hanging="567"/>
      </w:pPr>
      <w:bookmarkStart w:id="29" w:name="_Toc326762919"/>
      <w:bookmarkStart w:id="30" w:name="_Toc327349053"/>
      <w:bookmarkStart w:id="31" w:name="_Toc326315891"/>
      <w:bookmarkStart w:id="32" w:name="_Toc326762896"/>
      <w:bookmarkStart w:id="33" w:name="_Toc327349028"/>
      <w:r>
        <w:t>PWC note</w:t>
      </w:r>
      <w:r w:rsidR="00B000D5">
        <w:t>d</w:t>
      </w:r>
      <w:r>
        <w:t xml:space="preserve"> </w:t>
      </w:r>
      <w:r w:rsidR="00D3077E">
        <w:t>its</w:t>
      </w:r>
      <w:r w:rsidRPr="00EB6A2F">
        <w:t xml:space="preserve"> </w:t>
      </w:r>
      <w:r w:rsidR="00B000D5">
        <w:t xml:space="preserve">application </w:t>
      </w:r>
      <w:r w:rsidRPr="00EB6A2F">
        <w:t xml:space="preserve">does not address all amendments needed and further changes </w:t>
      </w:r>
      <w:r w:rsidR="00B000D5">
        <w:t xml:space="preserve">may </w:t>
      </w:r>
      <w:r w:rsidRPr="00EB6A2F">
        <w:t>be required</w:t>
      </w:r>
      <w:r w:rsidR="00DA10AA">
        <w:t>.</w:t>
      </w:r>
      <w:r w:rsidRPr="00EB6A2F">
        <w:t xml:space="preserve"> </w:t>
      </w:r>
      <w:r w:rsidR="00DA10AA">
        <w:t>H</w:t>
      </w:r>
      <w:r w:rsidRPr="00EB6A2F">
        <w:t>owever</w:t>
      </w:r>
      <w:r w:rsidR="00DA10AA">
        <w:t>,</w:t>
      </w:r>
      <w:r w:rsidRPr="00EB6A2F">
        <w:t xml:space="preserve"> issues outlined in this submission</w:t>
      </w:r>
      <w:r w:rsidR="00DA10AA">
        <w:t xml:space="preserve"> need to be </w:t>
      </w:r>
      <w:r w:rsidRPr="00EB6A2F">
        <w:t>address</w:t>
      </w:r>
      <w:r w:rsidR="00DA10AA">
        <w:t>ed</w:t>
      </w:r>
      <w:r w:rsidRPr="00EB6A2F">
        <w:t xml:space="preserve"> in the short term and cannot be delayed until the completion of the</w:t>
      </w:r>
      <w:r w:rsidR="00B000D5">
        <w:t xml:space="preserve"> electricity</w:t>
      </w:r>
      <w:r w:rsidRPr="00EB6A2F">
        <w:t xml:space="preserve"> reform program.</w:t>
      </w:r>
      <w:r w:rsidR="00546CB2">
        <w:t xml:space="preserve"> </w:t>
      </w:r>
    </w:p>
    <w:p w:rsidR="00A95D91" w:rsidRPr="009B3114" w:rsidRDefault="00546CB2" w:rsidP="00DD3E96">
      <w:pPr>
        <w:numPr>
          <w:ilvl w:val="0"/>
          <w:numId w:val="14"/>
        </w:numPr>
        <w:ind w:left="567" w:hanging="567"/>
      </w:pPr>
      <w:r w:rsidRPr="009B3114">
        <w:lastRenderedPageBreak/>
        <w:t xml:space="preserve">Where </w:t>
      </w:r>
      <w:r w:rsidR="00A95D91" w:rsidRPr="009B3114">
        <w:t>relevant</w:t>
      </w:r>
      <w:r w:rsidRPr="009B3114">
        <w:t>, the Commission</w:t>
      </w:r>
      <w:r w:rsidR="00A95D91" w:rsidRPr="009B3114">
        <w:t xml:space="preserve"> has identified issues raised in previous consultation on the Code and the Commission’s consideration</w:t>
      </w:r>
      <w:r w:rsidR="002D402D">
        <w:t>s</w:t>
      </w:r>
      <w:r w:rsidR="00A95D91" w:rsidRPr="009B3114">
        <w:t xml:space="preserve"> at the time. </w:t>
      </w:r>
    </w:p>
    <w:p w:rsidR="00CB04D7" w:rsidRPr="009B3114" w:rsidRDefault="00A95D91" w:rsidP="00DD3E96">
      <w:pPr>
        <w:numPr>
          <w:ilvl w:val="0"/>
          <w:numId w:val="14"/>
        </w:numPr>
        <w:ind w:left="567" w:hanging="567"/>
      </w:pPr>
      <w:r w:rsidRPr="009B3114">
        <w:t>Where relevant</w:t>
      </w:r>
      <w:r w:rsidR="00944146">
        <w:t>,</w:t>
      </w:r>
      <w:r w:rsidRPr="009B3114">
        <w:t xml:space="preserve"> the Commission has identified where amendments are </w:t>
      </w:r>
      <w:r w:rsidR="00546CB2" w:rsidRPr="009B3114">
        <w:t xml:space="preserve">contingent on other developments in the wholesale market and the Government’s electricity reform program. </w:t>
      </w:r>
    </w:p>
    <w:p w:rsidR="001874B9" w:rsidRPr="00783AD3" w:rsidRDefault="00B45F0C" w:rsidP="00DD3E96">
      <w:pPr>
        <w:numPr>
          <w:ilvl w:val="0"/>
          <w:numId w:val="14"/>
        </w:numPr>
        <w:ind w:left="567" w:hanging="567"/>
        <w:rPr>
          <w:szCs w:val="22"/>
        </w:rPr>
      </w:pPr>
      <w:r>
        <w:rPr>
          <w:szCs w:val="22"/>
        </w:rPr>
        <w:t>PWC propose</w:t>
      </w:r>
      <w:r w:rsidR="00DA10AA">
        <w:rPr>
          <w:szCs w:val="22"/>
        </w:rPr>
        <w:t>s</w:t>
      </w:r>
      <w:r w:rsidR="001874B9" w:rsidRPr="00783AD3">
        <w:rPr>
          <w:szCs w:val="22"/>
        </w:rPr>
        <w:t xml:space="preserve"> </w:t>
      </w:r>
      <w:r w:rsidR="00DA10AA">
        <w:rPr>
          <w:szCs w:val="22"/>
        </w:rPr>
        <w:t>nine</w:t>
      </w:r>
      <w:r w:rsidR="001874B9" w:rsidRPr="00783AD3">
        <w:rPr>
          <w:szCs w:val="22"/>
        </w:rPr>
        <w:t xml:space="preserve"> new amendments to the Code:</w:t>
      </w:r>
      <w:bookmarkEnd w:id="29"/>
      <w:bookmarkEnd w:id="30"/>
    </w:p>
    <w:p w:rsidR="001874B9" w:rsidRPr="00F66183" w:rsidRDefault="00261AF8" w:rsidP="00DD3E96">
      <w:pPr>
        <w:numPr>
          <w:ilvl w:val="0"/>
          <w:numId w:val="13"/>
        </w:numPr>
        <w:rPr>
          <w:szCs w:val="22"/>
        </w:rPr>
      </w:pPr>
      <w:r>
        <w:rPr>
          <w:szCs w:val="22"/>
        </w:rPr>
        <w:t>s</w:t>
      </w:r>
      <w:r w:rsidR="001874B9" w:rsidRPr="00F66183">
        <w:rPr>
          <w:szCs w:val="22"/>
        </w:rPr>
        <w:t>eparate the role</w:t>
      </w:r>
      <w:r w:rsidR="001874B9">
        <w:rPr>
          <w:szCs w:val="22"/>
        </w:rPr>
        <w:t xml:space="preserve"> of a</w:t>
      </w:r>
      <w:r w:rsidR="001874B9" w:rsidRPr="00F66183">
        <w:rPr>
          <w:szCs w:val="22"/>
        </w:rPr>
        <w:t xml:space="preserve"> Market Operator from the </w:t>
      </w:r>
      <w:r w:rsidR="00D904E8" w:rsidRPr="002D402D">
        <w:rPr>
          <w:szCs w:val="22"/>
        </w:rPr>
        <w:t>n</w:t>
      </w:r>
      <w:r w:rsidR="00BE1CCE" w:rsidRPr="002D402D">
        <w:rPr>
          <w:szCs w:val="22"/>
        </w:rPr>
        <w:t xml:space="preserve">etwork </w:t>
      </w:r>
      <w:r w:rsidR="00D904E8" w:rsidRPr="002D402D">
        <w:rPr>
          <w:szCs w:val="22"/>
        </w:rPr>
        <w:t>s</w:t>
      </w:r>
      <w:r w:rsidR="00BE1CCE" w:rsidRPr="002D402D">
        <w:rPr>
          <w:szCs w:val="22"/>
        </w:rPr>
        <w:t xml:space="preserve">ervice </w:t>
      </w:r>
      <w:r w:rsidR="00D904E8" w:rsidRPr="002D402D">
        <w:rPr>
          <w:szCs w:val="22"/>
        </w:rPr>
        <w:t>p</w:t>
      </w:r>
      <w:r w:rsidR="00BE1CCE" w:rsidRPr="002D402D">
        <w:rPr>
          <w:szCs w:val="22"/>
        </w:rPr>
        <w:t>rovider</w:t>
      </w:r>
      <w:r w:rsidR="00925FD4" w:rsidRPr="002D402D">
        <w:rPr>
          <w:szCs w:val="22"/>
        </w:rPr>
        <w:t>;</w:t>
      </w:r>
    </w:p>
    <w:p w:rsidR="001874B9" w:rsidRPr="00F66183" w:rsidRDefault="00261AF8" w:rsidP="00DD3E96">
      <w:pPr>
        <w:numPr>
          <w:ilvl w:val="0"/>
          <w:numId w:val="13"/>
        </w:numPr>
        <w:rPr>
          <w:szCs w:val="22"/>
        </w:rPr>
      </w:pPr>
      <w:r>
        <w:rPr>
          <w:rFonts w:cs="Arial"/>
          <w:szCs w:val="22"/>
        </w:rPr>
        <w:t>o</w:t>
      </w:r>
      <w:r w:rsidR="001874B9" w:rsidRPr="00F66183">
        <w:rPr>
          <w:rFonts w:cs="Arial"/>
          <w:szCs w:val="22"/>
        </w:rPr>
        <w:t>utlin</w:t>
      </w:r>
      <w:r w:rsidR="00B63BB2">
        <w:rPr>
          <w:rFonts w:cs="Arial"/>
          <w:szCs w:val="22"/>
        </w:rPr>
        <w:t>e</w:t>
      </w:r>
      <w:r w:rsidR="001874B9" w:rsidRPr="00F66183">
        <w:rPr>
          <w:rFonts w:cs="Arial"/>
          <w:szCs w:val="22"/>
        </w:rPr>
        <w:t xml:space="preserve"> the Market Operator’s right to be incorporated </w:t>
      </w:r>
      <w:r w:rsidR="001874B9">
        <w:rPr>
          <w:rFonts w:cs="Arial"/>
          <w:szCs w:val="22"/>
        </w:rPr>
        <w:t>in the Code</w:t>
      </w:r>
      <w:r w:rsidR="00925FD4">
        <w:rPr>
          <w:rFonts w:cs="Arial"/>
          <w:szCs w:val="22"/>
        </w:rPr>
        <w:t>;</w:t>
      </w:r>
    </w:p>
    <w:p w:rsidR="001874B9" w:rsidRPr="00F66183" w:rsidRDefault="00261AF8" w:rsidP="00DD3E96">
      <w:pPr>
        <w:numPr>
          <w:ilvl w:val="0"/>
          <w:numId w:val="13"/>
        </w:numPr>
        <w:rPr>
          <w:szCs w:val="22"/>
        </w:rPr>
      </w:pPr>
      <w:r>
        <w:rPr>
          <w:szCs w:val="22"/>
        </w:rPr>
        <w:t>i</w:t>
      </w:r>
      <w:r w:rsidR="00B63BB2">
        <w:rPr>
          <w:szCs w:val="22"/>
        </w:rPr>
        <w:t xml:space="preserve">mplement </w:t>
      </w:r>
      <w:r>
        <w:rPr>
          <w:szCs w:val="22"/>
        </w:rPr>
        <w:t xml:space="preserve">a </w:t>
      </w:r>
      <w:r w:rsidR="001874B9" w:rsidRPr="00F66183">
        <w:rPr>
          <w:szCs w:val="22"/>
        </w:rPr>
        <w:t xml:space="preserve">Local Retailer definition for </w:t>
      </w:r>
      <w:r w:rsidR="001874B9" w:rsidRPr="00F66183">
        <w:rPr>
          <w:rFonts w:cs="Arial"/>
          <w:szCs w:val="22"/>
        </w:rPr>
        <w:t>vacant installations and orphaned customer situations</w:t>
      </w:r>
      <w:r w:rsidR="00925FD4">
        <w:rPr>
          <w:rFonts w:cs="Arial"/>
          <w:szCs w:val="22"/>
        </w:rPr>
        <w:t>;</w:t>
      </w:r>
    </w:p>
    <w:p w:rsidR="001874B9" w:rsidRPr="00F66183" w:rsidRDefault="00261AF8" w:rsidP="00DD3E96">
      <w:pPr>
        <w:numPr>
          <w:ilvl w:val="0"/>
          <w:numId w:val="13"/>
        </w:numPr>
        <w:rPr>
          <w:szCs w:val="22"/>
        </w:rPr>
      </w:pPr>
      <w:r>
        <w:rPr>
          <w:rFonts w:cs="Arial"/>
          <w:szCs w:val="22"/>
        </w:rPr>
        <w:t>i</w:t>
      </w:r>
      <w:r w:rsidR="00B63BB2">
        <w:rPr>
          <w:rFonts w:cs="Arial"/>
          <w:szCs w:val="22"/>
        </w:rPr>
        <w:t>ntroduce</w:t>
      </w:r>
      <w:r>
        <w:rPr>
          <w:rFonts w:cs="Arial"/>
          <w:szCs w:val="22"/>
        </w:rPr>
        <w:t xml:space="preserve"> a</w:t>
      </w:r>
      <w:r w:rsidR="00B63BB2">
        <w:rPr>
          <w:rFonts w:cs="Arial"/>
          <w:szCs w:val="22"/>
        </w:rPr>
        <w:t xml:space="preserve"> f</w:t>
      </w:r>
      <w:r w:rsidR="001874B9" w:rsidRPr="00F66183">
        <w:rPr>
          <w:rFonts w:cs="Arial"/>
          <w:szCs w:val="22"/>
        </w:rPr>
        <w:t>ormal information sharing arrangement</w:t>
      </w:r>
      <w:r w:rsidR="00C25B9F">
        <w:rPr>
          <w:rFonts w:cs="Arial"/>
          <w:szCs w:val="22"/>
        </w:rPr>
        <w:t>;</w:t>
      </w:r>
    </w:p>
    <w:p w:rsidR="001874B9" w:rsidRPr="00F66183" w:rsidRDefault="00C25B9F" w:rsidP="00DD3E96">
      <w:pPr>
        <w:numPr>
          <w:ilvl w:val="0"/>
          <w:numId w:val="13"/>
        </w:numPr>
        <w:rPr>
          <w:szCs w:val="22"/>
        </w:rPr>
      </w:pPr>
      <w:r>
        <w:rPr>
          <w:szCs w:val="22"/>
        </w:rPr>
        <w:t>introduce</w:t>
      </w:r>
      <w:r w:rsidR="00EB23C2">
        <w:rPr>
          <w:szCs w:val="22"/>
        </w:rPr>
        <w:t xml:space="preserve"> rules and process </w:t>
      </w:r>
      <w:r w:rsidR="00FF2973">
        <w:rPr>
          <w:szCs w:val="22"/>
        </w:rPr>
        <w:t>of notifying retailers</w:t>
      </w:r>
      <w:r w:rsidR="001874B9" w:rsidRPr="00F66183">
        <w:rPr>
          <w:szCs w:val="22"/>
        </w:rPr>
        <w:t xml:space="preserve"> of greenfield sites</w:t>
      </w:r>
      <w:r w:rsidR="00925FD4">
        <w:rPr>
          <w:szCs w:val="22"/>
        </w:rPr>
        <w:t>;</w:t>
      </w:r>
    </w:p>
    <w:p w:rsidR="001874B9" w:rsidRPr="00F66183" w:rsidRDefault="00261AF8" w:rsidP="00DD3E96">
      <w:pPr>
        <w:numPr>
          <w:ilvl w:val="0"/>
          <w:numId w:val="13"/>
        </w:numPr>
        <w:rPr>
          <w:szCs w:val="22"/>
        </w:rPr>
      </w:pPr>
      <w:r>
        <w:rPr>
          <w:rFonts w:cs="Arial"/>
          <w:szCs w:val="22"/>
        </w:rPr>
        <w:t>i</w:t>
      </w:r>
      <w:r w:rsidR="00B63BB2">
        <w:rPr>
          <w:rFonts w:cs="Arial"/>
          <w:szCs w:val="22"/>
        </w:rPr>
        <w:t>nclude r</w:t>
      </w:r>
      <w:r w:rsidR="001874B9">
        <w:rPr>
          <w:rFonts w:cs="Arial"/>
          <w:szCs w:val="22"/>
        </w:rPr>
        <w:t>equirement</w:t>
      </w:r>
      <w:r w:rsidR="000E5A14">
        <w:rPr>
          <w:rFonts w:cs="Arial"/>
          <w:szCs w:val="22"/>
        </w:rPr>
        <w:t>s</w:t>
      </w:r>
      <w:r w:rsidR="001874B9">
        <w:rPr>
          <w:rFonts w:cs="Arial"/>
          <w:szCs w:val="22"/>
        </w:rPr>
        <w:t xml:space="preserve"> for remotely communications</w:t>
      </w:r>
      <w:r>
        <w:rPr>
          <w:rFonts w:cs="Arial"/>
          <w:szCs w:val="22"/>
        </w:rPr>
        <w:t>-</w:t>
      </w:r>
      <w:r w:rsidR="001874B9">
        <w:rPr>
          <w:rFonts w:cs="Arial"/>
          <w:szCs w:val="22"/>
        </w:rPr>
        <w:t>enabled interval meter</w:t>
      </w:r>
      <w:r w:rsidR="00B63BB2">
        <w:rPr>
          <w:rFonts w:cs="Arial"/>
          <w:szCs w:val="22"/>
        </w:rPr>
        <w:t>s</w:t>
      </w:r>
      <w:r w:rsidR="001874B9">
        <w:rPr>
          <w:rFonts w:cs="Arial"/>
          <w:szCs w:val="22"/>
        </w:rPr>
        <w:t xml:space="preserve"> to transfer customer</w:t>
      </w:r>
      <w:r w:rsidR="00B63BB2">
        <w:rPr>
          <w:rFonts w:cs="Arial"/>
          <w:szCs w:val="22"/>
        </w:rPr>
        <w:t>s</w:t>
      </w:r>
      <w:r w:rsidR="00925FD4">
        <w:rPr>
          <w:rFonts w:cs="Arial"/>
          <w:szCs w:val="22"/>
        </w:rPr>
        <w:t>;</w:t>
      </w:r>
    </w:p>
    <w:p w:rsidR="001874B9" w:rsidRPr="00F66183" w:rsidRDefault="00261AF8" w:rsidP="00DD3E96">
      <w:pPr>
        <w:numPr>
          <w:ilvl w:val="0"/>
          <w:numId w:val="13"/>
        </w:numPr>
        <w:rPr>
          <w:szCs w:val="22"/>
        </w:rPr>
      </w:pPr>
      <w:r>
        <w:rPr>
          <w:rFonts w:cs="Arial"/>
          <w:szCs w:val="22"/>
        </w:rPr>
        <w:t>i</w:t>
      </w:r>
      <w:r w:rsidR="00B63BB2">
        <w:rPr>
          <w:rFonts w:cs="Arial"/>
          <w:szCs w:val="22"/>
        </w:rPr>
        <w:t>nclude r</w:t>
      </w:r>
      <w:r w:rsidR="001874B9">
        <w:rPr>
          <w:rFonts w:cs="Arial"/>
          <w:szCs w:val="22"/>
        </w:rPr>
        <w:t>eference to the National Meter Identifier</w:t>
      </w:r>
      <w:r w:rsidR="001874B9" w:rsidRPr="00D30E2E">
        <w:rPr>
          <w:rFonts w:cs="Arial"/>
          <w:szCs w:val="22"/>
        </w:rPr>
        <w:t xml:space="preserve"> Allocation Procedure</w:t>
      </w:r>
      <w:r w:rsidR="00925FD4">
        <w:rPr>
          <w:rFonts w:cs="Arial"/>
          <w:szCs w:val="22"/>
        </w:rPr>
        <w:t>;</w:t>
      </w:r>
    </w:p>
    <w:p w:rsidR="00261AF8" w:rsidRDefault="00261AF8" w:rsidP="00DD3E96">
      <w:pPr>
        <w:numPr>
          <w:ilvl w:val="0"/>
          <w:numId w:val="13"/>
        </w:numPr>
        <w:rPr>
          <w:szCs w:val="22"/>
        </w:rPr>
      </w:pPr>
      <w:r>
        <w:rPr>
          <w:szCs w:val="22"/>
        </w:rPr>
        <w:t>d</w:t>
      </w:r>
      <w:r w:rsidR="00B63BB2">
        <w:rPr>
          <w:szCs w:val="22"/>
        </w:rPr>
        <w:t>elete</w:t>
      </w:r>
      <w:r w:rsidR="00B63BB2" w:rsidRPr="00F66183">
        <w:rPr>
          <w:szCs w:val="22"/>
        </w:rPr>
        <w:t xml:space="preserve"> </w:t>
      </w:r>
      <w:r>
        <w:rPr>
          <w:szCs w:val="22"/>
        </w:rPr>
        <w:t xml:space="preserve">the </w:t>
      </w:r>
      <w:r w:rsidR="001874B9" w:rsidRPr="00F66183">
        <w:rPr>
          <w:szCs w:val="22"/>
        </w:rPr>
        <w:t xml:space="preserve">requirement for the Commission’s approval of charges; </w:t>
      </w:r>
    </w:p>
    <w:p w:rsidR="001874B9" w:rsidRPr="00F66183" w:rsidRDefault="00261AF8" w:rsidP="00DD3E96">
      <w:pPr>
        <w:numPr>
          <w:ilvl w:val="0"/>
          <w:numId w:val="13"/>
        </w:numPr>
        <w:rPr>
          <w:szCs w:val="22"/>
        </w:rPr>
      </w:pPr>
      <w:r>
        <w:rPr>
          <w:rFonts w:cs="Arial"/>
          <w:szCs w:val="22"/>
        </w:rPr>
        <w:t xml:space="preserve">remove </w:t>
      </w:r>
      <w:r w:rsidR="001874B9" w:rsidRPr="00F66183">
        <w:rPr>
          <w:rFonts w:cs="Arial"/>
          <w:szCs w:val="22"/>
        </w:rPr>
        <w:t>clauses 6.3.7, 7.1.5 and 7.1.6 of the Code</w:t>
      </w:r>
      <w:r w:rsidR="00925FD4">
        <w:rPr>
          <w:rFonts w:cs="Arial"/>
          <w:szCs w:val="22"/>
        </w:rPr>
        <w:t>; and</w:t>
      </w:r>
      <w:r w:rsidR="001874B9" w:rsidRPr="00F66183">
        <w:rPr>
          <w:rFonts w:cs="Arial"/>
          <w:szCs w:val="22"/>
        </w:rPr>
        <w:t xml:space="preserve"> </w:t>
      </w:r>
    </w:p>
    <w:p w:rsidR="001874B9" w:rsidRPr="00F66183" w:rsidRDefault="00261AF8" w:rsidP="00DD3E96">
      <w:pPr>
        <w:numPr>
          <w:ilvl w:val="0"/>
          <w:numId w:val="13"/>
        </w:numPr>
        <w:rPr>
          <w:szCs w:val="22"/>
        </w:rPr>
      </w:pPr>
      <w:r>
        <w:rPr>
          <w:szCs w:val="22"/>
        </w:rPr>
        <w:t>r</w:t>
      </w:r>
      <w:r w:rsidR="00B63BB2">
        <w:rPr>
          <w:szCs w:val="22"/>
        </w:rPr>
        <w:t>educe c</w:t>
      </w:r>
      <w:r w:rsidR="001874B9" w:rsidRPr="00F66183">
        <w:rPr>
          <w:szCs w:val="22"/>
        </w:rPr>
        <w:t xml:space="preserve">ustomer transfer notification timeframes to </w:t>
      </w:r>
      <w:r w:rsidR="00B63BB2">
        <w:rPr>
          <w:szCs w:val="22"/>
        </w:rPr>
        <w:t>five</w:t>
      </w:r>
      <w:r w:rsidR="00B63BB2" w:rsidRPr="00F66183">
        <w:rPr>
          <w:szCs w:val="22"/>
        </w:rPr>
        <w:t xml:space="preserve"> </w:t>
      </w:r>
      <w:r w:rsidR="001874B9" w:rsidRPr="00F66183">
        <w:rPr>
          <w:szCs w:val="22"/>
        </w:rPr>
        <w:t>business days</w:t>
      </w:r>
      <w:r>
        <w:rPr>
          <w:szCs w:val="22"/>
        </w:rPr>
        <w:t>.</w:t>
      </w:r>
    </w:p>
    <w:p w:rsidR="00246594" w:rsidRDefault="00A9660C" w:rsidP="00DD3E96">
      <w:pPr>
        <w:numPr>
          <w:ilvl w:val="0"/>
          <w:numId w:val="14"/>
        </w:numPr>
        <w:ind w:left="567" w:hanging="567"/>
      </w:pPr>
      <w:r>
        <w:t>Under the Act, the Commission is required to keep the contents and operation of codes and rules under review, with a view to ensuring their continued relevance and effectiveness.</w:t>
      </w:r>
      <w:r>
        <w:rPr>
          <w:rStyle w:val="FootnoteReference"/>
        </w:rPr>
        <w:footnoteReference w:id="5"/>
      </w:r>
      <w:bookmarkStart w:id="34" w:name="_Toc326315892"/>
      <w:bookmarkStart w:id="35" w:name="_Toc326762897"/>
      <w:bookmarkStart w:id="36" w:name="_Toc327349029"/>
      <w:bookmarkEnd w:id="31"/>
      <w:bookmarkEnd w:id="32"/>
      <w:bookmarkEnd w:id="33"/>
      <w:r>
        <w:t xml:space="preserve"> </w:t>
      </w:r>
      <w:r w:rsidR="00246594">
        <w:t xml:space="preserve">The Commission must also consult with industry participants and interested stakeholders on any proposed changes to the Code. </w:t>
      </w:r>
    </w:p>
    <w:p w:rsidR="00A9660C" w:rsidRPr="004E04AA" w:rsidRDefault="00A9660C" w:rsidP="00DD3E96">
      <w:pPr>
        <w:numPr>
          <w:ilvl w:val="0"/>
          <w:numId w:val="14"/>
        </w:numPr>
        <w:ind w:left="567" w:hanging="567"/>
      </w:pPr>
      <w:r>
        <w:t>To ensure the Code remains relevant and effective, the Commission considers</w:t>
      </w:r>
      <w:r w:rsidR="008B30BD">
        <w:t>,</w:t>
      </w:r>
      <w:r>
        <w:t xml:space="preserve"> </w:t>
      </w:r>
      <w:bookmarkEnd w:id="34"/>
      <w:bookmarkEnd w:id="35"/>
      <w:bookmarkEnd w:id="36"/>
      <w:r w:rsidR="008B30BD">
        <w:t xml:space="preserve">at its own initiative, </w:t>
      </w:r>
      <w:r w:rsidR="00246594">
        <w:t>matters raised by industry participants and areas where it considers the Code requires updating</w:t>
      </w:r>
      <w:r w:rsidR="008B30BD">
        <w:t>.</w:t>
      </w:r>
      <w:r w:rsidR="00246594">
        <w:t xml:space="preserve"> </w:t>
      </w:r>
    </w:p>
    <w:p w:rsidR="004E04AA" w:rsidRDefault="007F766C" w:rsidP="00DD3E96">
      <w:pPr>
        <w:numPr>
          <w:ilvl w:val="0"/>
          <w:numId w:val="14"/>
        </w:numPr>
        <w:ind w:left="567" w:hanging="567"/>
        <w:rPr>
          <w:rFonts w:cs="Arial"/>
          <w:szCs w:val="22"/>
        </w:rPr>
      </w:pPr>
      <w:r>
        <w:rPr>
          <w:rFonts w:cs="Arial"/>
          <w:szCs w:val="22"/>
        </w:rPr>
        <w:t>The</w:t>
      </w:r>
      <w:r w:rsidR="00BA7886" w:rsidRPr="00BA7886">
        <w:rPr>
          <w:rFonts w:cs="Arial"/>
          <w:szCs w:val="22"/>
        </w:rPr>
        <w:t xml:space="preserve"> key issues </w:t>
      </w:r>
      <w:r w:rsidR="00B63BB2">
        <w:rPr>
          <w:rFonts w:cs="Arial"/>
          <w:szCs w:val="22"/>
        </w:rPr>
        <w:t xml:space="preserve">raised by </w:t>
      </w:r>
      <w:r w:rsidR="00BA7886" w:rsidRPr="00BA7886">
        <w:rPr>
          <w:rFonts w:cs="Arial"/>
          <w:szCs w:val="22"/>
        </w:rPr>
        <w:t xml:space="preserve">PWC </w:t>
      </w:r>
      <w:r>
        <w:rPr>
          <w:rFonts w:cs="Arial"/>
          <w:szCs w:val="22"/>
        </w:rPr>
        <w:t xml:space="preserve">are </w:t>
      </w:r>
      <w:r w:rsidR="00B63BB2">
        <w:rPr>
          <w:rFonts w:cs="Arial"/>
          <w:szCs w:val="22"/>
        </w:rPr>
        <w:t xml:space="preserve">listed </w:t>
      </w:r>
      <w:r w:rsidR="00261AF8">
        <w:rPr>
          <w:rFonts w:cs="Arial"/>
          <w:szCs w:val="22"/>
        </w:rPr>
        <w:t>in Tabe 1.1</w:t>
      </w:r>
      <w:r w:rsidR="00B63BB2">
        <w:rPr>
          <w:rFonts w:cs="Arial"/>
          <w:szCs w:val="22"/>
        </w:rPr>
        <w:t>.</w:t>
      </w:r>
      <w:r>
        <w:rPr>
          <w:rFonts w:cs="Arial"/>
          <w:szCs w:val="22"/>
        </w:rPr>
        <w:t xml:space="preserve"> </w:t>
      </w:r>
      <w:r w:rsidR="00B63BB2">
        <w:rPr>
          <w:rFonts w:cs="Arial"/>
          <w:szCs w:val="22"/>
        </w:rPr>
        <w:t>T</w:t>
      </w:r>
      <w:r>
        <w:rPr>
          <w:rFonts w:cs="Arial"/>
          <w:szCs w:val="22"/>
        </w:rPr>
        <w:t>he Commission has categori</w:t>
      </w:r>
      <w:r w:rsidR="00040555">
        <w:rPr>
          <w:rFonts w:cs="Arial"/>
          <w:szCs w:val="22"/>
        </w:rPr>
        <w:t>s</w:t>
      </w:r>
      <w:r>
        <w:rPr>
          <w:rFonts w:cs="Arial"/>
          <w:szCs w:val="22"/>
        </w:rPr>
        <w:t xml:space="preserve">ed these for consultation and discussion </w:t>
      </w:r>
      <w:bookmarkEnd w:id="26"/>
      <w:r w:rsidR="00246594">
        <w:rPr>
          <w:rFonts w:cs="Arial"/>
          <w:szCs w:val="22"/>
        </w:rPr>
        <w:t xml:space="preserve">setting out </w:t>
      </w:r>
      <w:r w:rsidR="00AD4867">
        <w:rPr>
          <w:rFonts w:cs="Arial"/>
          <w:szCs w:val="22"/>
        </w:rPr>
        <w:t>key issues for consideration where appropriate</w:t>
      </w:r>
      <w:r w:rsidR="005837AB">
        <w:rPr>
          <w:rStyle w:val="FootnoteReference"/>
        </w:rPr>
        <w:footnoteReference w:id="6"/>
      </w:r>
      <w:bookmarkEnd w:id="27"/>
      <w:bookmarkEnd w:id="28"/>
      <w:r>
        <w:rPr>
          <w:rFonts w:cs="Arial"/>
          <w:szCs w:val="22"/>
        </w:rPr>
        <w:t xml:space="preserve">: </w:t>
      </w:r>
    </w:p>
    <w:p w:rsidR="00261AF8" w:rsidRDefault="00261AF8" w:rsidP="00B67063">
      <w:pPr>
        <w:pStyle w:val="UtilComTableFigureHeading"/>
      </w:pPr>
      <w:r>
        <w:t>Table 1.1</w:t>
      </w:r>
    </w:p>
    <w:tbl>
      <w:tblPr>
        <w:tblW w:w="8505" w:type="dxa"/>
        <w:tblInd w:w="567" w:type="dxa"/>
        <w:tblLook w:val="04A0" w:firstRow="1" w:lastRow="0" w:firstColumn="1" w:lastColumn="0" w:noHBand="0" w:noVBand="1"/>
      </w:tblPr>
      <w:tblGrid>
        <w:gridCol w:w="4249"/>
        <w:gridCol w:w="4256"/>
      </w:tblGrid>
      <w:tr w:rsidR="007F766C" w:rsidTr="00B67063">
        <w:trPr>
          <w:cantSplit/>
        </w:trPr>
        <w:tc>
          <w:tcPr>
            <w:tcW w:w="4644" w:type="dxa"/>
            <w:tcBorders>
              <w:bottom w:val="single" w:sz="4" w:space="0" w:color="auto"/>
            </w:tcBorders>
            <w:shd w:val="clear" w:color="auto" w:fill="auto"/>
            <w:tcMar>
              <w:top w:w="57" w:type="dxa"/>
              <w:left w:w="0" w:type="dxa"/>
              <w:bottom w:w="57" w:type="dxa"/>
              <w:right w:w="85" w:type="dxa"/>
            </w:tcMar>
          </w:tcPr>
          <w:p w:rsidR="007F766C" w:rsidRPr="008B30BD" w:rsidRDefault="007F766C" w:rsidP="00B67063">
            <w:pPr>
              <w:pStyle w:val="UtilComTableColumnHeading"/>
            </w:pPr>
            <w:r w:rsidRPr="008B30BD">
              <w:t xml:space="preserve">PWC </w:t>
            </w:r>
            <w:r w:rsidR="00040555" w:rsidRPr="008B30BD">
              <w:t>Application</w:t>
            </w:r>
          </w:p>
        </w:tc>
        <w:tc>
          <w:tcPr>
            <w:tcW w:w="4644" w:type="dxa"/>
            <w:tcBorders>
              <w:bottom w:val="single" w:sz="4" w:space="0" w:color="auto"/>
            </w:tcBorders>
            <w:shd w:val="clear" w:color="auto" w:fill="auto"/>
            <w:tcMar>
              <w:top w:w="57" w:type="dxa"/>
              <w:left w:w="0" w:type="dxa"/>
              <w:bottom w:w="57" w:type="dxa"/>
              <w:right w:w="85" w:type="dxa"/>
            </w:tcMar>
          </w:tcPr>
          <w:p w:rsidR="007F766C" w:rsidRPr="008B30BD" w:rsidRDefault="009B3114" w:rsidP="00B67063">
            <w:pPr>
              <w:pStyle w:val="UtilComTableColumnHeading"/>
            </w:pPr>
            <w:r w:rsidRPr="008B30BD">
              <w:t>C</w:t>
            </w:r>
            <w:r w:rsidR="007D7B97" w:rsidRPr="008B30BD">
              <w:t xml:space="preserve">onsultation </w:t>
            </w:r>
            <w:r w:rsidR="00D63371">
              <w:t>P</w:t>
            </w:r>
            <w:r w:rsidR="007D7B97" w:rsidRPr="008B30BD">
              <w:t xml:space="preserve">aper </w:t>
            </w:r>
          </w:p>
        </w:tc>
      </w:tr>
      <w:tr w:rsidR="007F766C" w:rsidTr="00B67063">
        <w:trPr>
          <w:cantSplit/>
          <w:trHeight w:val="28"/>
        </w:trPr>
        <w:tc>
          <w:tcPr>
            <w:tcW w:w="4644" w:type="dxa"/>
            <w:tcBorders>
              <w:top w:val="single" w:sz="4" w:space="0" w:color="auto"/>
              <w:bottom w:val="single" w:sz="4" w:space="0" w:color="auto"/>
            </w:tcBorders>
            <w:shd w:val="clear" w:color="auto" w:fill="auto"/>
            <w:tcMar>
              <w:top w:w="57" w:type="dxa"/>
              <w:left w:w="0" w:type="dxa"/>
              <w:bottom w:w="57" w:type="dxa"/>
              <w:right w:w="85" w:type="dxa"/>
            </w:tcMar>
          </w:tcPr>
          <w:p w:rsidR="007F766C" w:rsidRPr="00040555" w:rsidRDefault="004E04AA" w:rsidP="00B67063">
            <w:pPr>
              <w:pStyle w:val="UtilComTabletext"/>
            </w:pPr>
            <w:r w:rsidRPr="00040555">
              <w:t xml:space="preserve">Para 2.1 </w:t>
            </w:r>
            <w:r w:rsidR="00B63BB2">
              <w:t>–</w:t>
            </w:r>
            <w:r w:rsidRPr="00040555">
              <w:t xml:space="preserve"> </w:t>
            </w:r>
            <w:r w:rsidR="007F766C" w:rsidRPr="00040555">
              <w:t>Separation</w:t>
            </w:r>
            <w:r w:rsidR="00B63BB2">
              <w:t xml:space="preserve"> </w:t>
            </w:r>
            <w:r w:rsidR="007F766C" w:rsidRPr="00040555">
              <w:t>of duties</w:t>
            </w:r>
          </w:p>
          <w:p w:rsidR="007F766C" w:rsidRDefault="004E04AA" w:rsidP="00B67063">
            <w:pPr>
              <w:pStyle w:val="UtilComTabletext"/>
            </w:pPr>
            <w:r w:rsidRPr="00040555">
              <w:t xml:space="preserve">Para 2.2. </w:t>
            </w:r>
            <w:r w:rsidR="00B63BB2">
              <w:t>–</w:t>
            </w:r>
            <w:r w:rsidRPr="00040555">
              <w:t xml:space="preserve"> </w:t>
            </w:r>
            <w:r w:rsidR="00A95D91">
              <w:t xml:space="preserve">Non-NTEM </w:t>
            </w:r>
            <w:r w:rsidR="00B63BB2">
              <w:t>f</w:t>
            </w:r>
            <w:r w:rsidR="00A95D91">
              <w:t>unctions</w:t>
            </w:r>
          </w:p>
        </w:tc>
        <w:tc>
          <w:tcPr>
            <w:tcW w:w="4644" w:type="dxa"/>
            <w:tcBorders>
              <w:top w:val="single" w:sz="4" w:space="0" w:color="auto"/>
              <w:bottom w:val="single" w:sz="4" w:space="0" w:color="auto"/>
            </w:tcBorders>
            <w:shd w:val="clear" w:color="auto" w:fill="auto"/>
            <w:tcMar>
              <w:top w:w="57" w:type="dxa"/>
              <w:left w:w="0" w:type="dxa"/>
              <w:bottom w:w="57" w:type="dxa"/>
              <w:right w:w="85" w:type="dxa"/>
            </w:tcMar>
          </w:tcPr>
          <w:p w:rsidR="007F766C" w:rsidRDefault="009B3114" w:rsidP="00B67063">
            <w:pPr>
              <w:pStyle w:val="UtilComTabletext"/>
            </w:pPr>
            <w:r>
              <w:t>Chapter</w:t>
            </w:r>
            <w:r w:rsidR="00695972">
              <w:t xml:space="preserve"> </w:t>
            </w:r>
            <w:r w:rsidR="00451914">
              <w:t>2</w:t>
            </w:r>
            <w:r w:rsidR="00695972">
              <w:t xml:space="preserve"> </w:t>
            </w:r>
            <w:r w:rsidR="00B63BB2">
              <w:t>–</w:t>
            </w:r>
            <w:r w:rsidR="00695972">
              <w:t xml:space="preserve"> </w:t>
            </w:r>
            <w:r w:rsidR="007F766C">
              <w:t>Roles</w:t>
            </w:r>
            <w:r w:rsidR="00B63BB2">
              <w:t xml:space="preserve"> </w:t>
            </w:r>
            <w:r w:rsidR="007F766C">
              <w:t xml:space="preserve">and responsibilities of the wholesale </w:t>
            </w:r>
            <w:r w:rsidR="00B45F0C">
              <w:t>Market Operator</w:t>
            </w:r>
            <w:r w:rsidR="007F766C">
              <w:t xml:space="preserve"> </w:t>
            </w:r>
          </w:p>
        </w:tc>
      </w:tr>
      <w:tr w:rsidR="004E04AA" w:rsidTr="00B67063">
        <w:trPr>
          <w:cantSplit/>
          <w:trHeight w:val="124"/>
        </w:trPr>
        <w:tc>
          <w:tcPr>
            <w:tcW w:w="4644" w:type="dxa"/>
            <w:tcBorders>
              <w:top w:val="single" w:sz="4" w:space="0" w:color="auto"/>
              <w:bottom w:val="single" w:sz="4" w:space="0" w:color="auto"/>
            </w:tcBorders>
            <w:shd w:val="clear" w:color="auto" w:fill="auto"/>
            <w:tcMar>
              <w:top w:w="57" w:type="dxa"/>
              <w:left w:w="0" w:type="dxa"/>
              <w:bottom w:w="57" w:type="dxa"/>
              <w:right w:w="85" w:type="dxa"/>
            </w:tcMar>
          </w:tcPr>
          <w:p w:rsidR="004E04AA" w:rsidRPr="00040555" w:rsidRDefault="00695972" w:rsidP="00B67063">
            <w:pPr>
              <w:pStyle w:val="UtilComTabletext"/>
            </w:pPr>
            <w:r w:rsidRPr="00040555">
              <w:t xml:space="preserve">Para 2.3 </w:t>
            </w:r>
            <w:r w:rsidR="00B63BB2">
              <w:t>–</w:t>
            </w:r>
            <w:r w:rsidR="00D65946" w:rsidRPr="00040555">
              <w:t xml:space="preserve"> </w:t>
            </w:r>
            <w:r w:rsidRPr="00040555">
              <w:t>Local</w:t>
            </w:r>
            <w:r w:rsidR="00B63BB2">
              <w:t xml:space="preserve"> </w:t>
            </w:r>
            <w:r w:rsidRPr="00040555">
              <w:t xml:space="preserve">retailer definition </w:t>
            </w:r>
          </w:p>
          <w:p w:rsidR="00695972" w:rsidRPr="00A95D91" w:rsidRDefault="00D65946" w:rsidP="00B67063">
            <w:pPr>
              <w:pStyle w:val="UtilComTabletext"/>
            </w:pPr>
            <w:r w:rsidRPr="00040555">
              <w:t>Para 2.5 –</w:t>
            </w:r>
            <w:r w:rsidR="00A95D91">
              <w:t xml:space="preserve"> Treatment of greenfield sites </w:t>
            </w:r>
          </w:p>
        </w:tc>
        <w:tc>
          <w:tcPr>
            <w:tcW w:w="4644" w:type="dxa"/>
            <w:tcBorders>
              <w:top w:val="single" w:sz="4" w:space="0" w:color="auto"/>
              <w:bottom w:val="single" w:sz="4" w:space="0" w:color="auto"/>
            </w:tcBorders>
            <w:shd w:val="clear" w:color="auto" w:fill="auto"/>
            <w:tcMar>
              <w:top w:w="57" w:type="dxa"/>
              <w:left w:w="0" w:type="dxa"/>
              <w:bottom w:w="57" w:type="dxa"/>
              <w:right w:w="85" w:type="dxa"/>
            </w:tcMar>
          </w:tcPr>
          <w:p w:rsidR="004E04AA" w:rsidRDefault="009B3114" w:rsidP="00B67063">
            <w:pPr>
              <w:pStyle w:val="UtilComTabletext"/>
            </w:pPr>
            <w:r>
              <w:t>Chapter</w:t>
            </w:r>
            <w:r w:rsidR="007D7B97">
              <w:t xml:space="preserve"> </w:t>
            </w:r>
            <w:r w:rsidR="00451914">
              <w:t>3</w:t>
            </w:r>
            <w:r w:rsidR="007D7B97">
              <w:t xml:space="preserve"> – The role of a designated retailer in the Code </w:t>
            </w:r>
          </w:p>
        </w:tc>
      </w:tr>
      <w:tr w:rsidR="007F766C" w:rsidTr="00B67063">
        <w:trPr>
          <w:cantSplit/>
          <w:trHeight w:val="1043"/>
        </w:trPr>
        <w:tc>
          <w:tcPr>
            <w:tcW w:w="4644" w:type="dxa"/>
            <w:tcBorders>
              <w:top w:val="single" w:sz="4" w:space="0" w:color="auto"/>
              <w:bottom w:val="single" w:sz="4" w:space="0" w:color="auto"/>
            </w:tcBorders>
            <w:shd w:val="clear" w:color="auto" w:fill="auto"/>
            <w:tcMar>
              <w:top w:w="57" w:type="dxa"/>
              <w:left w:w="0" w:type="dxa"/>
              <w:bottom w:w="57" w:type="dxa"/>
              <w:right w:w="85" w:type="dxa"/>
            </w:tcMar>
          </w:tcPr>
          <w:p w:rsidR="00DB0B9E" w:rsidRPr="008B30BD" w:rsidRDefault="00F87EC8" w:rsidP="00B67063">
            <w:pPr>
              <w:pStyle w:val="UtilComTabletext"/>
            </w:pPr>
            <w:r w:rsidRPr="008B30BD">
              <w:t xml:space="preserve">Para 2.4 – Network access to customer </w:t>
            </w:r>
            <w:r w:rsidR="00DB0B9E" w:rsidRPr="008B30BD">
              <w:t xml:space="preserve">information </w:t>
            </w:r>
          </w:p>
          <w:p w:rsidR="007D7B97" w:rsidRPr="008B30BD" w:rsidRDefault="007D7B97" w:rsidP="00B67063">
            <w:pPr>
              <w:pStyle w:val="UtilComTabletext"/>
            </w:pPr>
            <w:r w:rsidRPr="008B30BD">
              <w:t xml:space="preserve">Para 2.6 </w:t>
            </w:r>
            <w:r w:rsidR="00B63BB2" w:rsidRPr="008B30BD">
              <w:t>–</w:t>
            </w:r>
            <w:r w:rsidRPr="008B30BD">
              <w:t xml:space="preserve"> Requirement</w:t>
            </w:r>
            <w:r w:rsidR="00B63BB2" w:rsidRPr="008B30BD">
              <w:t xml:space="preserve"> </w:t>
            </w:r>
            <w:r w:rsidRPr="008B30BD">
              <w:t>for interval metering</w:t>
            </w:r>
          </w:p>
          <w:p w:rsidR="007F766C" w:rsidRPr="00A95D91" w:rsidRDefault="007D7B97" w:rsidP="00B67063">
            <w:pPr>
              <w:pStyle w:val="UtilComTabletext"/>
              <w:rPr>
                <w:szCs w:val="24"/>
              </w:rPr>
            </w:pPr>
            <w:r w:rsidRPr="008B30BD">
              <w:t xml:space="preserve">Para 2.7 </w:t>
            </w:r>
            <w:r w:rsidR="00B63BB2" w:rsidRPr="008B30BD">
              <w:t>–</w:t>
            </w:r>
            <w:r w:rsidR="00261AF8">
              <w:t xml:space="preserve"> </w:t>
            </w:r>
            <w:r w:rsidR="00B63BB2" w:rsidRPr="008B30BD">
              <w:t>National Metering Identifier (</w:t>
            </w:r>
            <w:r w:rsidRPr="008B30BD">
              <w:t xml:space="preserve"> NMI</w:t>
            </w:r>
            <w:r w:rsidR="00B63BB2" w:rsidRPr="008B30BD">
              <w:t>) a</w:t>
            </w:r>
            <w:r w:rsidRPr="008B30BD">
              <w:t xml:space="preserve">llocation </w:t>
            </w:r>
            <w:r w:rsidR="00B63BB2" w:rsidRPr="008B30BD">
              <w:t>p</w:t>
            </w:r>
            <w:r w:rsidRPr="008B30BD">
              <w:t>rocedure</w:t>
            </w:r>
          </w:p>
        </w:tc>
        <w:tc>
          <w:tcPr>
            <w:tcW w:w="4644" w:type="dxa"/>
            <w:tcBorders>
              <w:top w:val="single" w:sz="4" w:space="0" w:color="auto"/>
              <w:bottom w:val="single" w:sz="4" w:space="0" w:color="auto"/>
            </w:tcBorders>
            <w:shd w:val="clear" w:color="auto" w:fill="auto"/>
            <w:tcMar>
              <w:top w:w="57" w:type="dxa"/>
              <w:left w:w="0" w:type="dxa"/>
              <w:bottom w:w="57" w:type="dxa"/>
              <w:right w:w="85" w:type="dxa"/>
            </w:tcMar>
          </w:tcPr>
          <w:p w:rsidR="007F766C" w:rsidRDefault="009B3114" w:rsidP="00B67063">
            <w:pPr>
              <w:pStyle w:val="UtilComTabletext"/>
            </w:pPr>
            <w:r>
              <w:t>Chapter</w:t>
            </w:r>
            <w:r w:rsidR="007D7B97">
              <w:t xml:space="preserve"> </w:t>
            </w:r>
            <w:r w:rsidR="00451914">
              <w:t>4</w:t>
            </w:r>
            <w:r w:rsidR="007D7B97">
              <w:t xml:space="preserve"> – Metering </w:t>
            </w:r>
            <w:r w:rsidR="00F9084E">
              <w:t xml:space="preserve">and </w:t>
            </w:r>
            <w:r w:rsidR="00E65252">
              <w:t>c</w:t>
            </w:r>
            <w:r w:rsidR="00F9084E">
              <w:t xml:space="preserve">ustomer </w:t>
            </w:r>
            <w:r w:rsidR="00E65252">
              <w:t>i</w:t>
            </w:r>
            <w:r w:rsidR="00F9084E">
              <w:t>nformation</w:t>
            </w:r>
          </w:p>
        </w:tc>
      </w:tr>
      <w:tr w:rsidR="007D7B97" w:rsidTr="00B67063">
        <w:trPr>
          <w:cantSplit/>
        </w:trPr>
        <w:tc>
          <w:tcPr>
            <w:tcW w:w="4644" w:type="dxa"/>
            <w:tcBorders>
              <w:top w:val="single" w:sz="4" w:space="0" w:color="auto"/>
              <w:bottom w:val="single" w:sz="4" w:space="0" w:color="auto"/>
            </w:tcBorders>
            <w:shd w:val="clear" w:color="auto" w:fill="auto"/>
            <w:tcMar>
              <w:top w:w="57" w:type="dxa"/>
              <w:left w:w="0" w:type="dxa"/>
              <w:bottom w:w="57" w:type="dxa"/>
              <w:right w:w="85" w:type="dxa"/>
            </w:tcMar>
          </w:tcPr>
          <w:p w:rsidR="007D7B97" w:rsidRPr="00A339DF" w:rsidRDefault="007D7B97" w:rsidP="00B67063">
            <w:pPr>
              <w:pStyle w:val="UtilComTabletext"/>
            </w:pPr>
            <w:r>
              <w:lastRenderedPageBreak/>
              <w:t xml:space="preserve">Para 2.8 </w:t>
            </w:r>
            <w:r w:rsidR="00B63BB2">
              <w:t>–</w:t>
            </w:r>
            <w:r>
              <w:t xml:space="preserve"> </w:t>
            </w:r>
            <w:r w:rsidRPr="00A339DF">
              <w:t>Removal</w:t>
            </w:r>
            <w:r w:rsidR="00B63BB2">
              <w:t xml:space="preserve"> </w:t>
            </w:r>
            <w:r w:rsidRPr="00A339DF">
              <w:t>of requirement for the Commission’s approval of charges</w:t>
            </w:r>
          </w:p>
          <w:p w:rsidR="007D7B97" w:rsidRDefault="007D7B97" w:rsidP="00B67063">
            <w:pPr>
              <w:pStyle w:val="UtilComTabletext"/>
            </w:pPr>
            <w:r>
              <w:t>Para 2.9 – Customer tr</w:t>
            </w:r>
            <w:r w:rsidR="00A95D91">
              <w:t xml:space="preserve">ansfer notification timeframes </w:t>
            </w:r>
          </w:p>
        </w:tc>
        <w:tc>
          <w:tcPr>
            <w:tcW w:w="4644" w:type="dxa"/>
            <w:tcBorders>
              <w:top w:val="single" w:sz="4" w:space="0" w:color="auto"/>
              <w:bottom w:val="single" w:sz="4" w:space="0" w:color="auto"/>
            </w:tcBorders>
            <w:shd w:val="clear" w:color="auto" w:fill="auto"/>
            <w:tcMar>
              <w:top w:w="57" w:type="dxa"/>
              <w:left w:w="0" w:type="dxa"/>
              <w:bottom w:w="57" w:type="dxa"/>
              <w:right w:w="85" w:type="dxa"/>
            </w:tcMar>
          </w:tcPr>
          <w:p w:rsidR="007D7B97" w:rsidRDefault="009B3114" w:rsidP="00B67063">
            <w:pPr>
              <w:pStyle w:val="UtilComTabletext"/>
            </w:pPr>
            <w:r>
              <w:t>Chapter</w:t>
            </w:r>
            <w:r w:rsidR="007D7B97">
              <w:t xml:space="preserve"> </w:t>
            </w:r>
            <w:r w:rsidR="00451914">
              <w:t>5</w:t>
            </w:r>
            <w:r w:rsidR="007D7B97">
              <w:t xml:space="preserve"> </w:t>
            </w:r>
            <w:r w:rsidR="00D852E7">
              <w:t>–</w:t>
            </w:r>
            <w:r w:rsidR="007D7B97">
              <w:t xml:space="preserve"> </w:t>
            </w:r>
            <w:r w:rsidR="00D852E7">
              <w:t xml:space="preserve">Other issues raised by PWC </w:t>
            </w:r>
          </w:p>
        </w:tc>
      </w:tr>
      <w:tr w:rsidR="007D7B97" w:rsidTr="00B67063">
        <w:trPr>
          <w:cantSplit/>
        </w:trPr>
        <w:tc>
          <w:tcPr>
            <w:tcW w:w="4644" w:type="dxa"/>
            <w:tcBorders>
              <w:top w:val="single" w:sz="4" w:space="0" w:color="auto"/>
              <w:bottom w:val="single" w:sz="4" w:space="0" w:color="auto"/>
            </w:tcBorders>
            <w:shd w:val="clear" w:color="auto" w:fill="auto"/>
            <w:tcMar>
              <w:top w:w="57" w:type="dxa"/>
              <w:left w:w="0" w:type="dxa"/>
              <w:bottom w:w="57" w:type="dxa"/>
              <w:right w:w="85" w:type="dxa"/>
            </w:tcMar>
          </w:tcPr>
          <w:p w:rsidR="002A6196" w:rsidRDefault="007D7B97" w:rsidP="00B67063">
            <w:pPr>
              <w:pStyle w:val="UtilComTabletext"/>
            </w:pPr>
            <w:r>
              <w:t>Other issues considered at the</w:t>
            </w:r>
            <w:r w:rsidR="009B3114">
              <w:t xml:space="preserve"> initiative of the Commission</w:t>
            </w:r>
          </w:p>
        </w:tc>
        <w:tc>
          <w:tcPr>
            <w:tcW w:w="4644" w:type="dxa"/>
            <w:tcBorders>
              <w:top w:val="single" w:sz="4" w:space="0" w:color="auto"/>
              <w:bottom w:val="single" w:sz="4" w:space="0" w:color="auto"/>
            </w:tcBorders>
            <w:shd w:val="clear" w:color="auto" w:fill="auto"/>
            <w:tcMar>
              <w:top w:w="57" w:type="dxa"/>
              <w:left w:w="0" w:type="dxa"/>
              <w:bottom w:w="57" w:type="dxa"/>
              <w:right w:w="85" w:type="dxa"/>
            </w:tcMar>
          </w:tcPr>
          <w:p w:rsidR="007D7B97" w:rsidRDefault="009B3114" w:rsidP="00B67063">
            <w:pPr>
              <w:pStyle w:val="UtilComTabletext"/>
            </w:pPr>
            <w:r>
              <w:t>Chapter</w:t>
            </w:r>
            <w:r w:rsidR="00451914">
              <w:t xml:space="preserve"> 6</w:t>
            </w:r>
            <w:r w:rsidR="00D852E7">
              <w:t xml:space="preserve"> – Issues raised by the Commission</w:t>
            </w:r>
          </w:p>
        </w:tc>
      </w:tr>
    </w:tbl>
    <w:p w:rsidR="00FA3C02" w:rsidRDefault="00B139A9" w:rsidP="005257FE">
      <w:pPr>
        <w:pStyle w:val="UtilComHeading2"/>
      </w:pPr>
      <w:bookmarkStart w:id="37" w:name="_Toc457207582"/>
      <w:r>
        <w:t xml:space="preserve">Purpose of this </w:t>
      </w:r>
      <w:r w:rsidR="00112DA4">
        <w:t>P</w:t>
      </w:r>
      <w:r>
        <w:t xml:space="preserve">aper and </w:t>
      </w:r>
      <w:r w:rsidR="00E65252">
        <w:t>P</w:t>
      </w:r>
      <w:r w:rsidR="00FA3C02">
        <w:t xml:space="preserve">rocess for </w:t>
      </w:r>
      <w:r w:rsidR="00E65252">
        <w:t>C</w:t>
      </w:r>
      <w:r w:rsidR="00FA3C02">
        <w:t>onsultation</w:t>
      </w:r>
      <w:bookmarkEnd w:id="37"/>
    </w:p>
    <w:p w:rsidR="00B139A9" w:rsidRDefault="00B139A9" w:rsidP="00DD3E96">
      <w:pPr>
        <w:numPr>
          <w:ilvl w:val="0"/>
          <w:numId w:val="14"/>
        </w:numPr>
        <w:ind w:left="567" w:hanging="567"/>
      </w:pPr>
      <w:bookmarkStart w:id="38" w:name="_Toc326315896"/>
      <w:bookmarkStart w:id="39" w:name="_Toc326762899"/>
      <w:bookmarkStart w:id="40" w:name="_Toc327349031"/>
      <w:bookmarkStart w:id="41" w:name="_Toc326315894"/>
      <w:bookmarkEnd w:id="38"/>
      <w:r>
        <w:t xml:space="preserve">The purpose of this </w:t>
      </w:r>
      <w:r w:rsidR="00E524C4">
        <w:t>Consultation P</w:t>
      </w:r>
      <w:r>
        <w:t xml:space="preserve">aper is to facilitate discussion with industry participants and stakeholders on the </w:t>
      </w:r>
      <w:r w:rsidR="00496071">
        <w:t>matters</w:t>
      </w:r>
      <w:r>
        <w:t xml:space="preserve"> raised </w:t>
      </w:r>
      <w:r w:rsidR="004112BC">
        <w:t>by</w:t>
      </w:r>
      <w:r>
        <w:t xml:space="preserve"> </w:t>
      </w:r>
      <w:r w:rsidR="00EB3019">
        <w:t>PWC</w:t>
      </w:r>
      <w:r w:rsidR="00D3077E">
        <w:t>.</w:t>
      </w:r>
      <w:r w:rsidR="00F73CD1">
        <w:t xml:space="preserve"> </w:t>
      </w:r>
      <w:r w:rsidR="000D39D5">
        <w:t>The following chapters</w:t>
      </w:r>
      <w:r w:rsidR="00F73CD1">
        <w:t xml:space="preserve"> of </w:t>
      </w:r>
      <w:r w:rsidR="00F727AE">
        <w:t xml:space="preserve">this Consultation Paper </w:t>
      </w:r>
      <w:r w:rsidR="00F727AE" w:rsidRPr="000F00D4">
        <w:t>outline</w:t>
      </w:r>
      <w:r w:rsidR="00F73CD1" w:rsidRPr="000F00D4">
        <w:t xml:space="preserve"> </w:t>
      </w:r>
      <w:r w:rsidR="00EB3019" w:rsidRPr="000F00D4">
        <w:t>PWC</w:t>
      </w:r>
      <w:r w:rsidR="00F73CD1" w:rsidRPr="000F00D4">
        <w:t xml:space="preserve">’s </w:t>
      </w:r>
      <w:bookmarkEnd w:id="39"/>
      <w:bookmarkEnd w:id="40"/>
      <w:r w:rsidR="000F00D4" w:rsidRPr="000F00D4">
        <w:t>application for amendments and, where relevant</w:t>
      </w:r>
      <w:r w:rsidR="001D6E73" w:rsidRPr="000F00D4">
        <w:t>,</w:t>
      </w:r>
      <w:r w:rsidR="000F00D4" w:rsidRPr="000F00D4">
        <w:t xml:space="preserve"> issues previously raised during development of the current Code. </w:t>
      </w:r>
      <w:r w:rsidR="001D6E73" w:rsidRPr="000F00D4">
        <w:t xml:space="preserve"> </w:t>
      </w:r>
    </w:p>
    <w:p w:rsidR="00D41822" w:rsidRDefault="00EA20C9" w:rsidP="00DD3E96">
      <w:pPr>
        <w:numPr>
          <w:ilvl w:val="0"/>
          <w:numId w:val="14"/>
        </w:numPr>
        <w:ind w:left="567" w:hanging="567"/>
      </w:pPr>
      <w:bookmarkStart w:id="42" w:name="_Toc327349032"/>
      <w:bookmarkStart w:id="43" w:name="_Toc326762900"/>
      <w:r>
        <w:t xml:space="preserve">The Commission will consider submissions </w:t>
      </w:r>
      <w:r w:rsidR="000F00D4">
        <w:t>on proposed</w:t>
      </w:r>
      <w:r w:rsidR="008E7B54">
        <w:t xml:space="preserve"> </w:t>
      </w:r>
      <w:r w:rsidR="00653962">
        <w:t>amendments</w:t>
      </w:r>
      <w:r w:rsidR="00E60B33">
        <w:t xml:space="preserve"> to</w:t>
      </w:r>
      <w:r w:rsidR="000F00D4">
        <w:t xml:space="preserve"> the Code </w:t>
      </w:r>
      <w:r w:rsidR="006917D1">
        <w:t>that are</w:t>
      </w:r>
      <w:r w:rsidR="00BA4D25">
        <w:t xml:space="preserve"> independent</w:t>
      </w:r>
      <w:r w:rsidR="00D41822">
        <w:t xml:space="preserve"> </w:t>
      </w:r>
      <w:r w:rsidR="00BA4D25">
        <w:t xml:space="preserve">from </w:t>
      </w:r>
      <w:r w:rsidR="00EB3019">
        <w:t>PWC’s</w:t>
      </w:r>
      <w:r w:rsidR="00BA4D25">
        <w:t xml:space="preserve"> </w:t>
      </w:r>
      <w:r w:rsidR="000F00D4">
        <w:t>application</w:t>
      </w:r>
      <w:r w:rsidR="000F00D4" w:rsidRPr="000F00D4">
        <w:t xml:space="preserve">. </w:t>
      </w:r>
      <w:r w:rsidR="00DD2DA2">
        <w:t xml:space="preserve">PWC may provide further submissions in support of its application for amendments to the Code. </w:t>
      </w:r>
      <w:r w:rsidR="00BA4D25" w:rsidRPr="000F00D4">
        <w:t xml:space="preserve">The Commission </w:t>
      </w:r>
      <w:r w:rsidR="000F00D4" w:rsidRPr="000F00D4">
        <w:t xml:space="preserve">will also consider areas of the Code that </w:t>
      </w:r>
      <w:r w:rsidR="00BA4D25" w:rsidRPr="000F00D4">
        <w:t>may require amendments.</w:t>
      </w:r>
      <w:bookmarkEnd w:id="42"/>
      <w:r w:rsidR="00BA4D25">
        <w:t xml:space="preserve"> </w:t>
      </w:r>
    </w:p>
    <w:p w:rsidR="00E72279" w:rsidRDefault="00E72279" w:rsidP="00E72279">
      <w:pPr>
        <w:numPr>
          <w:ilvl w:val="0"/>
          <w:numId w:val="14"/>
        </w:numPr>
        <w:ind w:left="567" w:hanging="567"/>
      </w:pPr>
      <w:bookmarkStart w:id="44" w:name="_Toc327349033"/>
      <w:r>
        <w:t>In considering amendments to the Code, the Commission must consider the objectives of</w:t>
      </w:r>
      <w:r w:rsidR="008B30BD">
        <w:t xml:space="preserve"> Section 1.6.1 of</w:t>
      </w:r>
      <w:r>
        <w:t xml:space="preserve"> the Code to facilitate retail supply activities </w:t>
      </w:r>
      <w:r w:rsidR="00E65252">
        <w:t xml:space="preserve">that </w:t>
      </w:r>
      <w:r>
        <w:t xml:space="preserve">will result from the introduction of </w:t>
      </w:r>
      <w:r w:rsidR="00E65252">
        <w:t>f</w:t>
      </w:r>
      <w:r>
        <w:t xml:space="preserve">ull </w:t>
      </w:r>
      <w:r w:rsidR="00E65252">
        <w:t>r</w:t>
      </w:r>
      <w:r>
        <w:t xml:space="preserve">etail </w:t>
      </w:r>
      <w:r w:rsidR="00E65252">
        <w:t>c</w:t>
      </w:r>
      <w:r>
        <w:t>ontestability in the Territory by establishing (among other things):</w:t>
      </w:r>
    </w:p>
    <w:p w:rsidR="00E72279" w:rsidRDefault="00E72279" w:rsidP="00247481">
      <w:pPr>
        <w:numPr>
          <w:ilvl w:val="0"/>
          <w:numId w:val="20"/>
        </w:numPr>
        <w:ind w:left="993" w:hanging="426"/>
      </w:pPr>
      <w:r>
        <w:t>arrangements for transferring customers between retailers;</w:t>
      </w:r>
    </w:p>
    <w:p w:rsidR="00E72279" w:rsidRDefault="00E72279" w:rsidP="00247481">
      <w:pPr>
        <w:numPr>
          <w:ilvl w:val="0"/>
          <w:numId w:val="20"/>
        </w:numPr>
        <w:ind w:left="993" w:hanging="426"/>
      </w:pPr>
      <w:r>
        <w:t>arrangements relating to credit support requirements and billing between network providers, generators and retailers;</w:t>
      </w:r>
    </w:p>
    <w:p w:rsidR="00E72279" w:rsidRDefault="00E72279" w:rsidP="00247481">
      <w:pPr>
        <w:numPr>
          <w:ilvl w:val="0"/>
          <w:numId w:val="20"/>
        </w:numPr>
        <w:ind w:left="993" w:hanging="426"/>
      </w:pPr>
      <w:r>
        <w:t>arrangements for metrology between retailers and network providers;</w:t>
      </w:r>
    </w:p>
    <w:p w:rsidR="00E72279" w:rsidRDefault="00281FCB" w:rsidP="00247481">
      <w:pPr>
        <w:numPr>
          <w:ilvl w:val="0"/>
          <w:numId w:val="20"/>
        </w:numPr>
        <w:ind w:left="993" w:hanging="426"/>
      </w:pPr>
      <w:r>
        <w:t xml:space="preserve">RoLR </w:t>
      </w:r>
      <w:r w:rsidR="00E72279">
        <w:t>arrangements; and</w:t>
      </w:r>
    </w:p>
    <w:p w:rsidR="00E72279" w:rsidRDefault="00E72279" w:rsidP="00247481">
      <w:pPr>
        <w:numPr>
          <w:ilvl w:val="0"/>
          <w:numId w:val="20"/>
        </w:numPr>
        <w:ind w:left="993" w:hanging="426"/>
      </w:pPr>
      <w:r>
        <w:t xml:space="preserve">a dispute resolution process for this Code.  </w:t>
      </w:r>
    </w:p>
    <w:p w:rsidR="00F73CD1" w:rsidRDefault="00DD2DA2" w:rsidP="00DD3E96">
      <w:pPr>
        <w:numPr>
          <w:ilvl w:val="0"/>
          <w:numId w:val="14"/>
        </w:numPr>
        <w:ind w:left="567" w:hanging="567"/>
      </w:pPr>
      <w:r>
        <w:t>S</w:t>
      </w:r>
      <w:r w:rsidR="00F73CD1">
        <w:t xml:space="preserve">ubmissions on </w:t>
      </w:r>
      <w:r w:rsidR="0042033D">
        <w:t>this Consultation Paper</w:t>
      </w:r>
      <w:r>
        <w:t xml:space="preserve"> and proposed amendments to Code should be submitted by </w:t>
      </w:r>
      <w:r w:rsidR="00F73CD1" w:rsidRPr="00B02142">
        <w:t xml:space="preserve">close of business </w:t>
      </w:r>
      <w:r w:rsidR="00DC3101">
        <w:rPr>
          <w:b/>
        </w:rPr>
        <w:t>2 September</w:t>
      </w:r>
      <w:r w:rsidR="00D3077E" w:rsidRPr="001C7BFE">
        <w:rPr>
          <w:b/>
        </w:rPr>
        <w:t xml:space="preserve"> </w:t>
      </w:r>
      <w:r w:rsidR="00EF11D3" w:rsidRPr="001C7BFE">
        <w:rPr>
          <w:b/>
        </w:rPr>
        <w:t>2016</w:t>
      </w:r>
      <w:r w:rsidR="00F73CD1" w:rsidRPr="00B02142">
        <w:t>.</w:t>
      </w:r>
      <w:bookmarkEnd w:id="43"/>
      <w:bookmarkEnd w:id="44"/>
      <w:r>
        <w:t xml:space="preserve"> </w:t>
      </w:r>
    </w:p>
    <w:p w:rsidR="00880256" w:rsidRDefault="00880256" w:rsidP="00DD3E96">
      <w:pPr>
        <w:numPr>
          <w:ilvl w:val="0"/>
          <w:numId w:val="14"/>
        </w:numPr>
        <w:ind w:left="567" w:hanging="567"/>
      </w:pPr>
      <w:bookmarkStart w:id="45" w:name="_Toc326762901"/>
      <w:bookmarkStart w:id="46" w:name="_Toc327349034"/>
      <w:bookmarkEnd w:id="41"/>
      <w:r>
        <w:t xml:space="preserve">After reviewing </w:t>
      </w:r>
      <w:r w:rsidR="00D3077E">
        <w:t xml:space="preserve">any </w:t>
      </w:r>
      <w:r>
        <w:t>submissions</w:t>
      </w:r>
      <w:r w:rsidR="00D3077E">
        <w:t xml:space="preserve"> received</w:t>
      </w:r>
      <w:r>
        <w:t xml:space="preserve">, the Commission </w:t>
      </w:r>
      <w:r w:rsidR="00DF1479">
        <w:t>will</w:t>
      </w:r>
      <w:r>
        <w:t xml:space="preserve"> release a draft decision</w:t>
      </w:r>
      <w:r w:rsidR="00DF1479">
        <w:t xml:space="preserve"> </w:t>
      </w:r>
      <w:r w:rsidR="001F7657">
        <w:t>on</w:t>
      </w:r>
      <w:r w:rsidR="00792B9A">
        <w:t xml:space="preserve"> what, if any, amendments should be made to the Code</w:t>
      </w:r>
      <w:r w:rsidR="00115972">
        <w:t>, including the potential wording of the provision</w:t>
      </w:r>
      <w:r w:rsidR="007F38A2">
        <w:t>s</w:t>
      </w:r>
      <w:r w:rsidR="00115972">
        <w:t>.</w:t>
      </w:r>
      <w:r>
        <w:t xml:space="preserve"> The Commission will invite comments </w:t>
      </w:r>
      <w:r w:rsidR="00E52F4B">
        <w:t>on the draft decision.</w:t>
      </w:r>
      <w:bookmarkEnd w:id="45"/>
      <w:bookmarkEnd w:id="46"/>
    </w:p>
    <w:p w:rsidR="00316EEA" w:rsidRDefault="00880256" w:rsidP="00DD3E96">
      <w:pPr>
        <w:numPr>
          <w:ilvl w:val="0"/>
          <w:numId w:val="14"/>
        </w:numPr>
        <w:ind w:left="567" w:hanging="567"/>
      </w:pPr>
      <w:bookmarkStart w:id="47" w:name="_Toc326762902"/>
      <w:bookmarkStart w:id="48" w:name="_Toc327349035"/>
      <w:r>
        <w:t>After</w:t>
      </w:r>
      <w:r w:rsidR="00792B9A">
        <w:t xml:space="preserve"> </w:t>
      </w:r>
      <w:r w:rsidR="00D77C31">
        <w:t>submissions on</w:t>
      </w:r>
      <w:r>
        <w:t xml:space="preserve"> the draft decision have been reviewed and </w:t>
      </w:r>
      <w:r w:rsidR="00CD0100">
        <w:t>assessed</w:t>
      </w:r>
      <w:r>
        <w:t xml:space="preserve">, the Commission will issue a final decision on </w:t>
      </w:r>
      <w:r w:rsidR="00792B9A">
        <w:t>what, if any, amendments will be made to</w:t>
      </w:r>
      <w:r>
        <w:t xml:space="preserve"> the Code and in what form. </w:t>
      </w:r>
      <w:bookmarkEnd w:id="47"/>
      <w:bookmarkEnd w:id="48"/>
    </w:p>
    <w:p w:rsidR="00880256" w:rsidRDefault="00316EEA" w:rsidP="00316EEA">
      <w:pPr>
        <w:spacing w:before="0" w:after="0" w:line="240" w:lineRule="auto"/>
      </w:pPr>
      <w:r>
        <w:br w:type="page"/>
      </w:r>
    </w:p>
    <w:p w:rsidR="00880256" w:rsidRDefault="00ED516B" w:rsidP="00DD3E96">
      <w:pPr>
        <w:numPr>
          <w:ilvl w:val="0"/>
          <w:numId w:val="14"/>
        </w:numPr>
        <w:ind w:left="567" w:hanging="567"/>
      </w:pPr>
      <w:bookmarkStart w:id="49" w:name="_Toc326762903"/>
      <w:bookmarkStart w:id="50" w:name="_Toc327349036"/>
      <w:r>
        <w:lastRenderedPageBreak/>
        <w:t>Table 1.</w:t>
      </w:r>
      <w:r w:rsidR="00261AF8">
        <w:t>2</w:t>
      </w:r>
      <w:r>
        <w:t xml:space="preserve"> </w:t>
      </w:r>
      <w:r w:rsidR="00AD358D">
        <w:t xml:space="preserve">outlines </w:t>
      </w:r>
      <w:r w:rsidR="00D3077E">
        <w:t xml:space="preserve">an indicative </w:t>
      </w:r>
      <w:r w:rsidR="00D127B9">
        <w:t>timeframe</w:t>
      </w:r>
      <w:r w:rsidR="00AD358D">
        <w:t xml:space="preserve"> for consultation.</w:t>
      </w:r>
      <w:bookmarkEnd w:id="49"/>
      <w:bookmarkEnd w:id="50"/>
    </w:p>
    <w:p w:rsidR="00E83F2F" w:rsidRPr="00043B58" w:rsidRDefault="00E83F2F" w:rsidP="00B67063">
      <w:pPr>
        <w:pStyle w:val="UtilComTableFigureHeading"/>
      </w:pPr>
      <w:r w:rsidRPr="00043B58">
        <w:t>Table 1.</w:t>
      </w:r>
      <w:r w:rsidR="00261AF8" w:rsidRPr="00043B58">
        <w:t>2</w:t>
      </w:r>
      <w:r w:rsidRPr="00043B58">
        <w:t>: Timeframe for consultation</w:t>
      </w:r>
    </w:p>
    <w:tbl>
      <w:tblPr>
        <w:tblpPr w:leftFromText="181" w:rightFromText="181" w:bottomFromText="142" w:vertAnchor="text" w:tblpY="1"/>
        <w:tblOverlap w:val="never"/>
        <w:tblW w:w="8505" w:type="dxa"/>
        <w:tblInd w:w="652"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6171"/>
        <w:gridCol w:w="2334"/>
      </w:tblGrid>
      <w:tr w:rsidR="00E83F2F" w:rsidRPr="00CD0BDF" w:rsidTr="00B67063">
        <w:trPr>
          <w:trHeight w:val="360"/>
        </w:trPr>
        <w:tc>
          <w:tcPr>
            <w:tcW w:w="6379" w:type="dxa"/>
            <w:tcMar>
              <w:top w:w="57" w:type="dxa"/>
              <w:left w:w="0" w:type="dxa"/>
              <w:bottom w:w="57" w:type="dxa"/>
              <w:right w:w="85" w:type="dxa"/>
            </w:tcMar>
            <w:vAlign w:val="center"/>
          </w:tcPr>
          <w:p w:rsidR="00E83F2F" w:rsidRPr="00180C37" w:rsidRDefault="00D53578" w:rsidP="008B30BD">
            <w:pPr>
              <w:pStyle w:val="UtilComTabletext"/>
            </w:pPr>
            <w:r w:rsidRPr="00E65252">
              <w:t xml:space="preserve">Release </w:t>
            </w:r>
            <w:r w:rsidR="00F77BFC" w:rsidRPr="00E65252">
              <w:t>of Consultation Paper on PWC</w:t>
            </w:r>
            <w:r w:rsidRPr="00180C37">
              <w:t>’s request to amend the Code</w:t>
            </w:r>
          </w:p>
        </w:tc>
        <w:tc>
          <w:tcPr>
            <w:tcW w:w="2410" w:type="dxa"/>
            <w:tcMar>
              <w:top w:w="57" w:type="dxa"/>
              <w:left w:w="0" w:type="dxa"/>
              <w:bottom w:w="57" w:type="dxa"/>
              <w:right w:w="85" w:type="dxa"/>
            </w:tcMar>
            <w:vAlign w:val="center"/>
          </w:tcPr>
          <w:p w:rsidR="00E83F2F" w:rsidRPr="00D63371" w:rsidRDefault="00247481" w:rsidP="00B105C5">
            <w:pPr>
              <w:pStyle w:val="UtilComTabletext"/>
            </w:pPr>
            <w:r w:rsidRPr="00D63371">
              <w:t>2</w:t>
            </w:r>
            <w:r w:rsidR="00B105C5">
              <w:t>9</w:t>
            </w:r>
            <w:r w:rsidRPr="00D63371">
              <w:t xml:space="preserve"> July </w:t>
            </w:r>
            <w:r w:rsidR="00F85F99" w:rsidRPr="00D63371">
              <w:t>2016</w:t>
            </w:r>
          </w:p>
        </w:tc>
      </w:tr>
      <w:tr w:rsidR="00E83F2F" w:rsidRPr="00CD0BDF" w:rsidTr="00B67063">
        <w:trPr>
          <w:trHeight w:val="360"/>
        </w:trPr>
        <w:tc>
          <w:tcPr>
            <w:tcW w:w="6379" w:type="dxa"/>
            <w:tcMar>
              <w:top w:w="57" w:type="dxa"/>
              <w:left w:w="0" w:type="dxa"/>
              <w:bottom w:w="57" w:type="dxa"/>
              <w:right w:w="85" w:type="dxa"/>
            </w:tcMar>
            <w:vAlign w:val="center"/>
          </w:tcPr>
          <w:p w:rsidR="00E83F2F" w:rsidRPr="00E65252" w:rsidRDefault="00D53578" w:rsidP="008B30BD">
            <w:pPr>
              <w:pStyle w:val="UtilComTabletext"/>
            </w:pPr>
            <w:r w:rsidRPr="00E65252">
              <w:t>Submissions due</w:t>
            </w:r>
          </w:p>
        </w:tc>
        <w:tc>
          <w:tcPr>
            <w:tcW w:w="2410" w:type="dxa"/>
            <w:tcMar>
              <w:top w:w="57" w:type="dxa"/>
              <w:left w:w="0" w:type="dxa"/>
              <w:bottom w:w="57" w:type="dxa"/>
              <w:right w:w="85" w:type="dxa"/>
            </w:tcMar>
            <w:vAlign w:val="center"/>
          </w:tcPr>
          <w:p w:rsidR="00E83F2F" w:rsidRPr="00D63371" w:rsidRDefault="00B105C5" w:rsidP="00AF0BC1">
            <w:pPr>
              <w:pStyle w:val="UtilComTabletext"/>
            </w:pPr>
            <w:r>
              <w:t>2</w:t>
            </w:r>
            <w:r w:rsidR="00AF0BC1">
              <w:t>September</w:t>
            </w:r>
            <w:r w:rsidR="00AF0BC1" w:rsidRPr="00D63371">
              <w:t xml:space="preserve"> </w:t>
            </w:r>
            <w:r w:rsidR="00EF11D3" w:rsidRPr="00D63371">
              <w:t>2016</w:t>
            </w:r>
          </w:p>
        </w:tc>
      </w:tr>
      <w:tr w:rsidR="00E83F2F" w:rsidRPr="00CD0BDF" w:rsidTr="00B67063">
        <w:trPr>
          <w:trHeight w:val="360"/>
        </w:trPr>
        <w:tc>
          <w:tcPr>
            <w:tcW w:w="6379" w:type="dxa"/>
            <w:tcMar>
              <w:top w:w="57" w:type="dxa"/>
              <w:left w:w="0" w:type="dxa"/>
              <w:bottom w:w="57" w:type="dxa"/>
              <w:right w:w="85" w:type="dxa"/>
            </w:tcMar>
            <w:vAlign w:val="center"/>
          </w:tcPr>
          <w:p w:rsidR="00E83F2F" w:rsidRPr="00E65252" w:rsidRDefault="00D53578" w:rsidP="008B30BD">
            <w:pPr>
              <w:pStyle w:val="UtilComTabletext"/>
            </w:pPr>
            <w:r w:rsidRPr="00E65252">
              <w:t xml:space="preserve">Commission issues draft decision </w:t>
            </w:r>
            <w:r w:rsidR="000E1886" w:rsidRPr="00E65252">
              <w:t>on</w:t>
            </w:r>
            <w:r w:rsidRPr="00E65252">
              <w:t xml:space="preserve"> whether to proceed to amend the Code</w:t>
            </w:r>
          </w:p>
        </w:tc>
        <w:tc>
          <w:tcPr>
            <w:tcW w:w="2410" w:type="dxa"/>
            <w:tcMar>
              <w:top w:w="57" w:type="dxa"/>
              <w:left w:w="0" w:type="dxa"/>
              <w:bottom w:w="57" w:type="dxa"/>
              <w:right w:w="85" w:type="dxa"/>
            </w:tcMar>
            <w:vAlign w:val="center"/>
          </w:tcPr>
          <w:p w:rsidR="00E83F2F" w:rsidRPr="00D63371" w:rsidRDefault="00AF0BC1" w:rsidP="00CB5C02">
            <w:pPr>
              <w:pStyle w:val="UtilComTabletext"/>
            </w:pPr>
            <w:r>
              <w:t xml:space="preserve">14 </w:t>
            </w:r>
            <w:r w:rsidR="00CB5C02">
              <w:t>October</w:t>
            </w:r>
            <w:r w:rsidR="00B62970" w:rsidRPr="00D63371">
              <w:t xml:space="preserve"> </w:t>
            </w:r>
            <w:r w:rsidR="00EF11D3" w:rsidRPr="00D63371">
              <w:t>2016</w:t>
            </w:r>
          </w:p>
        </w:tc>
      </w:tr>
      <w:tr w:rsidR="00D53578" w:rsidRPr="00CD0BDF" w:rsidTr="00B67063">
        <w:trPr>
          <w:trHeight w:val="360"/>
        </w:trPr>
        <w:tc>
          <w:tcPr>
            <w:tcW w:w="6379" w:type="dxa"/>
            <w:tcMar>
              <w:top w:w="57" w:type="dxa"/>
              <w:left w:w="0" w:type="dxa"/>
              <w:bottom w:w="57" w:type="dxa"/>
              <w:right w:w="85" w:type="dxa"/>
            </w:tcMar>
            <w:vAlign w:val="center"/>
          </w:tcPr>
          <w:p w:rsidR="00D53578" w:rsidRPr="00E65252" w:rsidRDefault="00D53578" w:rsidP="008B30BD">
            <w:pPr>
              <w:pStyle w:val="UtilComTabletext"/>
            </w:pPr>
            <w:r w:rsidRPr="00E65252">
              <w:t>Comments due on draft decision</w:t>
            </w:r>
          </w:p>
        </w:tc>
        <w:tc>
          <w:tcPr>
            <w:tcW w:w="2410" w:type="dxa"/>
            <w:tcMar>
              <w:top w:w="57" w:type="dxa"/>
              <w:left w:w="0" w:type="dxa"/>
              <w:bottom w:w="57" w:type="dxa"/>
              <w:right w:w="85" w:type="dxa"/>
            </w:tcMar>
            <w:vAlign w:val="center"/>
          </w:tcPr>
          <w:p w:rsidR="00D53578" w:rsidRPr="00D63371" w:rsidRDefault="00AF0BC1" w:rsidP="00CB5C02">
            <w:pPr>
              <w:pStyle w:val="UtilComTabletext"/>
            </w:pPr>
            <w:r>
              <w:t xml:space="preserve">11 </w:t>
            </w:r>
            <w:r w:rsidR="00CB5C02">
              <w:t>November</w:t>
            </w:r>
            <w:r w:rsidR="00B62970" w:rsidRPr="00D63371">
              <w:t xml:space="preserve"> </w:t>
            </w:r>
            <w:r w:rsidR="00A96B41" w:rsidRPr="00D63371">
              <w:t>2016</w:t>
            </w:r>
          </w:p>
        </w:tc>
      </w:tr>
      <w:tr w:rsidR="00D53578" w:rsidRPr="00CD0BDF" w:rsidTr="00B67063">
        <w:trPr>
          <w:trHeight w:val="360"/>
        </w:trPr>
        <w:tc>
          <w:tcPr>
            <w:tcW w:w="6379" w:type="dxa"/>
            <w:tcMar>
              <w:top w:w="57" w:type="dxa"/>
              <w:left w:w="0" w:type="dxa"/>
              <w:bottom w:w="57" w:type="dxa"/>
              <w:right w:w="85" w:type="dxa"/>
            </w:tcMar>
            <w:vAlign w:val="center"/>
          </w:tcPr>
          <w:p w:rsidR="00D53578" w:rsidRPr="00180C37" w:rsidRDefault="00D53578" w:rsidP="008B30BD">
            <w:pPr>
              <w:pStyle w:val="UtilComTabletext"/>
            </w:pPr>
            <w:r w:rsidRPr="00E65252">
              <w:t xml:space="preserve">Final Decision </w:t>
            </w:r>
            <w:r w:rsidR="00D77C31" w:rsidRPr="00E65252">
              <w:t xml:space="preserve">to amend the Retail Supply </w:t>
            </w:r>
            <w:r w:rsidRPr="00E65252">
              <w:t>Code</w:t>
            </w:r>
            <w:r w:rsidR="00D77C31" w:rsidRPr="00E65252">
              <w:t xml:space="preserve">, </w:t>
            </w:r>
            <w:r w:rsidR="00332DE0" w:rsidRPr="00E65252">
              <w:t>including issuing</w:t>
            </w:r>
            <w:r w:rsidR="008A37F7" w:rsidRPr="00E65252">
              <w:t xml:space="preserve"> </w:t>
            </w:r>
            <w:r w:rsidR="00E626A6" w:rsidRPr="00E65252">
              <w:t xml:space="preserve">a </w:t>
            </w:r>
            <w:r w:rsidR="00D37F50" w:rsidRPr="00180C37">
              <w:t>varied</w:t>
            </w:r>
            <w:r w:rsidR="008A37F7" w:rsidRPr="00180C37">
              <w:t xml:space="preserve"> Retail Supply Code</w:t>
            </w:r>
            <w:r w:rsidR="00247481" w:rsidRPr="00180C37">
              <w:t xml:space="preserve"> (to commence 1 January 2017)</w:t>
            </w:r>
            <w:r w:rsidR="008A37F7" w:rsidRPr="00180C37">
              <w:t>.</w:t>
            </w:r>
          </w:p>
        </w:tc>
        <w:tc>
          <w:tcPr>
            <w:tcW w:w="2410" w:type="dxa"/>
            <w:tcMar>
              <w:top w:w="57" w:type="dxa"/>
              <w:left w:w="0" w:type="dxa"/>
              <w:bottom w:w="57" w:type="dxa"/>
              <w:right w:w="85" w:type="dxa"/>
            </w:tcMar>
            <w:vAlign w:val="center"/>
          </w:tcPr>
          <w:p w:rsidR="00D53578" w:rsidRPr="00D63371" w:rsidRDefault="00AF0BC1" w:rsidP="00B67063">
            <w:pPr>
              <w:pStyle w:val="UtilComTabletext"/>
            </w:pPr>
            <w:r>
              <w:t>14</w:t>
            </w:r>
            <w:r w:rsidRPr="00D63371">
              <w:t xml:space="preserve"> </w:t>
            </w:r>
            <w:r w:rsidR="00247481" w:rsidRPr="00D63371">
              <w:t>December 2016</w:t>
            </w:r>
          </w:p>
        </w:tc>
      </w:tr>
    </w:tbl>
    <w:p w:rsidR="007E575A" w:rsidRDefault="003700CC" w:rsidP="00DD3E96">
      <w:pPr>
        <w:numPr>
          <w:ilvl w:val="0"/>
          <w:numId w:val="14"/>
        </w:numPr>
        <w:ind w:left="567" w:hanging="567"/>
      </w:pPr>
      <w:bookmarkStart w:id="51" w:name="_Toc326315897"/>
      <w:bookmarkStart w:id="52" w:name="_Toc327349037"/>
      <w:bookmarkEnd w:id="51"/>
      <w:r>
        <w:t>The</w:t>
      </w:r>
      <w:r w:rsidR="00E65252">
        <w:t>se</w:t>
      </w:r>
      <w:r>
        <w:t xml:space="preserve"> timeframes are indicative only. The process may need to be amended to include additional consultation depending </w:t>
      </w:r>
      <w:r w:rsidR="00F97FC7">
        <w:t xml:space="preserve">on </w:t>
      </w:r>
      <w:r>
        <w:t>the number and complexity of any additional issues raised during consultation.</w:t>
      </w:r>
    </w:p>
    <w:p w:rsidR="003700CC" w:rsidRDefault="003700CC" w:rsidP="00DD3E96">
      <w:pPr>
        <w:numPr>
          <w:ilvl w:val="0"/>
          <w:numId w:val="14"/>
        </w:numPr>
        <w:ind w:left="567" w:hanging="567"/>
      </w:pPr>
      <w:r>
        <w:t xml:space="preserve">The Commission may decide to release an issues paper for consultation prior to issuing its draft decision.  </w:t>
      </w:r>
    </w:p>
    <w:p w:rsidR="00187E8F" w:rsidRDefault="00187E8F" w:rsidP="005257FE">
      <w:pPr>
        <w:pStyle w:val="UtilComHeading2"/>
      </w:pPr>
      <w:bookmarkStart w:id="53" w:name="_Toc457207583"/>
      <w:r>
        <w:t>History of the Retail Supply Code</w:t>
      </w:r>
      <w:bookmarkEnd w:id="52"/>
      <w:bookmarkEnd w:id="53"/>
    </w:p>
    <w:p w:rsidR="00E473B7" w:rsidRPr="00E473B7" w:rsidRDefault="00E473B7" w:rsidP="00B67063">
      <w:pPr>
        <w:pStyle w:val="UtilComHeading3"/>
      </w:pPr>
      <w:bookmarkStart w:id="54" w:name="_Toc326762905"/>
      <w:bookmarkStart w:id="55" w:name="_Toc327349038"/>
      <w:bookmarkStart w:id="56" w:name="_Toc457207584"/>
      <w:bookmarkStart w:id="57" w:name="_Toc326315899"/>
      <w:r>
        <w:t>Full retail contestability</w:t>
      </w:r>
      <w:bookmarkEnd w:id="54"/>
      <w:bookmarkEnd w:id="55"/>
      <w:bookmarkEnd w:id="56"/>
    </w:p>
    <w:p w:rsidR="00E473B7" w:rsidRDefault="00695D2C" w:rsidP="00DD3E96">
      <w:pPr>
        <w:numPr>
          <w:ilvl w:val="0"/>
          <w:numId w:val="14"/>
        </w:numPr>
        <w:ind w:left="567" w:hanging="567"/>
      </w:pPr>
      <w:bookmarkStart w:id="58" w:name="_Toc326762906"/>
      <w:bookmarkStart w:id="59" w:name="_Toc327349039"/>
      <w:r>
        <w:t>Full retail contestability</w:t>
      </w:r>
      <w:r w:rsidR="003D2939">
        <w:t xml:space="preserve"> refers to </w:t>
      </w:r>
      <w:r>
        <w:t xml:space="preserve">regulatory </w:t>
      </w:r>
      <w:r w:rsidR="003D2939">
        <w:t xml:space="preserve">arrangements </w:t>
      </w:r>
      <w:r w:rsidR="00336244">
        <w:t xml:space="preserve">that provide </w:t>
      </w:r>
      <w:r>
        <w:t xml:space="preserve">customers with the </w:t>
      </w:r>
      <w:r w:rsidR="00C356F4">
        <w:t>option</w:t>
      </w:r>
      <w:r>
        <w:t xml:space="preserve"> to </w:t>
      </w:r>
      <w:r w:rsidR="00DC1F18">
        <w:t>select</w:t>
      </w:r>
      <w:r>
        <w:t xml:space="preserve"> their electricity retailer</w:t>
      </w:r>
      <w:r w:rsidR="00043B58">
        <w:t>s</w:t>
      </w:r>
      <w:r>
        <w:t xml:space="preserve">. All Australian jurisdictions made a commitment through the Council of Australian Governments National Competition Policy to encourage competition in </w:t>
      </w:r>
      <w:r w:rsidR="004E41AE">
        <w:t xml:space="preserve">the </w:t>
      </w:r>
      <w:r>
        <w:t>electricity supply</w:t>
      </w:r>
      <w:r w:rsidR="005026F5">
        <w:t xml:space="preserve"> industry</w:t>
      </w:r>
      <w:r>
        <w:t xml:space="preserve"> through facilitating full retail contestability.</w:t>
      </w:r>
      <w:bookmarkEnd w:id="58"/>
      <w:bookmarkEnd w:id="59"/>
      <w:r>
        <w:t xml:space="preserve"> </w:t>
      </w:r>
    </w:p>
    <w:p w:rsidR="00404203" w:rsidRDefault="00404203" w:rsidP="00DD3E96">
      <w:pPr>
        <w:numPr>
          <w:ilvl w:val="0"/>
          <w:numId w:val="14"/>
        </w:numPr>
        <w:ind w:left="567" w:hanging="567"/>
      </w:pPr>
      <w:bookmarkStart w:id="60" w:name="_Toc326762907"/>
      <w:bookmarkStart w:id="61" w:name="_Toc327349040"/>
      <w:r>
        <w:t xml:space="preserve">The Territory </w:t>
      </w:r>
      <w:r w:rsidR="007576E4">
        <w:t xml:space="preserve">has </w:t>
      </w:r>
      <w:r>
        <w:t>adopted a staged approach to contes</w:t>
      </w:r>
      <w:r w:rsidR="004E41AE">
        <w:t xml:space="preserve">tability. </w:t>
      </w:r>
      <w:r w:rsidR="005724E7">
        <w:t xml:space="preserve">All </w:t>
      </w:r>
      <w:r w:rsidR="004E41AE">
        <w:t>large customers (</w:t>
      </w:r>
      <w:r w:rsidR="003700CC">
        <w:t>that is,</w:t>
      </w:r>
      <w:r>
        <w:t xml:space="preserve"> consuming more than 750 megawatt hours of electricity each year) were able to choose their retailers from April 2002.</w:t>
      </w:r>
      <w:r w:rsidR="00BD7A41">
        <w:rPr>
          <w:rStyle w:val="FootnoteReference"/>
        </w:rPr>
        <w:footnoteReference w:id="7"/>
      </w:r>
      <w:r>
        <w:t xml:space="preserve"> Small businesses and household customers (</w:t>
      </w:r>
      <w:r w:rsidR="003700CC">
        <w:t>that is,</w:t>
      </w:r>
      <w:r>
        <w:t xml:space="preserve"> consuming less than 750 megawatt hours of electricity each year) became contestable from 1 April 2010.</w:t>
      </w:r>
      <w:bookmarkEnd w:id="60"/>
      <w:bookmarkEnd w:id="61"/>
    </w:p>
    <w:p w:rsidR="00404203" w:rsidRDefault="00404203" w:rsidP="00DD3E96">
      <w:pPr>
        <w:numPr>
          <w:ilvl w:val="0"/>
          <w:numId w:val="14"/>
        </w:numPr>
        <w:ind w:left="567" w:hanging="567"/>
      </w:pPr>
      <w:bookmarkStart w:id="62" w:name="_Toc326762908"/>
      <w:bookmarkStart w:id="63" w:name="_Toc327349041"/>
      <w:r>
        <w:t xml:space="preserve">Retail contestability requires a coordinated package of systems and processes to </w:t>
      </w:r>
      <w:r w:rsidR="00764896">
        <w:t>facilitate</w:t>
      </w:r>
      <w:r>
        <w:t xml:space="preserve"> the transfer of customers between </w:t>
      </w:r>
      <w:r w:rsidR="00680FE7">
        <w:t>retailers</w:t>
      </w:r>
      <w:r w:rsidR="00D06BD9">
        <w:t>,</w:t>
      </w:r>
      <w:r w:rsidR="00791C34">
        <w:t xml:space="preserve"> and</w:t>
      </w:r>
      <w:r w:rsidR="00DD6778">
        <w:t xml:space="preserve"> </w:t>
      </w:r>
      <w:r>
        <w:t>protect consumers</w:t>
      </w:r>
      <w:r w:rsidR="00D06BD9">
        <w:t xml:space="preserve"> and</w:t>
      </w:r>
      <w:r w:rsidR="00620F08">
        <w:t xml:space="preserve"> </w:t>
      </w:r>
      <w:r w:rsidR="00764896">
        <w:t>electricity</w:t>
      </w:r>
      <w:r w:rsidR="00791C34">
        <w:t xml:space="preserve"> </w:t>
      </w:r>
      <w:r w:rsidR="00B62EDA">
        <w:t>entities</w:t>
      </w:r>
      <w:r w:rsidR="002229EC">
        <w:t xml:space="preserve">. </w:t>
      </w:r>
      <w:r w:rsidR="00C22F80">
        <w:t>These arrangements are generally codified in legally</w:t>
      </w:r>
      <w:r w:rsidR="00E83153">
        <w:t xml:space="preserve"> </w:t>
      </w:r>
      <w:r w:rsidR="00C22F80">
        <w:t xml:space="preserve">binding regulatory </w:t>
      </w:r>
      <w:r w:rsidR="00680FE7">
        <w:t>instruments to</w:t>
      </w:r>
      <w:r w:rsidR="00C22F80">
        <w:t xml:space="preserve"> </w:t>
      </w:r>
      <w:r w:rsidR="00ED40DF">
        <w:t>provide</w:t>
      </w:r>
      <w:r w:rsidR="00C22F80">
        <w:t xml:space="preserve"> certainty </w:t>
      </w:r>
      <w:r w:rsidR="000D57DD">
        <w:t xml:space="preserve">on the rules associated with retail supply </w:t>
      </w:r>
      <w:r w:rsidR="00C22F80">
        <w:t xml:space="preserve">to retailers, the </w:t>
      </w:r>
      <w:r w:rsidR="00C22F80" w:rsidRPr="00570696">
        <w:t>network provider,</w:t>
      </w:r>
      <w:r w:rsidR="00C22F80">
        <w:t xml:space="preserve"> the </w:t>
      </w:r>
      <w:r w:rsidR="00B45F0C">
        <w:t>Market Operator</w:t>
      </w:r>
      <w:r w:rsidR="00A17EFE">
        <w:t xml:space="preserve"> and consumers</w:t>
      </w:r>
      <w:r w:rsidR="000D57DD">
        <w:t>.</w:t>
      </w:r>
      <w:bookmarkEnd w:id="62"/>
      <w:bookmarkEnd w:id="63"/>
    </w:p>
    <w:p w:rsidR="00404203" w:rsidRPr="00404203" w:rsidRDefault="004F3AE0" w:rsidP="00DD3E96">
      <w:pPr>
        <w:numPr>
          <w:ilvl w:val="0"/>
          <w:numId w:val="14"/>
        </w:numPr>
        <w:ind w:left="567" w:hanging="567"/>
      </w:pPr>
      <w:bookmarkStart w:id="64" w:name="_Toc326762909"/>
      <w:bookmarkStart w:id="65" w:name="_Toc327349042"/>
      <w:r>
        <w:t>Prior to 2011, the Territory</w:t>
      </w:r>
      <w:r w:rsidR="00CE4F24">
        <w:t>’s</w:t>
      </w:r>
      <w:r>
        <w:t xml:space="preserve"> electricity </w:t>
      </w:r>
      <w:r w:rsidR="00FD3605">
        <w:t xml:space="preserve">regulatory </w:t>
      </w:r>
      <w:r>
        <w:t xml:space="preserve">framework did not contain </w:t>
      </w:r>
      <w:r w:rsidR="003C4457">
        <w:t xml:space="preserve">any </w:t>
      </w:r>
      <w:r>
        <w:t xml:space="preserve">specific requirements </w:t>
      </w:r>
      <w:r w:rsidR="00282BF9">
        <w:t>for</w:t>
      </w:r>
      <w:r>
        <w:t xml:space="preserve"> retail supply. </w:t>
      </w:r>
      <w:r w:rsidR="00E32D50">
        <w:t xml:space="preserve">At </w:t>
      </w:r>
      <w:r w:rsidR="00545A2D">
        <w:t>the</w:t>
      </w:r>
      <w:r w:rsidR="00E32D50">
        <w:t xml:space="preserve"> time, </w:t>
      </w:r>
      <w:r w:rsidR="003700CC">
        <w:t>PWC</w:t>
      </w:r>
      <w:r w:rsidR="00E32D50">
        <w:t xml:space="preserve"> was the only retailer of electricity in the Territory.</w:t>
      </w:r>
      <w:bookmarkEnd w:id="64"/>
      <w:bookmarkEnd w:id="65"/>
    </w:p>
    <w:p w:rsidR="00E473B7" w:rsidRPr="00E473B7" w:rsidRDefault="00E473B7" w:rsidP="00B67063">
      <w:pPr>
        <w:pStyle w:val="UtilComHeading3"/>
      </w:pPr>
      <w:bookmarkStart w:id="66" w:name="_Toc326762910"/>
      <w:bookmarkStart w:id="67" w:name="_Toc327349043"/>
      <w:bookmarkStart w:id="68" w:name="_Toc457207585"/>
      <w:r>
        <w:t>Development of the Code</w:t>
      </w:r>
      <w:bookmarkEnd w:id="66"/>
      <w:bookmarkEnd w:id="67"/>
      <w:bookmarkEnd w:id="68"/>
    </w:p>
    <w:p w:rsidR="00D85231" w:rsidRDefault="004C45BC" w:rsidP="00DD3E96">
      <w:pPr>
        <w:numPr>
          <w:ilvl w:val="0"/>
          <w:numId w:val="14"/>
        </w:numPr>
        <w:ind w:left="567" w:hanging="567"/>
      </w:pPr>
      <w:bookmarkStart w:id="69" w:name="_Toc326762911"/>
      <w:bookmarkStart w:id="70" w:name="_Toc327349044"/>
      <w:r>
        <w:t>The Code was developed</w:t>
      </w:r>
      <w:r w:rsidR="009B5A56">
        <w:t xml:space="preserve"> as a transitional arrangement</w:t>
      </w:r>
      <w:r>
        <w:t xml:space="preserve"> in response to the entry of a second retailer</w:t>
      </w:r>
      <w:r w:rsidR="00E83153">
        <w:t>, QEnergy Ltd</w:t>
      </w:r>
      <w:r w:rsidR="00365CBE">
        <w:t xml:space="preserve"> (QEnergy)</w:t>
      </w:r>
      <w:r w:rsidR="00E83153">
        <w:t>,</w:t>
      </w:r>
      <w:r>
        <w:t xml:space="preserve"> into the Territory electricity mark</w:t>
      </w:r>
      <w:r w:rsidR="00365CBE">
        <w:t>et on 4</w:t>
      </w:r>
      <w:r w:rsidR="00E83153">
        <w:t> </w:t>
      </w:r>
      <w:r w:rsidR="00365CBE">
        <w:t>February 2011.</w:t>
      </w:r>
      <w:r>
        <w:t xml:space="preserve"> </w:t>
      </w:r>
      <w:r w:rsidR="00B15400">
        <w:t xml:space="preserve">The entry of QEnergy </w:t>
      </w:r>
      <w:r w:rsidR="00792B9A">
        <w:t xml:space="preserve">identified </w:t>
      </w:r>
      <w:r w:rsidR="00B15400">
        <w:t xml:space="preserve">a need for specific regulatory requirements to facilitate </w:t>
      </w:r>
      <w:r w:rsidR="00BD53B2">
        <w:t xml:space="preserve">retail supply </w:t>
      </w:r>
      <w:r w:rsidR="00BB66B5">
        <w:t>activities</w:t>
      </w:r>
      <w:r w:rsidR="007C67D6">
        <w:t xml:space="preserve"> between </w:t>
      </w:r>
      <w:r w:rsidR="004D228C">
        <w:t>electricity entities</w:t>
      </w:r>
      <w:r w:rsidR="000D57DD">
        <w:t xml:space="preserve">, </w:t>
      </w:r>
      <w:r w:rsidR="00BD53B2">
        <w:t xml:space="preserve">including </w:t>
      </w:r>
      <w:r w:rsidR="00AE2F6C">
        <w:lastRenderedPageBreak/>
        <w:t>transfer</w:t>
      </w:r>
      <w:r w:rsidR="00BD53B2">
        <w:t xml:space="preserve"> </w:t>
      </w:r>
      <w:r w:rsidR="002541EB">
        <w:t xml:space="preserve">of </w:t>
      </w:r>
      <w:r w:rsidR="00AE2F6C">
        <w:t>customers</w:t>
      </w:r>
      <w:r w:rsidR="00201412">
        <w:t>,</w:t>
      </w:r>
      <w:r w:rsidR="00561A9F">
        <w:t xml:space="preserve"> </w:t>
      </w:r>
      <w:r w:rsidR="00BD53B2">
        <w:t>business</w:t>
      </w:r>
      <w:r w:rsidR="00E83153">
        <w:t>-</w:t>
      </w:r>
      <w:r w:rsidR="00BD53B2">
        <w:t>to</w:t>
      </w:r>
      <w:r w:rsidR="00E83153">
        <w:t>-</w:t>
      </w:r>
      <w:r w:rsidR="00BD53B2">
        <w:t>business arrangements</w:t>
      </w:r>
      <w:r w:rsidR="00F81DCC">
        <w:t xml:space="preserve"> between competing retailers</w:t>
      </w:r>
      <w:r w:rsidR="00957D3E">
        <w:t>,</w:t>
      </w:r>
      <w:r w:rsidR="00F81DCC">
        <w:t xml:space="preserve"> and </w:t>
      </w:r>
      <w:r w:rsidR="000662C7">
        <w:t xml:space="preserve">credit support arrangements </w:t>
      </w:r>
      <w:r w:rsidR="00F81DCC">
        <w:t>between retailers and/or generators and the network provider.</w:t>
      </w:r>
      <w:bookmarkEnd w:id="57"/>
      <w:bookmarkEnd w:id="69"/>
      <w:bookmarkEnd w:id="70"/>
      <w:r w:rsidR="00F81DCC">
        <w:t xml:space="preserve"> </w:t>
      </w:r>
    </w:p>
    <w:p w:rsidR="0077223E" w:rsidRDefault="00792B9A" w:rsidP="00206C79">
      <w:pPr>
        <w:numPr>
          <w:ilvl w:val="0"/>
          <w:numId w:val="14"/>
        </w:numPr>
        <w:ind w:left="567" w:hanging="567"/>
      </w:pPr>
      <w:bookmarkStart w:id="71" w:name="_Toc326315900"/>
      <w:bookmarkStart w:id="72" w:name="_Toc326762912"/>
      <w:bookmarkStart w:id="73" w:name="_Toc327349045"/>
      <w:r>
        <w:t xml:space="preserve">The </w:t>
      </w:r>
      <w:r w:rsidR="006D7FB6">
        <w:t>Commission was given the power to make a code relating to</w:t>
      </w:r>
      <w:r w:rsidR="00C53B32">
        <w:t xml:space="preserve"> </w:t>
      </w:r>
      <w:r w:rsidR="006D7FB6">
        <w:t xml:space="preserve">retail </w:t>
      </w:r>
      <w:r w:rsidR="00C53B32">
        <w:t>supply</w:t>
      </w:r>
      <w:r w:rsidR="00C861DC">
        <w:t xml:space="preserve"> under Regulation 2</w:t>
      </w:r>
      <w:r w:rsidR="006D7FB6">
        <w:t>A of the Utilities Commission Regulations</w:t>
      </w:r>
      <w:r w:rsidR="00206C79">
        <w:t xml:space="preserve"> (the Regulations)</w:t>
      </w:r>
      <w:r w:rsidR="006D7FB6">
        <w:t>.</w:t>
      </w:r>
      <w:r w:rsidR="0077223E">
        <w:t xml:space="preserve"> Under the Regulations, the Code may deal with one or more of the following:</w:t>
      </w:r>
      <w:bookmarkEnd w:id="71"/>
      <w:bookmarkEnd w:id="72"/>
      <w:bookmarkEnd w:id="73"/>
    </w:p>
    <w:p w:rsidR="0077223E" w:rsidRDefault="0077223E" w:rsidP="00381CC9">
      <w:pPr>
        <w:numPr>
          <w:ilvl w:val="0"/>
          <w:numId w:val="10"/>
        </w:numPr>
        <w:ind w:left="993" w:hanging="426"/>
      </w:pPr>
      <w:r>
        <w:t>transfer of customers between retailers;</w:t>
      </w:r>
    </w:p>
    <w:p w:rsidR="0077223E" w:rsidRDefault="0077223E" w:rsidP="00381CC9">
      <w:pPr>
        <w:numPr>
          <w:ilvl w:val="0"/>
          <w:numId w:val="10"/>
        </w:numPr>
        <w:ind w:left="993" w:hanging="426"/>
      </w:pPr>
      <w:r>
        <w:t>credit support arrangements;</w:t>
      </w:r>
    </w:p>
    <w:p w:rsidR="0077223E" w:rsidRDefault="0077223E" w:rsidP="00381CC9">
      <w:pPr>
        <w:numPr>
          <w:ilvl w:val="0"/>
          <w:numId w:val="10"/>
        </w:numPr>
        <w:ind w:left="993" w:hanging="426"/>
      </w:pPr>
      <w:r>
        <w:t>billing;</w:t>
      </w:r>
    </w:p>
    <w:p w:rsidR="0077223E" w:rsidRDefault="0077223E" w:rsidP="00381CC9">
      <w:pPr>
        <w:numPr>
          <w:ilvl w:val="0"/>
          <w:numId w:val="10"/>
        </w:numPr>
        <w:ind w:left="993" w:hanging="426"/>
      </w:pPr>
      <w:r>
        <w:t>metrology;</w:t>
      </w:r>
    </w:p>
    <w:p w:rsidR="0077223E" w:rsidRDefault="0077223E" w:rsidP="00381CC9">
      <w:pPr>
        <w:numPr>
          <w:ilvl w:val="0"/>
          <w:numId w:val="10"/>
        </w:numPr>
        <w:ind w:left="993" w:hanging="426"/>
      </w:pPr>
      <w:r>
        <w:t>service order arrangements;</w:t>
      </w:r>
    </w:p>
    <w:p w:rsidR="0077223E" w:rsidRDefault="00281FCB" w:rsidP="00381CC9">
      <w:pPr>
        <w:numPr>
          <w:ilvl w:val="0"/>
          <w:numId w:val="10"/>
        </w:numPr>
        <w:ind w:left="993" w:hanging="426"/>
      </w:pPr>
      <w:r>
        <w:t xml:space="preserve">RoLR </w:t>
      </w:r>
      <w:r w:rsidR="0077223E">
        <w:t>arrangements;</w:t>
      </w:r>
      <w:r w:rsidR="00DB0D45">
        <w:t xml:space="preserve"> and</w:t>
      </w:r>
    </w:p>
    <w:p w:rsidR="00925A7E" w:rsidRDefault="0077223E" w:rsidP="00381CC9">
      <w:pPr>
        <w:numPr>
          <w:ilvl w:val="0"/>
          <w:numId w:val="10"/>
        </w:numPr>
        <w:ind w:left="993" w:hanging="426"/>
      </w:pPr>
      <w:r>
        <w:t>dispute resolution.</w:t>
      </w:r>
      <w:bookmarkStart w:id="74" w:name="_Toc326315901"/>
      <w:bookmarkEnd w:id="74"/>
    </w:p>
    <w:p w:rsidR="00A5197F" w:rsidRDefault="009946B7" w:rsidP="00DD3E96">
      <w:pPr>
        <w:numPr>
          <w:ilvl w:val="0"/>
          <w:numId w:val="14"/>
        </w:numPr>
        <w:ind w:left="567" w:hanging="567"/>
      </w:pPr>
      <w:bookmarkStart w:id="75" w:name="_Toc326315902"/>
      <w:bookmarkStart w:id="76" w:name="_Toc326762913"/>
      <w:bookmarkStart w:id="77" w:name="_Toc327349046"/>
      <w:r>
        <w:t xml:space="preserve">On 21 June 2011, the Commission released a draft Retail Supply Code for </w:t>
      </w:r>
      <w:r w:rsidR="007A4C74">
        <w:t xml:space="preserve">consultation with the Minister, </w:t>
      </w:r>
      <w:r w:rsidR="00042084">
        <w:t>industry</w:t>
      </w:r>
      <w:r w:rsidR="007A4C74">
        <w:t xml:space="preserve"> participants</w:t>
      </w:r>
      <w:r w:rsidR="006B314F">
        <w:t xml:space="preserve"> and stakeholders.</w:t>
      </w:r>
      <w:r w:rsidR="007A4C74">
        <w:t xml:space="preserve"> </w:t>
      </w:r>
      <w:r w:rsidR="00245F02">
        <w:t>The draft Code and submissions</w:t>
      </w:r>
      <w:r w:rsidR="003457BD">
        <w:t xml:space="preserve"> </w:t>
      </w:r>
      <w:r w:rsidR="00245F02">
        <w:t>are available on the Commission’s website (</w:t>
      </w:r>
      <w:hyperlink r:id="rId19" w:history="1">
        <w:r w:rsidR="00245F02" w:rsidRPr="0068002B">
          <w:rPr>
            <w:rStyle w:val="Hyperlink"/>
          </w:rPr>
          <w:t>www.utilicom.nt.gov.au</w:t>
        </w:r>
      </w:hyperlink>
      <w:r w:rsidR="00950596">
        <w:t>)</w:t>
      </w:r>
      <w:bookmarkStart w:id="78" w:name="_Toc326315904"/>
      <w:bookmarkEnd w:id="75"/>
      <w:bookmarkEnd w:id="76"/>
      <w:bookmarkEnd w:id="77"/>
      <w:bookmarkEnd w:id="78"/>
      <w:r w:rsidR="00894983">
        <w:t>.</w:t>
      </w:r>
    </w:p>
    <w:p w:rsidR="00A5197F" w:rsidRDefault="00A5197F" w:rsidP="00DD3E96">
      <w:pPr>
        <w:numPr>
          <w:ilvl w:val="0"/>
          <w:numId w:val="14"/>
        </w:numPr>
        <w:ind w:left="567" w:hanging="567"/>
      </w:pPr>
      <w:bookmarkStart w:id="79" w:name="_Toc326762914"/>
      <w:bookmarkStart w:id="80" w:name="_Toc327349047"/>
      <w:r>
        <w:t xml:space="preserve">On 3 August 2011, the Commission released the Code and accompanying statement of reasons in response to submissions </w:t>
      </w:r>
      <w:r w:rsidR="008120AE">
        <w:t>received during</w:t>
      </w:r>
      <w:r>
        <w:t xml:space="preserve"> the consultation process. </w:t>
      </w:r>
      <w:bookmarkEnd w:id="79"/>
      <w:bookmarkEnd w:id="80"/>
    </w:p>
    <w:p w:rsidR="00A5197F" w:rsidRDefault="00A5197F" w:rsidP="00DD3E96">
      <w:pPr>
        <w:numPr>
          <w:ilvl w:val="0"/>
          <w:numId w:val="14"/>
        </w:numPr>
        <w:ind w:left="567" w:hanging="567"/>
      </w:pPr>
      <w:bookmarkStart w:id="81" w:name="_Toc326762915"/>
      <w:bookmarkStart w:id="82" w:name="_Toc327349048"/>
      <w:r>
        <w:t xml:space="preserve">In making the </w:t>
      </w:r>
      <w:r w:rsidR="00894983">
        <w:t xml:space="preserve">original </w:t>
      </w:r>
      <w:r>
        <w:t>Code, the Commission had regard to the need</w:t>
      </w:r>
      <w:r w:rsidR="00D22CF2">
        <w:t xml:space="preserve"> to</w:t>
      </w:r>
      <w:r>
        <w:t>:</w:t>
      </w:r>
      <w:bookmarkEnd w:id="81"/>
      <w:bookmarkEnd w:id="82"/>
    </w:p>
    <w:p w:rsidR="00A5197F" w:rsidRDefault="00A5197F" w:rsidP="00381CC9">
      <w:pPr>
        <w:numPr>
          <w:ilvl w:val="0"/>
          <w:numId w:val="12"/>
        </w:numPr>
        <w:ind w:left="993" w:hanging="426"/>
      </w:pPr>
      <w:r>
        <w:t>promote competitive and fair market conduct;</w:t>
      </w:r>
    </w:p>
    <w:p w:rsidR="00A5197F" w:rsidRDefault="00A5197F" w:rsidP="00381CC9">
      <w:pPr>
        <w:numPr>
          <w:ilvl w:val="0"/>
          <w:numId w:val="12"/>
        </w:numPr>
        <w:ind w:left="993" w:hanging="426"/>
      </w:pPr>
      <w:r>
        <w:t>prevent misuse of monopoly or market power;</w:t>
      </w:r>
    </w:p>
    <w:p w:rsidR="00A5197F" w:rsidRDefault="00A5197F" w:rsidP="00381CC9">
      <w:pPr>
        <w:numPr>
          <w:ilvl w:val="0"/>
          <w:numId w:val="12"/>
        </w:numPr>
        <w:ind w:left="993" w:hanging="426"/>
      </w:pPr>
      <w:r>
        <w:t>facilitate entry into relevant markets;</w:t>
      </w:r>
    </w:p>
    <w:p w:rsidR="00A5197F" w:rsidRDefault="00A5197F" w:rsidP="00381CC9">
      <w:pPr>
        <w:numPr>
          <w:ilvl w:val="0"/>
          <w:numId w:val="12"/>
        </w:numPr>
        <w:ind w:left="993" w:hanging="426"/>
      </w:pPr>
      <w:r>
        <w:t>promote economic efficiency;</w:t>
      </w:r>
    </w:p>
    <w:p w:rsidR="00A5197F" w:rsidRDefault="00A5197F" w:rsidP="00381CC9">
      <w:pPr>
        <w:numPr>
          <w:ilvl w:val="0"/>
          <w:numId w:val="12"/>
        </w:numPr>
        <w:ind w:left="993" w:hanging="426"/>
      </w:pPr>
      <w:r>
        <w:t>ensure consumers benefit from competition and efficiency;</w:t>
      </w:r>
    </w:p>
    <w:p w:rsidR="00A5197F" w:rsidRDefault="00A5197F" w:rsidP="00381CC9">
      <w:pPr>
        <w:numPr>
          <w:ilvl w:val="0"/>
          <w:numId w:val="12"/>
        </w:numPr>
        <w:ind w:left="993" w:hanging="426"/>
      </w:pPr>
      <w:r>
        <w:t>protect the interests of consumers with respect to reliability and quality of services and supply in regulated industries;</w:t>
      </w:r>
    </w:p>
    <w:p w:rsidR="00A5197F" w:rsidRDefault="00A5197F" w:rsidP="00381CC9">
      <w:pPr>
        <w:numPr>
          <w:ilvl w:val="0"/>
          <w:numId w:val="12"/>
        </w:numPr>
        <w:ind w:left="993" w:hanging="426"/>
      </w:pPr>
      <w:r>
        <w:t>facilitate maintenance of the financial viability of regulated industries; and</w:t>
      </w:r>
    </w:p>
    <w:p w:rsidR="00FE79B4" w:rsidRDefault="00A5197F" w:rsidP="00381CC9">
      <w:pPr>
        <w:numPr>
          <w:ilvl w:val="0"/>
          <w:numId w:val="12"/>
        </w:numPr>
        <w:ind w:left="993" w:hanging="426"/>
      </w:pPr>
      <w:r>
        <w:t>ensure an appropriate rate of return on regulated infrastructure assets.</w:t>
      </w:r>
      <w:r>
        <w:rPr>
          <w:rStyle w:val="FootnoteReference"/>
        </w:rPr>
        <w:footnoteReference w:id="8"/>
      </w:r>
      <w:bookmarkStart w:id="83" w:name="_Toc326315905"/>
      <w:bookmarkEnd w:id="83"/>
    </w:p>
    <w:p w:rsidR="006957C3" w:rsidRDefault="006957C3" w:rsidP="00DD3E96">
      <w:pPr>
        <w:numPr>
          <w:ilvl w:val="0"/>
          <w:numId w:val="14"/>
        </w:numPr>
        <w:ind w:left="567" w:hanging="567"/>
      </w:pPr>
      <w:bookmarkStart w:id="84" w:name="_Toc327349049"/>
      <w:r>
        <w:t xml:space="preserve">The Commission anticipated that the transitional arrangements set out in the Code would be further developed based on industry practice, </w:t>
      </w:r>
      <w:r w:rsidR="00104A33">
        <w:t xml:space="preserve">the entry of retail </w:t>
      </w:r>
      <w:r>
        <w:t xml:space="preserve">competition, experience </w:t>
      </w:r>
      <w:r w:rsidR="00206C79">
        <w:t xml:space="preserve">in </w:t>
      </w:r>
      <w:r>
        <w:t>operating the Code and development of the regulatory framework.</w:t>
      </w:r>
    </w:p>
    <w:p w:rsidR="008076EF" w:rsidRPr="008076EF" w:rsidRDefault="00F00E58" w:rsidP="00B67063">
      <w:pPr>
        <w:pStyle w:val="UtilComHeading3"/>
      </w:pPr>
      <w:bookmarkStart w:id="85" w:name="_Toc457207586"/>
      <w:r>
        <w:t>Previous a</w:t>
      </w:r>
      <w:r w:rsidR="00894983">
        <w:t xml:space="preserve">mendments </w:t>
      </w:r>
      <w:r w:rsidR="006C7E65">
        <w:t>to</w:t>
      </w:r>
      <w:r w:rsidR="008076EF" w:rsidRPr="00712179">
        <w:t xml:space="preserve"> the Code</w:t>
      </w:r>
      <w:bookmarkEnd w:id="85"/>
      <w:r w:rsidR="00894983">
        <w:t xml:space="preserve"> </w:t>
      </w:r>
    </w:p>
    <w:p w:rsidR="00894983" w:rsidRDefault="00712179" w:rsidP="00DD3E96">
      <w:pPr>
        <w:numPr>
          <w:ilvl w:val="0"/>
          <w:numId w:val="14"/>
        </w:numPr>
        <w:ind w:left="567" w:hanging="567"/>
        <w:rPr>
          <w:rFonts w:cs="Arial"/>
          <w:szCs w:val="22"/>
        </w:rPr>
      </w:pPr>
      <w:r w:rsidRPr="00712179">
        <w:rPr>
          <w:szCs w:val="22"/>
        </w:rPr>
        <w:t xml:space="preserve">On </w:t>
      </w:r>
      <w:r w:rsidRPr="00712179">
        <w:rPr>
          <w:rFonts w:cs="Arial"/>
          <w:szCs w:val="22"/>
        </w:rPr>
        <w:t>15 May 2012</w:t>
      </w:r>
      <w:r w:rsidR="00894983">
        <w:rPr>
          <w:rFonts w:cs="Arial"/>
          <w:szCs w:val="22"/>
        </w:rPr>
        <w:t>,</w:t>
      </w:r>
      <w:r w:rsidRPr="00712179">
        <w:rPr>
          <w:rFonts w:cs="Arial"/>
          <w:szCs w:val="22"/>
        </w:rPr>
        <w:t xml:space="preserve"> QEnergy made an application to the Commission to amend parts of the Code. </w:t>
      </w:r>
      <w:r w:rsidR="003F7333" w:rsidRPr="003F7333">
        <w:rPr>
          <w:rFonts w:cs="Arial"/>
          <w:szCs w:val="22"/>
        </w:rPr>
        <w:t xml:space="preserve">The application </w:t>
      </w:r>
      <w:r w:rsidR="003F7333">
        <w:rPr>
          <w:rFonts w:cs="Arial"/>
          <w:szCs w:val="22"/>
        </w:rPr>
        <w:t xml:space="preserve">related to </w:t>
      </w:r>
      <w:r w:rsidR="003F7333" w:rsidRPr="003F7333">
        <w:rPr>
          <w:rFonts w:cs="Arial"/>
          <w:szCs w:val="22"/>
        </w:rPr>
        <w:t>credit support arrangements between generators and retailers, access to metering data and customer transfers.</w:t>
      </w:r>
    </w:p>
    <w:p w:rsidR="003F7333" w:rsidRPr="003F7333" w:rsidRDefault="003F7333" w:rsidP="00DD3E96">
      <w:pPr>
        <w:numPr>
          <w:ilvl w:val="0"/>
          <w:numId w:val="14"/>
        </w:numPr>
        <w:ind w:left="567" w:hanging="567"/>
        <w:rPr>
          <w:rFonts w:cs="Arial"/>
          <w:szCs w:val="22"/>
        </w:rPr>
      </w:pPr>
      <w:r>
        <w:rPr>
          <w:rFonts w:cs="Arial"/>
          <w:szCs w:val="22"/>
        </w:rPr>
        <w:t xml:space="preserve">In June 2012, the </w:t>
      </w:r>
      <w:r w:rsidRPr="003F7333">
        <w:rPr>
          <w:rFonts w:cs="Arial"/>
          <w:szCs w:val="22"/>
        </w:rPr>
        <w:t xml:space="preserve">Commission released a Consultation Paper </w:t>
      </w:r>
      <w:r>
        <w:rPr>
          <w:rFonts w:cs="Arial"/>
          <w:szCs w:val="22"/>
        </w:rPr>
        <w:t xml:space="preserve">and invited submissions </w:t>
      </w:r>
      <w:r w:rsidRPr="003F7333">
        <w:rPr>
          <w:rFonts w:cs="Arial"/>
          <w:szCs w:val="22"/>
        </w:rPr>
        <w:t xml:space="preserve">to facilitate discussion with industry participants and stakeholders on the matters raised by QEnergy. The Commission </w:t>
      </w:r>
      <w:r>
        <w:rPr>
          <w:rFonts w:cs="Arial"/>
          <w:szCs w:val="22"/>
        </w:rPr>
        <w:t xml:space="preserve">also sought </w:t>
      </w:r>
      <w:r w:rsidRPr="003F7333">
        <w:rPr>
          <w:rFonts w:cs="Arial"/>
          <w:szCs w:val="22"/>
        </w:rPr>
        <w:t xml:space="preserve">submissions proposing amendments to the Code independent from QEnergy’s amendment application. </w:t>
      </w:r>
    </w:p>
    <w:p w:rsidR="00735B94" w:rsidRDefault="00712179" w:rsidP="00DD3E96">
      <w:pPr>
        <w:numPr>
          <w:ilvl w:val="0"/>
          <w:numId w:val="14"/>
        </w:numPr>
        <w:ind w:left="567" w:hanging="567"/>
        <w:rPr>
          <w:rFonts w:cs="Arial"/>
          <w:szCs w:val="22"/>
        </w:rPr>
      </w:pPr>
      <w:r w:rsidRPr="00894983">
        <w:rPr>
          <w:szCs w:val="22"/>
        </w:rPr>
        <w:t>On</w:t>
      </w:r>
      <w:r w:rsidRPr="00712179">
        <w:rPr>
          <w:rFonts w:cs="Arial"/>
          <w:szCs w:val="22"/>
        </w:rPr>
        <w:t xml:space="preserve"> 16 </w:t>
      </w:r>
      <w:r w:rsidRPr="00894983">
        <w:rPr>
          <w:szCs w:val="22"/>
        </w:rPr>
        <w:t>November</w:t>
      </w:r>
      <w:r w:rsidRPr="00712179">
        <w:rPr>
          <w:rFonts w:cs="Arial"/>
          <w:szCs w:val="22"/>
        </w:rPr>
        <w:t xml:space="preserve"> 2012, the Commission released a Draft Decision Paper in response to submiss</w:t>
      </w:r>
      <w:r w:rsidR="00DC1B4E">
        <w:rPr>
          <w:rFonts w:cs="Arial"/>
          <w:szCs w:val="22"/>
        </w:rPr>
        <w:t>ions received by QEnergy</w:t>
      </w:r>
      <w:r w:rsidRPr="00712179">
        <w:rPr>
          <w:rFonts w:cs="Arial"/>
          <w:szCs w:val="22"/>
        </w:rPr>
        <w:t xml:space="preserve">, PWC and NT Major Energy Users during consultation on the Consultation and Options </w:t>
      </w:r>
      <w:r w:rsidR="000D57DD">
        <w:rPr>
          <w:rFonts w:cs="Arial"/>
          <w:szCs w:val="22"/>
        </w:rPr>
        <w:t>p</w:t>
      </w:r>
      <w:r w:rsidRPr="00712179">
        <w:rPr>
          <w:rFonts w:cs="Arial"/>
          <w:szCs w:val="22"/>
        </w:rPr>
        <w:t>aper</w:t>
      </w:r>
      <w:r w:rsidR="000D57DD">
        <w:rPr>
          <w:rFonts w:cs="Arial"/>
          <w:szCs w:val="22"/>
        </w:rPr>
        <w:t>s</w:t>
      </w:r>
      <w:r w:rsidRPr="00712179">
        <w:rPr>
          <w:rFonts w:cs="Arial"/>
          <w:szCs w:val="22"/>
        </w:rPr>
        <w:t xml:space="preserve">. The Commission issued its final </w:t>
      </w:r>
      <w:r w:rsidRPr="00712179">
        <w:rPr>
          <w:rFonts w:cs="Arial"/>
          <w:szCs w:val="22"/>
        </w:rPr>
        <w:lastRenderedPageBreak/>
        <w:t xml:space="preserve">decision to amend the Code on 23 May 2013. The amended Code came into effect </w:t>
      </w:r>
      <w:r w:rsidR="00833D37">
        <w:rPr>
          <w:rFonts w:cs="Arial"/>
          <w:szCs w:val="22"/>
        </w:rPr>
        <w:t xml:space="preserve">on </w:t>
      </w:r>
      <w:r w:rsidRPr="00712179">
        <w:rPr>
          <w:rFonts w:cs="Arial"/>
          <w:szCs w:val="22"/>
        </w:rPr>
        <w:t>1 June 2013.</w:t>
      </w:r>
    </w:p>
    <w:p w:rsidR="00735B94" w:rsidRDefault="00735B94" w:rsidP="00735B94">
      <w:pPr>
        <w:numPr>
          <w:ilvl w:val="0"/>
          <w:numId w:val="14"/>
        </w:numPr>
        <w:ind w:left="567" w:hanging="567"/>
        <w:rPr>
          <w:rFonts w:cs="Arial"/>
          <w:szCs w:val="22"/>
        </w:rPr>
      </w:pPr>
      <w:r w:rsidRPr="00712179">
        <w:rPr>
          <w:szCs w:val="22"/>
        </w:rPr>
        <w:t xml:space="preserve">On </w:t>
      </w:r>
      <w:r>
        <w:rPr>
          <w:rFonts w:cs="Arial"/>
          <w:szCs w:val="22"/>
        </w:rPr>
        <w:t>18 January 2016,</w:t>
      </w:r>
      <w:r w:rsidRPr="00712179">
        <w:rPr>
          <w:rFonts w:cs="Arial"/>
          <w:szCs w:val="22"/>
        </w:rPr>
        <w:t xml:space="preserve"> </w:t>
      </w:r>
      <w:r>
        <w:rPr>
          <w:rFonts w:cs="Arial"/>
          <w:szCs w:val="22"/>
        </w:rPr>
        <w:t>following notice to stakeholders and the Minister, the Code was amended to clarify that the RoLR is Jacana Energy</w:t>
      </w:r>
      <w:r w:rsidRPr="003F7333">
        <w:rPr>
          <w:rFonts w:cs="Arial"/>
          <w:szCs w:val="22"/>
        </w:rPr>
        <w:t>.</w:t>
      </w:r>
      <w:r>
        <w:rPr>
          <w:rFonts w:cs="Arial"/>
          <w:szCs w:val="22"/>
        </w:rPr>
        <w:t xml:space="preserve"> This amendment was made in the context of the structural separation of </w:t>
      </w:r>
      <w:r w:rsidR="00F00E58">
        <w:rPr>
          <w:rFonts w:cs="Arial"/>
          <w:szCs w:val="22"/>
        </w:rPr>
        <w:t>PWC on 1</w:t>
      </w:r>
      <w:r w:rsidR="00381CC9">
        <w:rPr>
          <w:rFonts w:cs="Arial"/>
          <w:szCs w:val="22"/>
        </w:rPr>
        <w:t> </w:t>
      </w:r>
      <w:r w:rsidR="00F00E58">
        <w:rPr>
          <w:rFonts w:cs="Arial"/>
          <w:szCs w:val="22"/>
        </w:rPr>
        <w:t>July</w:t>
      </w:r>
      <w:r w:rsidR="00381CC9">
        <w:rPr>
          <w:rFonts w:cs="Arial"/>
          <w:szCs w:val="22"/>
        </w:rPr>
        <w:t> </w:t>
      </w:r>
      <w:r w:rsidR="00F00E58">
        <w:rPr>
          <w:rFonts w:cs="Arial"/>
          <w:szCs w:val="22"/>
        </w:rPr>
        <w:t xml:space="preserve">2014 into separate retail, generation and network business units, with the Code previously referring to PWC as the RoLR. As part of structural separation of PWC, the functions of the RoLR were transferred to </w:t>
      </w:r>
      <w:r>
        <w:rPr>
          <w:rFonts w:cs="Arial"/>
          <w:szCs w:val="22"/>
        </w:rPr>
        <w:t>Jacana</w:t>
      </w:r>
      <w:r w:rsidR="00F00E58">
        <w:rPr>
          <w:rFonts w:cs="Arial"/>
          <w:szCs w:val="22"/>
        </w:rPr>
        <w:t xml:space="preserve"> Energy from PWC on 1 July 2014</w:t>
      </w:r>
      <w:r>
        <w:rPr>
          <w:rFonts w:cs="Arial"/>
          <w:szCs w:val="22"/>
        </w:rPr>
        <w:t xml:space="preserve">.  </w:t>
      </w:r>
    </w:p>
    <w:p w:rsidR="00735B94" w:rsidRDefault="00735B94" w:rsidP="00735B94">
      <w:pPr>
        <w:rPr>
          <w:rFonts w:cs="Arial"/>
          <w:szCs w:val="22"/>
        </w:rPr>
      </w:pPr>
    </w:p>
    <w:p w:rsidR="00735B94" w:rsidRDefault="00735B94" w:rsidP="00735B94">
      <w:pPr>
        <w:rPr>
          <w:rFonts w:cs="Arial"/>
          <w:szCs w:val="22"/>
        </w:rPr>
      </w:pPr>
    </w:p>
    <w:p w:rsidR="005C50CB" w:rsidRPr="003144D8" w:rsidRDefault="005C50CB" w:rsidP="003144D8">
      <w:pPr>
        <w:rPr>
          <w:rFonts w:cs="Arial"/>
          <w:szCs w:val="22"/>
        </w:rPr>
        <w:sectPr w:rsidR="005C50CB" w:rsidRPr="003144D8" w:rsidSect="00404679">
          <w:pgSz w:w="11907" w:h="16840" w:code="9"/>
          <w:pgMar w:top="851" w:right="1134" w:bottom="1134" w:left="1701" w:header="567" w:footer="567" w:gutter="0"/>
          <w:pgNumType w:start="4"/>
          <w:cols w:space="720"/>
          <w:titlePg/>
        </w:sectPr>
      </w:pPr>
    </w:p>
    <w:bookmarkEnd w:id="84"/>
    <w:tbl>
      <w:tblPr>
        <w:tblW w:w="0" w:type="auto"/>
        <w:tblLayout w:type="fixed"/>
        <w:tblLook w:val="01E0" w:firstRow="1" w:lastRow="1" w:firstColumn="1" w:lastColumn="1" w:noHBand="0" w:noVBand="0"/>
      </w:tblPr>
      <w:tblGrid>
        <w:gridCol w:w="9288"/>
      </w:tblGrid>
      <w:tr w:rsidR="008C11DD" w:rsidTr="00404679">
        <w:trPr>
          <w:trHeight w:val="1059"/>
        </w:trPr>
        <w:tc>
          <w:tcPr>
            <w:tcW w:w="9288" w:type="dxa"/>
          </w:tcPr>
          <w:p w:rsidR="008C11DD" w:rsidRDefault="008C11DD" w:rsidP="00404679">
            <w:pPr>
              <w:pStyle w:val="NumberLevel1"/>
            </w:pPr>
          </w:p>
        </w:tc>
      </w:tr>
      <w:tr w:rsidR="008C11DD" w:rsidTr="00CB79B5">
        <w:tc>
          <w:tcPr>
            <w:tcW w:w="9288" w:type="dxa"/>
          </w:tcPr>
          <w:p w:rsidR="008C11DD" w:rsidRDefault="003162A8" w:rsidP="00134C3F">
            <w:pPr>
              <w:pStyle w:val="UtilComChapterHeading"/>
            </w:pPr>
            <w:bookmarkStart w:id="86" w:name="_Toc457207587"/>
            <w:r>
              <w:t xml:space="preserve">Roles and </w:t>
            </w:r>
            <w:r w:rsidR="005257FE">
              <w:t>R</w:t>
            </w:r>
            <w:r>
              <w:t>esponsibilities</w:t>
            </w:r>
            <w:r w:rsidR="00134C3F">
              <w:t xml:space="preserve"> </w:t>
            </w:r>
            <w:r>
              <w:t xml:space="preserve">of the </w:t>
            </w:r>
            <w:r w:rsidR="00B45F0C">
              <w:t>Market Operator</w:t>
            </w:r>
            <w:bookmarkEnd w:id="86"/>
          </w:p>
        </w:tc>
      </w:tr>
    </w:tbl>
    <w:p w:rsidR="00127B06" w:rsidRDefault="00182929" w:rsidP="004D52BF">
      <w:pPr>
        <w:pStyle w:val="UtilComHeading2"/>
      </w:pPr>
      <w:bookmarkStart w:id="87" w:name="_Toc457207588"/>
      <w:r>
        <w:t>Summary</w:t>
      </w:r>
      <w:bookmarkEnd w:id="87"/>
    </w:p>
    <w:p w:rsidR="00DD52EC" w:rsidRPr="007E575A" w:rsidRDefault="00CB04D7" w:rsidP="00DD3E96">
      <w:pPr>
        <w:numPr>
          <w:ilvl w:val="0"/>
          <w:numId w:val="15"/>
        </w:numPr>
        <w:ind w:left="567" w:hanging="567"/>
      </w:pPr>
      <w:r w:rsidRPr="000D79CB">
        <w:rPr>
          <w:szCs w:val="22"/>
        </w:rPr>
        <w:t>PWC</w:t>
      </w:r>
      <w:r w:rsidR="00FF43DC">
        <w:rPr>
          <w:szCs w:val="22"/>
        </w:rPr>
        <w:t xml:space="preserve"> has</w:t>
      </w:r>
      <w:r>
        <w:t xml:space="preserve"> proposed amendments to the Code to define a </w:t>
      </w:r>
      <w:r w:rsidR="00B45F0C">
        <w:t>Market Operator</w:t>
      </w:r>
      <w:r>
        <w:t xml:space="preserve"> in the Code. The Commission </w:t>
      </w:r>
      <w:r w:rsidR="00335577">
        <w:t xml:space="preserve">has </w:t>
      </w:r>
      <w:r>
        <w:t>provide</w:t>
      </w:r>
      <w:r w:rsidR="00335577">
        <w:t>d</w:t>
      </w:r>
      <w:r>
        <w:t xml:space="preserve"> a statement</w:t>
      </w:r>
      <w:r w:rsidRPr="00CB04D7">
        <w:rPr>
          <w:szCs w:val="22"/>
        </w:rPr>
        <w:t xml:space="preserve"> </w:t>
      </w:r>
      <w:r>
        <w:rPr>
          <w:szCs w:val="22"/>
        </w:rPr>
        <w:t>of what it considers to be relevant issues, and its preliminary position on the points in PWC’s submission.</w:t>
      </w:r>
      <w:r w:rsidR="00DD52EC" w:rsidRPr="007E575A">
        <w:rPr>
          <w:szCs w:val="22"/>
        </w:rPr>
        <w:t xml:space="preserve"> </w:t>
      </w:r>
    </w:p>
    <w:p w:rsidR="00127B06" w:rsidRDefault="00495550" w:rsidP="004D52BF">
      <w:pPr>
        <w:pStyle w:val="UtilComHeading2"/>
      </w:pPr>
      <w:bookmarkStart w:id="88" w:name="_Toc457207589"/>
      <w:r>
        <w:t>Separation of Duties</w:t>
      </w:r>
      <w:bookmarkEnd w:id="88"/>
    </w:p>
    <w:p w:rsidR="00495550" w:rsidRPr="00EB6A2F" w:rsidRDefault="00AC57DD" w:rsidP="00DD3E96">
      <w:pPr>
        <w:numPr>
          <w:ilvl w:val="0"/>
          <w:numId w:val="15"/>
        </w:numPr>
        <w:ind w:left="567" w:hanging="567"/>
        <w:rPr>
          <w:szCs w:val="22"/>
        </w:rPr>
      </w:pPr>
      <w:bookmarkStart w:id="89" w:name="_Toc326762927"/>
      <w:bookmarkStart w:id="90" w:name="_Toc327349063"/>
      <w:bookmarkStart w:id="91" w:name="_Toc326315913"/>
      <w:r>
        <w:rPr>
          <w:rFonts w:cs="Arial"/>
          <w:szCs w:val="22"/>
        </w:rPr>
        <w:t>PWC state</w:t>
      </w:r>
      <w:r w:rsidR="00FF43DC">
        <w:rPr>
          <w:rFonts w:cs="Arial"/>
          <w:szCs w:val="22"/>
        </w:rPr>
        <w:t>s</w:t>
      </w:r>
      <w:r w:rsidR="00495550" w:rsidRPr="00EB6A2F">
        <w:rPr>
          <w:rFonts w:cs="Arial"/>
          <w:szCs w:val="22"/>
        </w:rPr>
        <w:t xml:space="preserve"> </w:t>
      </w:r>
      <w:r w:rsidR="00D753DA">
        <w:rPr>
          <w:rFonts w:cs="Arial"/>
          <w:szCs w:val="22"/>
        </w:rPr>
        <w:t>the definition of a Market Operator is required</w:t>
      </w:r>
      <w:r w:rsidR="00495550" w:rsidRPr="00EB6A2F">
        <w:rPr>
          <w:rFonts w:cs="Arial"/>
          <w:szCs w:val="22"/>
        </w:rPr>
        <w:t xml:space="preserve"> as the Code was initially implemented prior to the introduction of the Interim Northern Territory Electricity Market (I-NTEM) and creation of the Market Operator</w:t>
      </w:r>
      <w:r w:rsidR="00B97EE6">
        <w:rPr>
          <w:rFonts w:cs="Arial"/>
          <w:szCs w:val="22"/>
        </w:rPr>
        <w:t>. PWC also consider</w:t>
      </w:r>
      <w:r w:rsidR="00FF43DC">
        <w:rPr>
          <w:rFonts w:cs="Arial"/>
          <w:szCs w:val="22"/>
        </w:rPr>
        <w:t>s</w:t>
      </w:r>
      <w:r w:rsidR="00B97EE6">
        <w:rPr>
          <w:rFonts w:cs="Arial"/>
          <w:szCs w:val="22"/>
        </w:rPr>
        <w:t xml:space="preserve"> it </w:t>
      </w:r>
      <w:r w:rsidR="00495550" w:rsidRPr="00EB6A2F">
        <w:rPr>
          <w:rFonts w:cs="Arial"/>
          <w:szCs w:val="22"/>
        </w:rPr>
        <w:t xml:space="preserve">appropriate to align the requirements under the Code </w:t>
      </w:r>
      <w:r w:rsidR="00F12C22">
        <w:rPr>
          <w:rFonts w:cs="Arial"/>
          <w:szCs w:val="22"/>
        </w:rPr>
        <w:t>to</w:t>
      </w:r>
      <w:r w:rsidR="00495550" w:rsidRPr="00EB6A2F">
        <w:rPr>
          <w:rFonts w:cs="Arial"/>
          <w:szCs w:val="22"/>
        </w:rPr>
        <w:t xml:space="preserve"> those in the </w:t>
      </w:r>
      <w:r w:rsidR="00D2374D">
        <w:rPr>
          <w:rFonts w:cs="Arial"/>
          <w:szCs w:val="22"/>
        </w:rPr>
        <w:t>National Electricity Market (</w:t>
      </w:r>
      <w:r w:rsidR="00495550" w:rsidRPr="00EB6A2F">
        <w:rPr>
          <w:rFonts w:cs="Arial"/>
          <w:szCs w:val="22"/>
        </w:rPr>
        <w:t>NEM</w:t>
      </w:r>
      <w:r w:rsidR="00D2374D">
        <w:rPr>
          <w:rFonts w:cs="Arial"/>
          <w:szCs w:val="22"/>
        </w:rPr>
        <w:t>)</w:t>
      </w:r>
      <w:r w:rsidR="00495550" w:rsidRPr="00EB6A2F">
        <w:rPr>
          <w:rFonts w:cs="Arial"/>
          <w:szCs w:val="22"/>
        </w:rPr>
        <w:t xml:space="preserve">. </w:t>
      </w:r>
    </w:p>
    <w:p w:rsidR="00986075" w:rsidRPr="00986075" w:rsidRDefault="00986075" w:rsidP="00DD3E96">
      <w:pPr>
        <w:numPr>
          <w:ilvl w:val="0"/>
          <w:numId w:val="15"/>
        </w:numPr>
        <w:ind w:left="567" w:hanging="567"/>
        <w:rPr>
          <w:szCs w:val="22"/>
        </w:rPr>
      </w:pPr>
      <w:r>
        <w:rPr>
          <w:szCs w:val="22"/>
        </w:rPr>
        <w:t>PWC propos</w:t>
      </w:r>
      <w:r w:rsidR="003F7333">
        <w:rPr>
          <w:szCs w:val="22"/>
        </w:rPr>
        <w:t>e</w:t>
      </w:r>
      <w:r w:rsidR="00FF43DC">
        <w:rPr>
          <w:szCs w:val="22"/>
        </w:rPr>
        <w:t>s</w:t>
      </w:r>
      <w:r>
        <w:rPr>
          <w:szCs w:val="22"/>
        </w:rPr>
        <w:t xml:space="preserve"> that sections 6 (Market Data) and 8 (Customer Transfer) be primarily transferred to the Market Operator, with </w:t>
      </w:r>
      <w:r w:rsidR="00FF43DC">
        <w:rPr>
          <w:szCs w:val="22"/>
        </w:rPr>
        <w:t xml:space="preserve">further </w:t>
      </w:r>
      <w:r>
        <w:rPr>
          <w:szCs w:val="22"/>
        </w:rPr>
        <w:t xml:space="preserve">portions of section 6 and the entirety of section 8 to be transferred </w:t>
      </w:r>
      <w:r w:rsidR="00335577">
        <w:rPr>
          <w:szCs w:val="22"/>
        </w:rPr>
        <w:t xml:space="preserve">eventually </w:t>
      </w:r>
      <w:r>
        <w:rPr>
          <w:szCs w:val="22"/>
        </w:rPr>
        <w:t xml:space="preserve">from the </w:t>
      </w:r>
      <w:r w:rsidR="007B4828" w:rsidRPr="00897ACD">
        <w:rPr>
          <w:szCs w:val="22"/>
        </w:rPr>
        <w:t>n</w:t>
      </w:r>
      <w:r w:rsidRPr="00897ACD">
        <w:rPr>
          <w:szCs w:val="22"/>
        </w:rPr>
        <w:t xml:space="preserve">etwork </w:t>
      </w:r>
      <w:r w:rsidR="007B4828" w:rsidRPr="00897ACD">
        <w:rPr>
          <w:szCs w:val="22"/>
        </w:rPr>
        <w:t>s</w:t>
      </w:r>
      <w:r w:rsidR="00B97EE6" w:rsidRPr="00897ACD">
        <w:rPr>
          <w:szCs w:val="22"/>
        </w:rPr>
        <w:t xml:space="preserve">ervice </w:t>
      </w:r>
      <w:r w:rsidR="007B4828" w:rsidRPr="00897ACD">
        <w:rPr>
          <w:szCs w:val="22"/>
        </w:rPr>
        <w:t>p</w:t>
      </w:r>
      <w:r w:rsidRPr="00897ACD">
        <w:rPr>
          <w:szCs w:val="22"/>
        </w:rPr>
        <w:t>rovider</w:t>
      </w:r>
      <w:r>
        <w:rPr>
          <w:szCs w:val="22"/>
        </w:rPr>
        <w:t xml:space="preserve"> to the Market Operator. </w:t>
      </w:r>
    </w:p>
    <w:p w:rsidR="00986075" w:rsidRDefault="00986075" w:rsidP="00DD3E96">
      <w:pPr>
        <w:numPr>
          <w:ilvl w:val="0"/>
          <w:numId w:val="15"/>
        </w:numPr>
        <w:ind w:left="567" w:hanging="567"/>
      </w:pPr>
      <w:r>
        <w:t>PWC n</w:t>
      </w:r>
      <w:r w:rsidR="00AC57DD">
        <w:t>ote</w:t>
      </w:r>
      <w:r w:rsidR="00FF43DC">
        <w:t>s</w:t>
      </w:r>
      <w:r>
        <w:t xml:space="preserve"> the </w:t>
      </w:r>
      <w:r w:rsidR="00B45F0C">
        <w:t>Market Operator</w:t>
      </w:r>
      <w:r>
        <w:t xml:space="preserve"> currently has systems and processes </w:t>
      </w:r>
      <w:r w:rsidR="00FF43DC">
        <w:t xml:space="preserve">to </w:t>
      </w:r>
      <w:r>
        <w:t>allow for immediate transition of section 8 of the Code (</w:t>
      </w:r>
      <w:r w:rsidR="00FF43DC">
        <w:t>C</w:t>
      </w:r>
      <w:r>
        <w:t xml:space="preserve">ustomer </w:t>
      </w:r>
      <w:r w:rsidR="00FF43DC">
        <w:t>T</w:t>
      </w:r>
      <w:r>
        <w:t xml:space="preserve">ransfer </w:t>
      </w:r>
      <w:r w:rsidR="00FF43DC">
        <w:t>F</w:t>
      </w:r>
      <w:r>
        <w:t>acilitation)</w:t>
      </w:r>
      <w:r w:rsidR="00FF43DC">
        <w:t>.</w:t>
      </w:r>
      <w:r>
        <w:t xml:space="preserve"> </w:t>
      </w:r>
      <w:r w:rsidR="00FF43DC">
        <w:t xml:space="preserve">However, it </w:t>
      </w:r>
      <w:r>
        <w:t>proposes that primary responsibility</w:t>
      </w:r>
      <w:r w:rsidRPr="00986075">
        <w:t xml:space="preserve"> </w:t>
      </w:r>
      <w:r w:rsidRPr="00986075">
        <w:rPr>
          <w:szCs w:val="22"/>
        </w:rPr>
        <w:t>be transferred</w:t>
      </w:r>
      <w:r>
        <w:rPr>
          <w:szCs w:val="22"/>
        </w:rPr>
        <w:t xml:space="preserve"> with </w:t>
      </w:r>
      <w:r w:rsidRPr="00986075">
        <w:rPr>
          <w:szCs w:val="22"/>
        </w:rPr>
        <w:t xml:space="preserve">some requirements in this section </w:t>
      </w:r>
      <w:r>
        <w:rPr>
          <w:szCs w:val="22"/>
        </w:rPr>
        <w:t>remaining</w:t>
      </w:r>
      <w:r w:rsidRPr="00986075">
        <w:rPr>
          <w:szCs w:val="22"/>
        </w:rPr>
        <w:t xml:space="preserve"> with the </w:t>
      </w:r>
      <w:r w:rsidR="00DF44FB">
        <w:rPr>
          <w:szCs w:val="22"/>
        </w:rPr>
        <w:t>network service provider</w:t>
      </w:r>
      <w:r w:rsidRPr="00986075">
        <w:rPr>
          <w:szCs w:val="22"/>
        </w:rPr>
        <w:t xml:space="preserve">, </w:t>
      </w:r>
      <w:r w:rsidR="00FF43DC">
        <w:rPr>
          <w:szCs w:val="22"/>
        </w:rPr>
        <w:t>for example,</w:t>
      </w:r>
      <w:r w:rsidRPr="00986075">
        <w:rPr>
          <w:szCs w:val="22"/>
        </w:rPr>
        <w:t xml:space="preserve"> confirming the retailer has a Network Access Agreement and timeframes for completing any meter change service requests.</w:t>
      </w:r>
      <w:r>
        <w:t xml:space="preserve"> </w:t>
      </w:r>
    </w:p>
    <w:p w:rsidR="006B6BF6" w:rsidRDefault="00954033" w:rsidP="00DD3E96">
      <w:pPr>
        <w:numPr>
          <w:ilvl w:val="0"/>
          <w:numId w:val="15"/>
        </w:numPr>
        <w:ind w:left="567" w:hanging="567"/>
      </w:pPr>
      <w:r>
        <w:t>PWC also propose</w:t>
      </w:r>
      <w:r w:rsidR="00FF43DC">
        <w:t>s</w:t>
      </w:r>
      <w:r>
        <w:t xml:space="preserve"> that</w:t>
      </w:r>
      <w:r w:rsidR="00FF43DC">
        <w:t>,</w:t>
      </w:r>
      <w:r>
        <w:t xml:space="preserve"> s</w:t>
      </w:r>
      <w:r w:rsidR="006B6BF6" w:rsidRPr="006B6BF6">
        <w:t xml:space="preserve">hould standing data be required for accumulation meters, the Market Operator </w:t>
      </w:r>
      <w:r w:rsidR="00FF43DC">
        <w:t xml:space="preserve">should have </w:t>
      </w:r>
      <w:r w:rsidR="006B6BF6" w:rsidRPr="006B6BF6">
        <w:t xml:space="preserve">access to the </w:t>
      </w:r>
      <w:r w:rsidR="000C3579" w:rsidRPr="00B67063">
        <w:t>n</w:t>
      </w:r>
      <w:r w:rsidR="00BE1CCE" w:rsidRPr="000C3579">
        <w:t xml:space="preserve">etwork </w:t>
      </w:r>
      <w:r w:rsidR="000C3579" w:rsidRPr="00B67063">
        <w:t>s</w:t>
      </w:r>
      <w:r w:rsidR="00BE1CCE" w:rsidRPr="000C3579">
        <w:t xml:space="preserve">ervice </w:t>
      </w:r>
      <w:r w:rsidR="000C3579" w:rsidRPr="00B67063">
        <w:t>p</w:t>
      </w:r>
      <w:r w:rsidR="00BE1CCE" w:rsidRPr="000C3579">
        <w:t>rovider</w:t>
      </w:r>
      <w:r w:rsidR="006B6BF6" w:rsidRPr="00DF44FB">
        <w:t>’s</w:t>
      </w:r>
      <w:r w:rsidR="006B6BF6" w:rsidRPr="006B6BF6">
        <w:t xml:space="preserve"> systems either directly or through a system</w:t>
      </w:r>
      <w:r w:rsidR="00FF43DC">
        <w:t>-</w:t>
      </w:r>
      <w:r w:rsidR="006B6BF6" w:rsidRPr="006B6BF6">
        <w:t xml:space="preserve">based interface to provide this data. </w:t>
      </w:r>
    </w:p>
    <w:p w:rsidR="002F0310" w:rsidRDefault="002D4043" w:rsidP="00DD3E96">
      <w:pPr>
        <w:numPr>
          <w:ilvl w:val="0"/>
          <w:numId w:val="15"/>
        </w:numPr>
        <w:ind w:left="567" w:hanging="567"/>
      </w:pPr>
      <w:r>
        <w:t>PWC propose</w:t>
      </w:r>
      <w:r w:rsidR="004B5F04">
        <w:t>s</w:t>
      </w:r>
      <w:r w:rsidR="002F0310">
        <w:t xml:space="preserve"> that responsibility for provi</w:t>
      </w:r>
      <w:r w:rsidR="007067AD">
        <w:t>ding</w:t>
      </w:r>
      <w:r w:rsidR="002F0310">
        <w:t xml:space="preserve"> standing data </w:t>
      </w:r>
      <w:r w:rsidR="007067AD">
        <w:t xml:space="preserve">should </w:t>
      </w:r>
      <w:r w:rsidR="002F0310" w:rsidRPr="002F0310">
        <w:t xml:space="preserve">be transferred to the Market Operator, with ongoing provision of historical data </w:t>
      </w:r>
      <w:r w:rsidR="009E360F">
        <w:t xml:space="preserve">to </w:t>
      </w:r>
      <w:r w:rsidR="002F0310" w:rsidRPr="002F0310">
        <w:t>remai</w:t>
      </w:r>
      <w:r w:rsidR="002F0310">
        <w:t xml:space="preserve">n with the </w:t>
      </w:r>
      <w:r w:rsidR="000C3579" w:rsidRPr="00B67063">
        <w:t>n</w:t>
      </w:r>
      <w:r w:rsidR="00BE1CCE" w:rsidRPr="00DF44FB">
        <w:t xml:space="preserve">etwork </w:t>
      </w:r>
      <w:r w:rsidR="000C3579" w:rsidRPr="00B67063">
        <w:t>s</w:t>
      </w:r>
      <w:r w:rsidR="00BE1CCE" w:rsidRPr="00DF44FB">
        <w:t xml:space="preserve">ervice </w:t>
      </w:r>
      <w:r w:rsidR="000C3579" w:rsidRPr="00B67063">
        <w:t>p</w:t>
      </w:r>
      <w:r w:rsidR="00BE1CCE" w:rsidRPr="00DF44FB">
        <w:t>rovider</w:t>
      </w:r>
      <w:r w:rsidR="002F0310" w:rsidRPr="00DF44FB">
        <w:t>.</w:t>
      </w:r>
      <w:r w:rsidR="002F0310">
        <w:t xml:space="preserve"> </w:t>
      </w:r>
      <w:bookmarkEnd w:id="89"/>
      <w:bookmarkEnd w:id="90"/>
    </w:p>
    <w:p w:rsidR="003E6FB0" w:rsidRPr="003E6FB0" w:rsidRDefault="003E6FB0" w:rsidP="00DD3E96">
      <w:pPr>
        <w:numPr>
          <w:ilvl w:val="0"/>
          <w:numId w:val="15"/>
        </w:numPr>
        <w:ind w:left="567" w:hanging="567"/>
      </w:pPr>
      <w:r>
        <w:rPr>
          <w:rFonts w:cs="Arial"/>
          <w:szCs w:val="22"/>
        </w:rPr>
        <w:t xml:space="preserve">The Commission also </w:t>
      </w:r>
      <w:r w:rsidRPr="003E6FB0">
        <w:t>notes</w:t>
      </w:r>
      <w:r>
        <w:rPr>
          <w:rFonts w:cs="Arial"/>
          <w:szCs w:val="22"/>
        </w:rPr>
        <w:t xml:space="preserve"> any amendments to the Code will need to be undertaken in conjunction with</w:t>
      </w:r>
      <w:r w:rsidR="009E360F">
        <w:rPr>
          <w:rFonts w:cs="Arial"/>
          <w:szCs w:val="22"/>
        </w:rPr>
        <w:t>,</w:t>
      </w:r>
      <w:r>
        <w:rPr>
          <w:rFonts w:cs="Arial"/>
          <w:szCs w:val="22"/>
        </w:rPr>
        <w:t xml:space="preserve"> and consistent with</w:t>
      </w:r>
      <w:r w:rsidR="009E360F">
        <w:rPr>
          <w:rFonts w:cs="Arial"/>
          <w:szCs w:val="22"/>
        </w:rPr>
        <w:t>,</w:t>
      </w:r>
      <w:r>
        <w:rPr>
          <w:rFonts w:cs="Arial"/>
          <w:szCs w:val="22"/>
        </w:rPr>
        <w:t xml:space="preserve"> the role of Market Operator in the System Control Technical Code (SCTC).</w:t>
      </w:r>
    </w:p>
    <w:p w:rsidR="00DE0207" w:rsidRPr="00DE0207" w:rsidRDefault="00DE0207" w:rsidP="00B67063">
      <w:pPr>
        <w:pStyle w:val="UtilComHeading3"/>
      </w:pPr>
      <w:bookmarkStart w:id="92" w:name="_Toc457207590"/>
      <w:r w:rsidRPr="00DE0207">
        <w:t>Issue</w:t>
      </w:r>
      <w:r w:rsidR="001C4CEE">
        <w:t xml:space="preserve"> </w:t>
      </w:r>
      <w:r w:rsidR="003E6FB0">
        <w:t xml:space="preserve">1 </w:t>
      </w:r>
      <w:r w:rsidRPr="00DE0207">
        <w:t>– Transfer of Section 6, Market Data to the Market Operator</w:t>
      </w:r>
      <w:bookmarkEnd w:id="92"/>
      <w:r w:rsidRPr="00DE0207">
        <w:t xml:space="preserve"> </w:t>
      </w:r>
    </w:p>
    <w:p w:rsidR="00DE0207" w:rsidRPr="00DE0207" w:rsidRDefault="00BA3492" w:rsidP="00DD3E96">
      <w:pPr>
        <w:numPr>
          <w:ilvl w:val="0"/>
          <w:numId w:val="15"/>
        </w:numPr>
        <w:ind w:left="567" w:hanging="567"/>
        <w:rPr>
          <w:rFonts w:cs="Arial"/>
          <w:szCs w:val="22"/>
        </w:rPr>
      </w:pPr>
      <w:r>
        <w:rPr>
          <w:rFonts w:cs="Arial"/>
          <w:szCs w:val="22"/>
        </w:rPr>
        <w:t>PWC</w:t>
      </w:r>
      <w:r w:rsidR="00F6653B">
        <w:rPr>
          <w:rFonts w:cs="Arial"/>
          <w:szCs w:val="22"/>
        </w:rPr>
        <w:t xml:space="preserve"> propos</w:t>
      </w:r>
      <w:r>
        <w:rPr>
          <w:rFonts w:cs="Arial"/>
          <w:szCs w:val="22"/>
        </w:rPr>
        <w:t>e</w:t>
      </w:r>
      <w:r w:rsidR="009E360F">
        <w:rPr>
          <w:rFonts w:cs="Arial"/>
          <w:szCs w:val="22"/>
        </w:rPr>
        <w:t>s</w:t>
      </w:r>
      <w:r w:rsidR="00156C5D">
        <w:rPr>
          <w:rFonts w:cs="Arial"/>
          <w:szCs w:val="22"/>
        </w:rPr>
        <w:t xml:space="preserve"> that </w:t>
      </w:r>
      <w:r w:rsidR="00DE0207">
        <w:rPr>
          <w:rFonts w:cs="Arial"/>
          <w:szCs w:val="22"/>
        </w:rPr>
        <w:t xml:space="preserve">responsibility for </w:t>
      </w:r>
      <w:r w:rsidR="007A0FC5">
        <w:rPr>
          <w:rFonts w:cs="Arial"/>
          <w:szCs w:val="22"/>
        </w:rPr>
        <w:t>providing</w:t>
      </w:r>
      <w:r w:rsidR="00DE0207">
        <w:rPr>
          <w:rFonts w:cs="Arial"/>
          <w:szCs w:val="22"/>
        </w:rPr>
        <w:t xml:space="preserve"> standing data should be transferred to the </w:t>
      </w:r>
      <w:r w:rsidR="00B45F0C">
        <w:rPr>
          <w:rFonts w:cs="Arial"/>
          <w:szCs w:val="22"/>
        </w:rPr>
        <w:t>Market Operator</w:t>
      </w:r>
      <w:r w:rsidR="00DE0207" w:rsidRPr="00241FBD">
        <w:rPr>
          <w:rFonts w:cs="Arial"/>
          <w:szCs w:val="22"/>
        </w:rPr>
        <w:t xml:space="preserve"> </w:t>
      </w:r>
      <w:r w:rsidR="00DE0207" w:rsidRPr="005520A6">
        <w:rPr>
          <w:rFonts w:cs="Arial"/>
          <w:szCs w:val="22"/>
        </w:rPr>
        <w:t xml:space="preserve">with ongoing provision of historical data remaining with the </w:t>
      </w:r>
      <w:r w:rsidR="00DF44FB" w:rsidRPr="00B67063">
        <w:rPr>
          <w:rFonts w:cs="Arial"/>
          <w:szCs w:val="22"/>
        </w:rPr>
        <w:t>n</w:t>
      </w:r>
      <w:r w:rsidR="00DF44FB" w:rsidRPr="00DF44FB">
        <w:rPr>
          <w:rFonts w:cs="Arial"/>
          <w:szCs w:val="22"/>
        </w:rPr>
        <w:t xml:space="preserve">etwork </w:t>
      </w:r>
      <w:r w:rsidR="00DF44FB" w:rsidRPr="00B67063">
        <w:rPr>
          <w:rFonts w:cs="Arial"/>
          <w:szCs w:val="22"/>
        </w:rPr>
        <w:t>service p</w:t>
      </w:r>
      <w:r w:rsidR="00A011D4" w:rsidRPr="00DF44FB">
        <w:rPr>
          <w:rFonts w:cs="Arial"/>
          <w:szCs w:val="22"/>
        </w:rPr>
        <w:t>rovider</w:t>
      </w:r>
      <w:r w:rsidR="00DE0207" w:rsidRPr="005520A6">
        <w:rPr>
          <w:rFonts w:cs="Arial"/>
          <w:szCs w:val="22"/>
        </w:rPr>
        <w:t xml:space="preserve">. PWC </w:t>
      </w:r>
      <w:r w:rsidR="00DE0207">
        <w:rPr>
          <w:rFonts w:cs="Arial"/>
          <w:szCs w:val="22"/>
        </w:rPr>
        <w:t>notes this</w:t>
      </w:r>
      <w:r w:rsidR="00DE0207" w:rsidRPr="005520A6">
        <w:rPr>
          <w:rFonts w:cs="Arial"/>
          <w:szCs w:val="22"/>
        </w:rPr>
        <w:t xml:space="preserve"> is currently facilitated by both the M</w:t>
      </w:r>
      <w:r w:rsidR="00DE0207">
        <w:rPr>
          <w:rFonts w:cs="Arial"/>
          <w:szCs w:val="22"/>
        </w:rPr>
        <w:t xml:space="preserve">arket </w:t>
      </w:r>
      <w:r w:rsidR="00DE0207" w:rsidRPr="005520A6">
        <w:rPr>
          <w:rFonts w:cs="Arial"/>
          <w:szCs w:val="22"/>
        </w:rPr>
        <w:t>O</w:t>
      </w:r>
      <w:r w:rsidR="00DE0207">
        <w:rPr>
          <w:rFonts w:cs="Arial"/>
          <w:szCs w:val="22"/>
        </w:rPr>
        <w:t>perator</w:t>
      </w:r>
      <w:r w:rsidR="00DE0207" w:rsidRPr="005520A6">
        <w:rPr>
          <w:rFonts w:cs="Arial"/>
          <w:szCs w:val="22"/>
        </w:rPr>
        <w:t xml:space="preserve"> team and </w:t>
      </w:r>
      <w:r w:rsidR="00DE0207">
        <w:rPr>
          <w:rFonts w:cs="Arial"/>
          <w:szCs w:val="22"/>
        </w:rPr>
        <w:t xml:space="preserve">the </w:t>
      </w:r>
      <w:r w:rsidR="00DF44FB" w:rsidRPr="00B67063">
        <w:rPr>
          <w:rFonts w:cs="Arial"/>
          <w:szCs w:val="22"/>
        </w:rPr>
        <w:t>n</w:t>
      </w:r>
      <w:r w:rsidR="00BE1CCE" w:rsidRPr="00B67063">
        <w:rPr>
          <w:rFonts w:cs="Arial"/>
          <w:szCs w:val="22"/>
        </w:rPr>
        <w:t xml:space="preserve">etwork </w:t>
      </w:r>
      <w:r w:rsidR="00DF44FB" w:rsidRPr="00B67063">
        <w:rPr>
          <w:rFonts w:cs="Arial"/>
          <w:szCs w:val="22"/>
        </w:rPr>
        <w:t>s</w:t>
      </w:r>
      <w:r w:rsidR="00BE1CCE" w:rsidRPr="00B67063">
        <w:rPr>
          <w:rFonts w:cs="Arial"/>
          <w:szCs w:val="22"/>
        </w:rPr>
        <w:t xml:space="preserve">ervice </w:t>
      </w:r>
      <w:r w:rsidR="00DF44FB" w:rsidRPr="00B67063">
        <w:rPr>
          <w:rFonts w:cs="Arial"/>
          <w:szCs w:val="22"/>
        </w:rPr>
        <w:t>p</w:t>
      </w:r>
      <w:r w:rsidR="00BE1CCE" w:rsidRPr="00B67063">
        <w:rPr>
          <w:rFonts w:cs="Arial"/>
          <w:szCs w:val="22"/>
        </w:rPr>
        <w:t>rovider</w:t>
      </w:r>
      <w:r w:rsidR="00DE0207" w:rsidRPr="005520A6">
        <w:rPr>
          <w:rFonts w:cs="Arial"/>
          <w:szCs w:val="22"/>
        </w:rPr>
        <w:t xml:space="preserve"> (</w:t>
      </w:r>
      <w:r w:rsidR="00DE0207">
        <w:rPr>
          <w:rFonts w:cs="Arial"/>
          <w:szCs w:val="22"/>
        </w:rPr>
        <w:t xml:space="preserve">PWC’s </w:t>
      </w:r>
      <w:r w:rsidR="00DE0207" w:rsidRPr="005520A6">
        <w:rPr>
          <w:rFonts w:cs="Arial"/>
          <w:szCs w:val="22"/>
        </w:rPr>
        <w:t>Metering Services</w:t>
      </w:r>
      <w:r w:rsidR="00DE0207">
        <w:rPr>
          <w:rFonts w:cs="Arial"/>
          <w:szCs w:val="22"/>
        </w:rPr>
        <w:t xml:space="preserve"> division</w:t>
      </w:r>
      <w:r w:rsidR="00DE0207" w:rsidRPr="005520A6">
        <w:rPr>
          <w:rFonts w:cs="Arial"/>
          <w:szCs w:val="22"/>
        </w:rPr>
        <w:t xml:space="preserve">). </w:t>
      </w:r>
    </w:p>
    <w:p w:rsidR="00DE0207" w:rsidRPr="00241FBD" w:rsidRDefault="00DE0207" w:rsidP="00DD3E96">
      <w:pPr>
        <w:numPr>
          <w:ilvl w:val="0"/>
          <w:numId w:val="15"/>
        </w:numPr>
        <w:ind w:left="567" w:hanging="567"/>
        <w:rPr>
          <w:rFonts w:cs="Arial"/>
          <w:szCs w:val="22"/>
        </w:rPr>
      </w:pPr>
      <w:r>
        <w:rPr>
          <w:rFonts w:cs="Arial"/>
          <w:szCs w:val="22"/>
        </w:rPr>
        <w:t xml:space="preserve">NMI </w:t>
      </w:r>
      <w:r w:rsidR="004B5F04">
        <w:rPr>
          <w:rFonts w:cs="Arial"/>
          <w:szCs w:val="22"/>
        </w:rPr>
        <w:t>s</w:t>
      </w:r>
      <w:r>
        <w:rPr>
          <w:rFonts w:cs="Arial"/>
          <w:szCs w:val="22"/>
        </w:rPr>
        <w:t xml:space="preserve">tanding </w:t>
      </w:r>
      <w:r w:rsidR="004B5F04">
        <w:rPr>
          <w:rFonts w:cs="Arial"/>
          <w:szCs w:val="22"/>
        </w:rPr>
        <w:t>d</w:t>
      </w:r>
      <w:r>
        <w:rPr>
          <w:rFonts w:cs="Arial"/>
          <w:szCs w:val="22"/>
        </w:rPr>
        <w:t xml:space="preserve">ata in the National Electricity Market (NEM) is information related to a customer’s connection point, </w:t>
      </w:r>
      <w:r w:rsidR="00BA3492">
        <w:rPr>
          <w:rFonts w:cs="Arial"/>
          <w:szCs w:val="22"/>
        </w:rPr>
        <w:t xml:space="preserve">(that is, </w:t>
      </w:r>
      <w:r>
        <w:rPr>
          <w:rFonts w:cs="Arial"/>
          <w:szCs w:val="22"/>
        </w:rPr>
        <w:t xml:space="preserve">information about the physical location and </w:t>
      </w:r>
      <w:r>
        <w:rPr>
          <w:rFonts w:cs="Arial"/>
          <w:szCs w:val="22"/>
        </w:rPr>
        <w:lastRenderedPageBreak/>
        <w:t>properties of the meter, which includes the applicable network tariff and the consumer’s consumption threshold bands</w:t>
      </w:r>
      <w:r w:rsidR="00BA3492">
        <w:rPr>
          <w:rFonts w:cs="Arial"/>
          <w:szCs w:val="22"/>
        </w:rPr>
        <w:t>)</w:t>
      </w:r>
      <w:r>
        <w:rPr>
          <w:rFonts w:cs="Arial"/>
          <w:szCs w:val="22"/>
        </w:rPr>
        <w:t xml:space="preserve">. It does not include </w:t>
      </w:r>
      <w:r w:rsidR="00BA3492">
        <w:rPr>
          <w:rFonts w:cs="Arial"/>
          <w:szCs w:val="22"/>
        </w:rPr>
        <w:t>personal</w:t>
      </w:r>
      <w:r>
        <w:rPr>
          <w:rFonts w:cs="Arial"/>
          <w:szCs w:val="22"/>
        </w:rPr>
        <w:t xml:space="preserve"> customer data and is used by</w:t>
      </w:r>
      <w:r w:rsidR="00BA3492">
        <w:rPr>
          <w:rFonts w:cs="Arial"/>
          <w:szCs w:val="22"/>
        </w:rPr>
        <w:t xml:space="preserve"> a</w:t>
      </w:r>
      <w:r>
        <w:rPr>
          <w:rFonts w:cs="Arial"/>
          <w:szCs w:val="22"/>
        </w:rPr>
        <w:t xml:space="preserve"> retailer </w:t>
      </w:r>
      <w:r w:rsidR="00BA3492">
        <w:rPr>
          <w:rFonts w:cs="Arial"/>
          <w:szCs w:val="22"/>
        </w:rPr>
        <w:t xml:space="preserve">in transferring </w:t>
      </w:r>
      <w:r>
        <w:rPr>
          <w:rFonts w:cs="Arial"/>
          <w:szCs w:val="22"/>
        </w:rPr>
        <w:t xml:space="preserve">a customer. </w:t>
      </w:r>
    </w:p>
    <w:p w:rsidR="00DE0207" w:rsidRDefault="00DE0207" w:rsidP="00DD3E96">
      <w:pPr>
        <w:numPr>
          <w:ilvl w:val="0"/>
          <w:numId w:val="15"/>
        </w:numPr>
        <w:ind w:left="567" w:hanging="567"/>
        <w:rPr>
          <w:rFonts w:cs="Arial"/>
          <w:szCs w:val="22"/>
        </w:rPr>
      </w:pPr>
      <w:r>
        <w:rPr>
          <w:rFonts w:cs="Arial"/>
          <w:szCs w:val="22"/>
        </w:rPr>
        <w:t xml:space="preserve">NMI </w:t>
      </w:r>
      <w:r w:rsidR="004B5F04">
        <w:rPr>
          <w:rFonts w:cs="Arial"/>
          <w:szCs w:val="22"/>
        </w:rPr>
        <w:t>s</w:t>
      </w:r>
      <w:r>
        <w:rPr>
          <w:rFonts w:cs="Arial"/>
          <w:szCs w:val="22"/>
        </w:rPr>
        <w:t xml:space="preserve">tanding </w:t>
      </w:r>
      <w:r w:rsidR="004B5F04">
        <w:rPr>
          <w:rFonts w:cs="Arial"/>
          <w:szCs w:val="22"/>
        </w:rPr>
        <w:t>d</w:t>
      </w:r>
      <w:r>
        <w:rPr>
          <w:rFonts w:cs="Arial"/>
          <w:szCs w:val="22"/>
        </w:rPr>
        <w:t xml:space="preserve">ata is provided to incoming retailers through </w:t>
      </w:r>
      <w:r w:rsidR="009712F4">
        <w:rPr>
          <w:rFonts w:cs="Arial"/>
          <w:szCs w:val="22"/>
        </w:rPr>
        <w:t xml:space="preserve">the </w:t>
      </w:r>
      <w:r>
        <w:rPr>
          <w:rFonts w:cs="Arial"/>
          <w:szCs w:val="22"/>
        </w:rPr>
        <w:t>Australian Energy Market Operator’s (AEMO) Market Settlement and Transfer Solutions</w:t>
      </w:r>
      <w:r w:rsidR="009E360F">
        <w:rPr>
          <w:rFonts w:cs="Arial"/>
          <w:szCs w:val="22"/>
        </w:rPr>
        <w:t xml:space="preserve"> (MSATS)</w:t>
      </w:r>
      <w:r>
        <w:rPr>
          <w:rFonts w:cs="Arial"/>
          <w:szCs w:val="22"/>
        </w:rPr>
        <w:t xml:space="preserve"> </w:t>
      </w:r>
      <w:r w:rsidR="009E360F">
        <w:rPr>
          <w:rFonts w:cs="Arial"/>
          <w:szCs w:val="22"/>
        </w:rPr>
        <w:t>system</w:t>
      </w:r>
      <w:r>
        <w:rPr>
          <w:rFonts w:cs="Arial"/>
          <w:szCs w:val="22"/>
        </w:rPr>
        <w:t xml:space="preserve">. AEMO publishes and maintains MSATS procedures in accordance </w:t>
      </w:r>
      <w:r w:rsidR="007A0FC5">
        <w:rPr>
          <w:rFonts w:cs="Arial"/>
          <w:szCs w:val="22"/>
        </w:rPr>
        <w:t>with</w:t>
      </w:r>
      <w:r w:rsidR="007067AD">
        <w:rPr>
          <w:rFonts w:cs="Arial"/>
          <w:szCs w:val="22"/>
        </w:rPr>
        <w:t xml:space="preserve"> </w:t>
      </w:r>
      <w:r>
        <w:rPr>
          <w:rFonts w:cs="Arial"/>
          <w:szCs w:val="22"/>
        </w:rPr>
        <w:t xml:space="preserve">the National Electricity Law, setting out procedures, rules and guidelines </w:t>
      </w:r>
      <w:r w:rsidR="009E360F">
        <w:rPr>
          <w:rFonts w:cs="Arial"/>
          <w:szCs w:val="22"/>
        </w:rPr>
        <w:t xml:space="preserve">under </w:t>
      </w:r>
      <w:r>
        <w:rPr>
          <w:rFonts w:cs="Arial"/>
          <w:szCs w:val="22"/>
        </w:rPr>
        <w:t xml:space="preserve">which the MSATS system operates.  </w:t>
      </w:r>
    </w:p>
    <w:p w:rsidR="00DE0207" w:rsidRDefault="00DE0207" w:rsidP="00DD3E96">
      <w:pPr>
        <w:numPr>
          <w:ilvl w:val="0"/>
          <w:numId w:val="15"/>
        </w:numPr>
        <w:ind w:left="567" w:hanging="567"/>
        <w:rPr>
          <w:rFonts w:cs="Arial"/>
          <w:szCs w:val="22"/>
        </w:rPr>
      </w:pPr>
      <w:r>
        <w:rPr>
          <w:rFonts w:cs="Arial"/>
          <w:szCs w:val="22"/>
        </w:rPr>
        <w:t xml:space="preserve">The </w:t>
      </w:r>
      <w:r w:rsidR="00EF3F9B">
        <w:rPr>
          <w:rFonts w:cs="Arial"/>
          <w:szCs w:val="22"/>
        </w:rPr>
        <w:t xml:space="preserve">party performing the </w:t>
      </w:r>
      <w:r>
        <w:rPr>
          <w:rFonts w:cs="Arial"/>
          <w:szCs w:val="22"/>
        </w:rPr>
        <w:t>role of the Metering Data Provider (MDP) in the NEM provides the data to the MSATS system via NMI Discovery</w:t>
      </w:r>
      <w:r>
        <w:rPr>
          <w:rStyle w:val="FootnoteReference"/>
          <w:rFonts w:cs="Arial"/>
          <w:szCs w:val="22"/>
        </w:rPr>
        <w:footnoteReference w:id="9"/>
      </w:r>
      <w:r>
        <w:rPr>
          <w:rFonts w:cs="Arial"/>
          <w:szCs w:val="22"/>
        </w:rPr>
        <w:t>. AEMO facilitates this role by engaging a</w:t>
      </w:r>
      <w:r w:rsidR="007A0FC5">
        <w:rPr>
          <w:rFonts w:cs="Arial"/>
          <w:szCs w:val="22"/>
        </w:rPr>
        <w:t>n</w:t>
      </w:r>
      <w:r>
        <w:rPr>
          <w:rFonts w:cs="Arial"/>
          <w:szCs w:val="22"/>
        </w:rPr>
        <w:t xml:space="preserve"> MDP to provide standing data</w:t>
      </w:r>
      <w:r w:rsidR="007067AD">
        <w:rPr>
          <w:rFonts w:cs="Arial"/>
          <w:szCs w:val="22"/>
        </w:rPr>
        <w:t>.</w:t>
      </w:r>
      <w:r>
        <w:rPr>
          <w:rFonts w:cs="Arial"/>
          <w:szCs w:val="22"/>
        </w:rPr>
        <w:t xml:space="preserve"> </w:t>
      </w:r>
      <w:r w:rsidR="007067AD">
        <w:rPr>
          <w:rFonts w:cs="Arial"/>
          <w:szCs w:val="22"/>
        </w:rPr>
        <w:t>T</w:t>
      </w:r>
      <w:r>
        <w:rPr>
          <w:rFonts w:cs="Arial"/>
          <w:szCs w:val="22"/>
        </w:rPr>
        <w:t xml:space="preserve">he </w:t>
      </w:r>
      <w:r w:rsidR="00710235">
        <w:rPr>
          <w:rFonts w:cs="Arial"/>
          <w:szCs w:val="22"/>
        </w:rPr>
        <w:t>l</w:t>
      </w:r>
      <w:r w:rsidRPr="004C3472">
        <w:rPr>
          <w:rFonts w:cs="Arial"/>
          <w:szCs w:val="22"/>
        </w:rPr>
        <w:t xml:space="preserve">ocal </w:t>
      </w:r>
      <w:r w:rsidR="00710235">
        <w:rPr>
          <w:rFonts w:cs="Arial"/>
          <w:szCs w:val="22"/>
        </w:rPr>
        <w:t>n</w:t>
      </w:r>
      <w:r w:rsidRPr="004C3472">
        <w:rPr>
          <w:rFonts w:cs="Arial"/>
          <w:szCs w:val="22"/>
        </w:rPr>
        <w:t xml:space="preserve">etwork </w:t>
      </w:r>
      <w:r w:rsidR="00710235">
        <w:rPr>
          <w:rFonts w:cs="Arial"/>
          <w:szCs w:val="22"/>
        </w:rPr>
        <w:t>s</w:t>
      </w:r>
      <w:r w:rsidRPr="004C3472">
        <w:rPr>
          <w:rFonts w:cs="Arial"/>
          <w:szCs w:val="22"/>
        </w:rPr>
        <w:t xml:space="preserve">ervice </w:t>
      </w:r>
      <w:r w:rsidR="00710235">
        <w:rPr>
          <w:rFonts w:cs="Arial"/>
          <w:szCs w:val="22"/>
        </w:rPr>
        <w:t>p</w:t>
      </w:r>
      <w:r w:rsidRPr="004C3472">
        <w:rPr>
          <w:rFonts w:cs="Arial"/>
          <w:szCs w:val="22"/>
        </w:rPr>
        <w:t>rovider</w:t>
      </w:r>
      <w:r w:rsidR="007A0FC5" w:rsidRPr="00710235">
        <w:rPr>
          <w:rFonts w:cs="Arial"/>
          <w:szCs w:val="22"/>
        </w:rPr>
        <w:t xml:space="preserve"> (LNSP)</w:t>
      </w:r>
      <w:r>
        <w:rPr>
          <w:rFonts w:cs="Arial"/>
          <w:szCs w:val="22"/>
        </w:rPr>
        <w:t xml:space="preserve"> </w:t>
      </w:r>
      <w:r w:rsidR="00ED61F8">
        <w:rPr>
          <w:rFonts w:cs="Arial"/>
          <w:szCs w:val="22"/>
        </w:rPr>
        <w:t>must act</w:t>
      </w:r>
      <w:r>
        <w:rPr>
          <w:rFonts w:cs="Arial"/>
          <w:szCs w:val="22"/>
        </w:rPr>
        <w:t xml:space="preserve"> as the MDP if an MDP is not appointed. If a retailer does not have access to MSATS, the </w:t>
      </w:r>
      <w:r w:rsidRPr="004C3472">
        <w:rPr>
          <w:rFonts w:cs="Arial"/>
          <w:szCs w:val="22"/>
        </w:rPr>
        <w:t>LNSP</w:t>
      </w:r>
      <w:r>
        <w:rPr>
          <w:rFonts w:cs="Arial"/>
          <w:szCs w:val="22"/>
        </w:rPr>
        <w:t xml:space="preserve"> must provide the standing data</w:t>
      </w:r>
      <w:r>
        <w:rPr>
          <w:rStyle w:val="FootnoteReference"/>
          <w:rFonts w:cs="Arial"/>
          <w:szCs w:val="22"/>
        </w:rPr>
        <w:footnoteReference w:id="10"/>
      </w:r>
      <w:r>
        <w:rPr>
          <w:rFonts w:cs="Arial"/>
          <w:szCs w:val="22"/>
        </w:rPr>
        <w:t xml:space="preserve">.  </w:t>
      </w:r>
      <w:r w:rsidR="000A49EB">
        <w:rPr>
          <w:rFonts w:cs="Arial"/>
          <w:szCs w:val="22"/>
        </w:rPr>
        <w:t xml:space="preserve">In the Territory, PWC is the monopoly network provider. </w:t>
      </w:r>
    </w:p>
    <w:p w:rsidR="00DE0207" w:rsidRPr="00163F8D" w:rsidRDefault="00DE0207" w:rsidP="00B67063">
      <w:pPr>
        <w:pStyle w:val="UtilComHeading3"/>
      </w:pPr>
      <w:bookmarkStart w:id="93" w:name="_Toc457207591"/>
      <w:r w:rsidRPr="00163F8D">
        <w:t>Responsibility for provision of standing data</w:t>
      </w:r>
      <w:bookmarkEnd w:id="93"/>
      <w:r w:rsidRPr="00163F8D">
        <w:t xml:space="preserve">  </w:t>
      </w:r>
    </w:p>
    <w:p w:rsidR="00DE0207" w:rsidRDefault="00DE0207" w:rsidP="007A0FC5">
      <w:pPr>
        <w:numPr>
          <w:ilvl w:val="0"/>
          <w:numId w:val="15"/>
        </w:numPr>
        <w:ind w:left="567" w:hanging="567"/>
      </w:pPr>
      <w:r>
        <w:t>AEMO</w:t>
      </w:r>
      <w:r w:rsidR="000979B7">
        <w:t xml:space="preserve">, as the </w:t>
      </w:r>
      <w:r w:rsidR="00B45F0C">
        <w:t>Market Operator</w:t>
      </w:r>
      <w:r w:rsidR="000979B7">
        <w:t>,</w:t>
      </w:r>
      <w:r>
        <w:t xml:space="preserve"> provides the </w:t>
      </w:r>
      <w:r w:rsidRPr="00B8607B">
        <w:t>system</w:t>
      </w:r>
      <w:r w:rsidR="00AC57DD">
        <w:t xml:space="preserve"> (</w:t>
      </w:r>
      <w:r>
        <w:t>MSATS) from which standing data is accessed</w:t>
      </w:r>
      <w:r w:rsidR="000979B7">
        <w:t xml:space="preserve"> rather than actually providing the standing data, which is provided by </w:t>
      </w:r>
      <w:r>
        <w:t>the</w:t>
      </w:r>
      <w:r w:rsidR="007A0FC5">
        <w:t xml:space="preserve"> MDP</w:t>
      </w:r>
      <w:r w:rsidR="000979B7">
        <w:t>.</w:t>
      </w:r>
      <w:r>
        <w:t xml:space="preserve"> </w:t>
      </w:r>
      <w:r w:rsidR="000979B7">
        <w:t>I</w:t>
      </w:r>
      <w:r>
        <w:t>n the absence</w:t>
      </w:r>
      <w:r w:rsidR="000979B7">
        <w:t xml:space="preserve"> of a</w:t>
      </w:r>
      <w:r w:rsidR="007A0FC5">
        <w:t>n</w:t>
      </w:r>
      <w:r w:rsidR="000979B7">
        <w:t xml:space="preserve"> MDP, the network provider acts as the MDP and feeds the data</w:t>
      </w:r>
      <w:r>
        <w:t xml:space="preserve"> into the MSATS system. </w:t>
      </w:r>
    </w:p>
    <w:p w:rsidR="00DE0207" w:rsidRDefault="00DE0207" w:rsidP="00DD3E96">
      <w:pPr>
        <w:numPr>
          <w:ilvl w:val="0"/>
          <w:numId w:val="15"/>
        </w:numPr>
        <w:ind w:left="567" w:hanging="567"/>
        <w:rPr>
          <w:rFonts w:cs="Arial"/>
          <w:szCs w:val="22"/>
        </w:rPr>
      </w:pPr>
      <w:r w:rsidRPr="005520A6">
        <w:rPr>
          <w:rFonts w:cs="Arial"/>
          <w:szCs w:val="22"/>
        </w:rPr>
        <w:t>In PWC’s National Meter Identifier (NMI) Allocation</w:t>
      </w:r>
      <w:r w:rsidRPr="005520A6">
        <w:rPr>
          <w:rStyle w:val="FootnoteReference"/>
          <w:rFonts w:cs="Arial"/>
          <w:szCs w:val="22"/>
        </w:rPr>
        <w:footnoteReference w:id="11"/>
      </w:r>
      <w:r>
        <w:rPr>
          <w:rFonts w:cs="Arial"/>
          <w:szCs w:val="22"/>
        </w:rPr>
        <w:t xml:space="preserve"> consultation paper</w:t>
      </w:r>
      <w:r w:rsidRPr="005520A6">
        <w:rPr>
          <w:rFonts w:cs="Arial"/>
          <w:szCs w:val="22"/>
        </w:rPr>
        <w:t>,</w:t>
      </w:r>
      <w:r>
        <w:rPr>
          <w:rFonts w:cs="Arial"/>
          <w:szCs w:val="22"/>
        </w:rPr>
        <w:t xml:space="preserve"> PWC foreshadows </w:t>
      </w:r>
      <w:r w:rsidR="00CB53DE">
        <w:rPr>
          <w:rFonts w:cs="Arial"/>
          <w:szCs w:val="22"/>
        </w:rPr>
        <w:t xml:space="preserve">possible </w:t>
      </w:r>
      <w:r>
        <w:rPr>
          <w:rFonts w:cs="Arial"/>
          <w:szCs w:val="22"/>
        </w:rPr>
        <w:t>adoption of the AEMO</w:t>
      </w:r>
      <w:r w:rsidR="007A0FC5">
        <w:rPr>
          <w:rFonts w:cs="Arial"/>
          <w:szCs w:val="22"/>
        </w:rPr>
        <w:t>’s</w:t>
      </w:r>
      <w:r w:rsidR="00335577">
        <w:rPr>
          <w:rFonts w:cs="Arial"/>
          <w:szCs w:val="22"/>
        </w:rPr>
        <w:t xml:space="preserve"> </w:t>
      </w:r>
      <w:r>
        <w:rPr>
          <w:rFonts w:cs="Arial"/>
          <w:szCs w:val="22"/>
        </w:rPr>
        <w:t>MSATS system</w:t>
      </w:r>
      <w:r w:rsidR="00CB53DE">
        <w:rPr>
          <w:rFonts w:cs="Arial"/>
          <w:szCs w:val="22"/>
        </w:rPr>
        <w:t xml:space="preserve"> or </w:t>
      </w:r>
      <w:r w:rsidR="00BF6255">
        <w:rPr>
          <w:rFonts w:cs="Arial"/>
          <w:szCs w:val="22"/>
        </w:rPr>
        <w:t>an equivalent system</w:t>
      </w:r>
      <w:r w:rsidR="00CE4536">
        <w:rPr>
          <w:rFonts w:cs="Arial"/>
          <w:szCs w:val="22"/>
        </w:rPr>
        <w:t xml:space="preserve"> in the future</w:t>
      </w:r>
      <w:r w:rsidR="00335577">
        <w:rPr>
          <w:rFonts w:cs="Arial"/>
          <w:szCs w:val="22"/>
        </w:rPr>
        <w:t>.</w:t>
      </w:r>
      <w:r w:rsidR="0002125F">
        <w:rPr>
          <w:rFonts w:cs="Arial"/>
          <w:szCs w:val="22"/>
        </w:rPr>
        <w:t xml:space="preserve"> </w:t>
      </w:r>
      <w:r w:rsidR="00335577">
        <w:rPr>
          <w:rFonts w:cs="Arial"/>
          <w:szCs w:val="22"/>
        </w:rPr>
        <w:t>A</w:t>
      </w:r>
      <w:r w:rsidR="0002125F">
        <w:rPr>
          <w:rFonts w:cs="Arial"/>
          <w:szCs w:val="22"/>
        </w:rPr>
        <w:t xml:space="preserve">ny amendments </w:t>
      </w:r>
      <w:r w:rsidR="00601B76">
        <w:rPr>
          <w:rFonts w:cs="Arial"/>
          <w:szCs w:val="22"/>
        </w:rPr>
        <w:t xml:space="preserve">to the Code would have to be consistent with practices in </w:t>
      </w:r>
      <w:r w:rsidR="007067AD">
        <w:rPr>
          <w:rFonts w:cs="Arial"/>
          <w:szCs w:val="22"/>
        </w:rPr>
        <w:t xml:space="preserve">this </w:t>
      </w:r>
      <w:r w:rsidR="00601B76">
        <w:rPr>
          <w:rFonts w:cs="Arial"/>
          <w:szCs w:val="22"/>
        </w:rPr>
        <w:t>system</w:t>
      </w:r>
      <w:r>
        <w:rPr>
          <w:rFonts w:cs="Arial"/>
          <w:szCs w:val="22"/>
        </w:rPr>
        <w:t>.</w:t>
      </w:r>
    </w:p>
    <w:p w:rsidR="00DE0207" w:rsidRDefault="004F56BB" w:rsidP="00DD3E96">
      <w:pPr>
        <w:numPr>
          <w:ilvl w:val="0"/>
          <w:numId w:val="15"/>
        </w:numPr>
        <w:ind w:left="567" w:hanging="567"/>
        <w:rPr>
          <w:rFonts w:cs="Arial"/>
          <w:szCs w:val="22"/>
        </w:rPr>
      </w:pPr>
      <w:r>
        <w:rPr>
          <w:rFonts w:cs="Arial"/>
          <w:szCs w:val="22"/>
        </w:rPr>
        <w:t xml:space="preserve">Consideration needs to be given as to whether </w:t>
      </w:r>
      <w:r w:rsidR="00DE0207">
        <w:rPr>
          <w:rFonts w:cs="Arial"/>
          <w:szCs w:val="22"/>
        </w:rPr>
        <w:t xml:space="preserve">it </w:t>
      </w:r>
      <w:r>
        <w:rPr>
          <w:rFonts w:cs="Arial"/>
          <w:szCs w:val="22"/>
        </w:rPr>
        <w:t xml:space="preserve">is more </w:t>
      </w:r>
      <w:r w:rsidR="00DE0207">
        <w:rPr>
          <w:rFonts w:cs="Arial"/>
          <w:szCs w:val="22"/>
        </w:rPr>
        <w:t xml:space="preserve">appropriate for standing data provision to remain the responsibility of the </w:t>
      </w:r>
      <w:r w:rsidR="00DE0207" w:rsidRPr="00AD6F85">
        <w:rPr>
          <w:rFonts w:cs="Arial"/>
          <w:szCs w:val="22"/>
        </w:rPr>
        <w:t xml:space="preserve">network </w:t>
      </w:r>
      <w:r w:rsidR="00AD6F85" w:rsidRPr="00B67063">
        <w:rPr>
          <w:rFonts w:cs="Arial"/>
          <w:szCs w:val="22"/>
        </w:rPr>
        <w:t xml:space="preserve">service </w:t>
      </w:r>
      <w:r w:rsidR="00DE0207" w:rsidRPr="00AD6F85">
        <w:rPr>
          <w:rFonts w:cs="Arial"/>
          <w:szCs w:val="22"/>
        </w:rPr>
        <w:t>provider</w:t>
      </w:r>
      <w:r>
        <w:rPr>
          <w:rFonts w:cs="Arial"/>
          <w:szCs w:val="22"/>
        </w:rPr>
        <w:t xml:space="preserve"> or for such responsibility to transfer to the Market Operator. The Commission will also need to consider </w:t>
      </w:r>
      <w:r w:rsidR="007067AD">
        <w:rPr>
          <w:rFonts w:cs="Arial"/>
          <w:szCs w:val="22"/>
        </w:rPr>
        <w:t xml:space="preserve">the </w:t>
      </w:r>
      <w:r>
        <w:rPr>
          <w:rFonts w:cs="Arial"/>
          <w:szCs w:val="22"/>
        </w:rPr>
        <w:t xml:space="preserve">implications, if any, for regulated network services and associated charges in consultation with the Australian Energy Regulator </w:t>
      </w:r>
      <w:r w:rsidR="00016488">
        <w:rPr>
          <w:rFonts w:cs="Arial"/>
          <w:szCs w:val="22"/>
        </w:rPr>
        <w:t xml:space="preserve">(AER) </w:t>
      </w:r>
      <w:r>
        <w:rPr>
          <w:rFonts w:cs="Arial"/>
          <w:szCs w:val="22"/>
        </w:rPr>
        <w:t>and regulated system control charges.</w:t>
      </w:r>
    </w:p>
    <w:p w:rsidR="00DE0207" w:rsidRPr="002D4043" w:rsidRDefault="00DE0207" w:rsidP="00B67063">
      <w:pPr>
        <w:pStyle w:val="UtilComHeading3"/>
      </w:pPr>
      <w:bookmarkStart w:id="94" w:name="_Toc457207592"/>
      <w:r w:rsidRPr="002D4043">
        <w:t>Providing standing data for accumulation meters</w:t>
      </w:r>
      <w:bookmarkEnd w:id="94"/>
      <w:r w:rsidRPr="002D4043">
        <w:t xml:space="preserve"> </w:t>
      </w:r>
    </w:p>
    <w:p w:rsidR="002D4043" w:rsidRPr="00B96AEF" w:rsidRDefault="00DE0207" w:rsidP="00DD3E96">
      <w:pPr>
        <w:numPr>
          <w:ilvl w:val="0"/>
          <w:numId w:val="15"/>
        </w:numPr>
        <w:ind w:left="567" w:hanging="567"/>
        <w:rPr>
          <w:rFonts w:cs="Arial"/>
          <w:szCs w:val="22"/>
        </w:rPr>
      </w:pPr>
      <w:r w:rsidRPr="00B96AEF">
        <w:rPr>
          <w:rFonts w:cs="Arial"/>
          <w:szCs w:val="22"/>
        </w:rPr>
        <w:t xml:space="preserve">The Commission notes that existing Clause 5.1.1 in the Code prohibits retailers from initiating a transfer for customers </w:t>
      </w:r>
      <w:r w:rsidR="00F71139">
        <w:rPr>
          <w:rFonts w:cs="Arial"/>
          <w:szCs w:val="22"/>
        </w:rPr>
        <w:t>without an interval meter</w:t>
      </w:r>
      <w:r w:rsidRPr="00B96AEF">
        <w:rPr>
          <w:rFonts w:cs="Arial"/>
          <w:szCs w:val="22"/>
        </w:rPr>
        <w:t xml:space="preserve">. The Commission undertakes further discussion on this </w:t>
      </w:r>
      <w:r w:rsidR="00335577">
        <w:rPr>
          <w:rFonts w:cs="Arial"/>
          <w:szCs w:val="22"/>
        </w:rPr>
        <w:t xml:space="preserve">issue </w:t>
      </w:r>
      <w:r w:rsidRPr="00B96AEF">
        <w:rPr>
          <w:rFonts w:cs="Arial"/>
          <w:szCs w:val="22"/>
        </w:rPr>
        <w:t xml:space="preserve">in Section 4 of this Issues Paper.  </w:t>
      </w:r>
    </w:p>
    <w:p w:rsidR="002D4043" w:rsidRPr="002D4043" w:rsidRDefault="002D4043" w:rsidP="00B67063">
      <w:pPr>
        <w:pStyle w:val="UtilComHeading3"/>
      </w:pPr>
      <w:bookmarkStart w:id="95" w:name="_Toc457207593"/>
      <w:r>
        <w:t>Issue</w:t>
      </w:r>
      <w:r w:rsidR="00DE0207">
        <w:t xml:space="preserve"> </w:t>
      </w:r>
      <w:r w:rsidR="005D1271">
        <w:t xml:space="preserve">2 </w:t>
      </w:r>
      <w:r w:rsidR="00DE0207">
        <w:t>– Transfer of Section 8, Customer Transfers to the Market Operator</w:t>
      </w:r>
      <w:bookmarkEnd w:id="95"/>
      <w:r w:rsidR="00DE0207">
        <w:t xml:space="preserve"> </w:t>
      </w:r>
    </w:p>
    <w:p w:rsidR="00DE0207" w:rsidRPr="00DE0207" w:rsidRDefault="00DE0207" w:rsidP="00DD3E96">
      <w:pPr>
        <w:numPr>
          <w:ilvl w:val="0"/>
          <w:numId w:val="15"/>
        </w:numPr>
        <w:ind w:left="567" w:hanging="567"/>
      </w:pPr>
      <w:r>
        <w:t>PWC propose</w:t>
      </w:r>
      <w:r w:rsidR="007067AD">
        <w:t>s</w:t>
      </w:r>
      <w:r>
        <w:t xml:space="preserve"> </w:t>
      </w:r>
      <w:r w:rsidR="00327B17">
        <w:t xml:space="preserve">the </w:t>
      </w:r>
      <w:r>
        <w:t xml:space="preserve">transfer of Section 8 to the </w:t>
      </w:r>
      <w:r w:rsidR="00B45F0C">
        <w:t>Market Operator</w:t>
      </w:r>
      <w:r>
        <w:t>, with the exception of</w:t>
      </w:r>
      <w:r w:rsidR="006F306D">
        <w:t xml:space="preserve"> the clauses in Section 8</w:t>
      </w:r>
      <w:r>
        <w:t xml:space="preserve"> </w:t>
      </w:r>
      <w:r w:rsidR="006F306D">
        <w:t xml:space="preserve">requiring the network service provider to </w:t>
      </w:r>
      <w:r>
        <w:t>confirm that the retailer has a Network Access Agreement</w:t>
      </w:r>
      <w:r w:rsidR="006F306D">
        <w:t>,</w:t>
      </w:r>
      <w:r>
        <w:t xml:space="preserve"> and </w:t>
      </w:r>
      <w:r w:rsidR="006F306D">
        <w:t xml:space="preserve">clauses stipulating </w:t>
      </w:r>
      <w:r>
        <w:t>timeframes for completing any meter change service requests to remain with the network provider</w:t>
      </w:r>
      <w:r w:rsidR="005D1271">
        <w:t xml:space="preserve">. </w:t>
      </w:r>
      <w:r>
        <w:t xml:space="preserve"> </w:t>
      </w:r>
    </w:p>
    <w:p w:rsidR="00DE0207" w:rsidRDefault="005D1271" w:rsidP="00DD3E96">
      <w:pPr>
        <w:numPr>
          <w:ilvl w:val="0"/>
          <w:numId w:val="15"/>
        </w:numPr>
        <w:ind w:left="567" w:hanging="567"/>
        <w:rPr>
          <w:rFonts w:cs="Arial"/>
          <w:szCs w:val="22"/>
        </w:rPr>
      </w:pPr>
      <w:r>
        <w:rPr>
          <w:rFonts w:cs="Arial"/>
          <w:szCs w:val="22"/>
        </w:rPr>
        <w:t>C</w:t>
      </w:r>
      <w:r w:rsidR="00DE0207" w:rsidRPr="00DE0207">
        <w:rPr>
          <w:rFonts w:cs="Arial"/>
          <w:szCs w:val="22"/>
        </w:rPr>
        <w:t>lauses 8.2.9(a) and 8.2.10(b)</w:t>
      </w:r>
      <w:r>
        <w:rPr>
          <w:rFonts w:cs="Arial"/>
          <w:szCs w:val="22"/>
        </w:rPr>
        <w:t xml:space="preserve"> of the Code</w:t>
      </w:r>
      <w:r w:rsidR="00DE0207" w:rsidRPr="00DE0207">
        <w:rPr>
          <w:rFonts w:cs="Arial"/>
          <w:szCs w:val="22"/>
        </w:rPr>
        <w:t xml:space="preserve"> relat</w:t>
      </w:r>
      <w:r>
        <w:rPr>
          <w:rFonts w:cs="Arial"/>
          <w:szCs w:val="22"/>
        </w:rPr>
        <w:t>e</w:t>
      </w:r>
      <w:r w:rsidR="00DE0207" w:rsidRPr="00DE0207">
        <w:rPr>
          <w:rFonts w:cs="Arial"/>
          <w:szCs w:val="22"/>
        </w:rPr>
        <w:t xml:space="preserve"> to </w:t>
      </w:r>
      <w:r w:rsidR="00546AC4">
        <w:rPr>
          <w:rFonts w:cs="Arial"/>
          <w:szCs w:val="22"/>
        </w:rPr>
        <w:t xml:space="preserve">customer transfer request timeframes where a </w:t>
      </w:r>
      <w:r w:rsidR="00DE0207" w:rsidRPr="00DE0207">
        <w:rPr>
          <w:rFonts w:cs="Arial"/>
          <w:szCs w:val="22"/>
        </w:rPr>
        <w:t xml:space="preserve">meter change </w:t>
      </w:r>
      <w:r w:rsidR="00DE0207">
        <w:rPr>
          <w:rFonts w:cs="Arial"/>
          <w:szCs w:val="22"/>
        </w:rPr>
        <w:t xml:space="preserve">service </w:t>
      </w:r>
      <w:r w:rsidR="00546AC4">
        <w:rPr>
          <w:rFonts w:cs="Arial"/>
          <w:szCs w:val="22"/>
        </w:rPr>
        <w:t>is required</w:t>
      </w:r>
      <w:r>
        <w:rPr>
          <w:rFonts w:cs="Arial"/>
          <w:szCs w:val="22"/>
        </w:rPr>
        <w:t xml:space="preserve">. </w:t>
      </w:r>
      <w:r w:rsidR="00A05F96">
        <w:rPr>
          <w:rFonts w:cs="Arial"/>
          <w:szCs w:val="22"/>
        </w:rPr>
        <w:t xml:space="preserve">In addition, </w:t>
      </w:r>
      <w:r w:rsidR="00546AC4">
        <w:rPr>
          <w:rFonts w:cs="Arial"/>
          <w:szCs w:val="22"/>
        </w:rPr>
        <w:t xml:space="preserve">Clause 8.2.11 requires the retailer to request  a separate meter change request from PWC according </w:t>
      </w:r>
      <w:r w:rsidR="00546AC4">
        <w:rPr>
          <w:rFonts w:cs="Arial"/>
          <w:szCs w:val="22"/>
        </w:rPr>
        <w:lastRenderedPageBreak/>
        <w:t xml:space="preserve">to Service Order Procedures prepared by PWC (and approved by the Commission) under Cl.7 of the Code. </w:t>
      </w:r>
      <w:r w:rsidR="00DE0207">
        <w:rPr>
          <w:rFonts w:cs="Arial"/>
          <w:szCs w:val="22"/>
        </w:rPr>
        <w:t>PWC</w:t>
      </w:r>
      <w:r w:rsidR="00DE0207" w:rsidRPr="00DE0207">
        <w:rPr>
          <w:rFonts w:cs="Arial"/>
          <w:szCs w:val="22"/>
        </w:rPr>
        <w:t xml:space="preserve">, as the </w:t>
      </w:r>
      <w:r w:rsidR="00DE0207" w:rsidRPr="0008607E">
        <w:rPr>
          <w:rFonts w:cs="Arial"/>
          <w:szCs w:val="22"/>
        </w:rPr>
        <w:t xml:space="preserve">network </w:t>
      </w:r>
      <w:r w:rsidRPr="0008607E">
        <w:rPr>
          <w:rFonts w:cs="Arial"/>
          <w:szCs w:val="22"/>
        </w:rPr>
        <w:t xml:space="preserve">service </w:t>
      </w:r>
      <w:r w:rsidR="00DE0207" w:rsidRPr="0008607E">
        <w:rPr>
          <w:rFonts w:cs="Arial"/>
          <w:szCs w:val="22"/>
        </w:rPr>
        <w:t>provider</w:t>
      </w:r>
      <w:r w:rsidR="009C4A2C">
        <w:rPr>
          <w:rFonts w:cs="Arial"/>
          <w:szCs w:val="22"/>
        </w:rPr>
        <w:t xml:space="preserve"> in the Territory</w:t>
      </w:r>
      <w:r w:rsidR="00DE0207" w:rsidRPr="00DE0207">
        <w:rPr>
          <w:rFonts w:cs="Arial"/>
          <w:szCs w:val="22"/>
        </w:rPr>
        <w:t>, acts as the equivalent of the Metering Pro</w:t>
      </w:r>
      <w:r>
        <w:rPr>
          <w:rFonts w:cs="Arial"/>
          <w:szCs w:val="22"/>
        </w:rPr>
        <w:t>vider in the NEM.</w:t>
      </w:r>
    </w:p>
    <w:p w:rsidR="00603A7C" w:rsidRPr="00DC2CC7" w:rsidRDefault="00DC2CC7" w:rsidP="00DD3E96">
      <w:pPr>
        <w:numPr>
          <w:ilvl w:val="0"/>
          <w:numId w:val="15"/>
        </w:numPr>
        <w:ind w:left="567" w:hanging="567"/>
        <w:rPr>
          <w:rFonts w:cs="Arial"/>
          <w:szCs w:val="22"/>
        </w:rPr>
      </w:pPr>
      <w:r w:rsidRPr="00DC2CC7">
        <w:rPr>
          <w:rFonts w:cs="Arial"/>
          <w:szCs w:val="22"/>
        </w:rPr>
        <w:t>Consideration needs to be given to whether responsibility for market data</w:t>
      </w:r>
      <w:r>
        <w:rPr>
          <w:rFonts w:cs="Arial"/>
          <w:szCs w:val="22"/>
        </w:rPr>
        <w:t xml:space="preserve"> and</w:t>
      </w:r>
      <w:r w:rsidRPr="00DC2CC7">
        <w:rPr>
          <w:rFonts w:cs="Arial"/>
          <w:szCs w:val="22"/>
        </w:rPr>
        <w:t xml:space="preserve"> provision of standing and historical dat</w:t>
      </w:r>
      <w:r>
        <w:rPr>
          <w:rFonts w:cs="Arial"/>
          <w:szCs w:val="22"/>
        </w:rPr>
        <w:t xml:space="preserve">a </w:t>
      </w:r>
      <w:r w:rsidRPr="00DC2CC7">
        <w:rPr>
          <w:rFonts w:cs="Arial"/>
          <w:szCs w:val="22"/>
        </w:rPr>
        <w:t xml:space="preserve">should transfer to the </w:t>
      </w:r>
      <w:r w:rsidR="00B45F0C" w:rsidRPr="00DC2CC7">
        <w:rPr>
          <w:rFonts w:cs="Arial"/>
          <w:szCs w:val="22"/>
        </w:rPr>
        <w:t>Market Operator</w:t>
      </w:r>
      <w:r>
        <w:rPr>
          <w:rFonts w:cs="Arial"/>
          <w:szCs w:val="22"/>
        </w:rPr>
        <w:t xml:space="preserve"> or </w:t>
      </w:r>
      <w:r w:rsidR="00603A7C" w:rsidRPr="00DC2CC7">
        <w:rPr>
          <w:rFonts w:cs="Arial"/>
          <w:szCs w:val="22"/>
        </w:rPr>
        <w:t xml:space="preserve">remain with the </w:t>
      </w:r>
      <w:r w:rsidR="00603A7C" w:rsidRPr="0008607E">
        <w:rPr>
          <w:rFonts w:cs="Arial"/>
          <w:szCs w:val="22"/>
        </w:rPr>
        <w:t>network</w:t>
      </w:r>
      <w:r w:rsidRPr="0008607E">
        <w:rPr>
          <w:rFonts w:cs="Arial"/>
          <w:szCs w:val="22"/>
        </w:rPr>
        <w:t xml:space="preserve"> service</w:t>
      </w:r>
      <w:r w:rsidR="00603A7C" w:rsidRPr="0008607E">
        <w:rPr>
          <w:rFonts w:cs="Arial"/>
          <w:szCs w:val="22"/>
        </w:rPr>
        <w:t xml:space="preserve"> provider</w:t>
      </w:r>
      <w:r w:rsidRPr="0008607E">
        <w:rPr>
          <w:rFonts w:cs="Arial"/>
          <w:szCs w:val="22"/>
        </w:rPr>
        <w:t>.</w:t>
      </w:r>
      <w:r w:rsidR="00603A7C" w:rsidRPr="00DC2CC7">
        <w:rPr>
          <w:rFonts w:cs="Arial"/>
          <w:szCs w:val="22"/>
        </w:rPr>
        <w:t xml:space="preserve"> </w:t>
      </w:r>
    </w:p>
    <w:p w:rsidR="008C11DD" w:rsidRDefault="00FB7F92" w:rsidP="004D52BF">
      <w:pPr>
        <w:pStyle w:val="UtilComHeading2"/>
      </w:pPr>
      <w:bookmarkStart w:id="96" w:name="_Toc457207594"/>
      <w:bookmarkEnd w:id="91"/>
      <w:r>
        <w:t>Non-NTEM Functions</w:t>
      </w:r>
      <w:bookmarkEnd w:id="96"/>
    </w:p>
    <w:p w:rsidR="00AD4867" w:rsidRPr="00AD4867" w:rsidRDefault="00AD4867" w:rsidP="00B67063">
      <w:pPr>
        <w:pStyle w:val="UtilComHeading3"/>
      </w:pPr>
      <w:bookmarkStart w:id="97" w:name="_Toc457207595"/>
      <w:r w:rsidRPr="00AD4867">
        <w:t>Issue 3 – Use of settlement statements for other major networks</w:t>
      </w:r>
      <w:bookmarkEnd w:id="97"/>
    </w:p>
    <w:p w:rsidR="00DC2CC7" w:rsidRPr="00DC2CC7" w:rsidRDefault="00327B17" w:rsidP="00DD3E96">
      <w:pPr>
        <w:numPr>
          <w:ilvl w:val="0"/>
          <w:numId w:val="15"/>
        </w:numPr>
        <w:ind w:left="567" w:hanging="567"/>
        <w:rPr>
          <w:rFonts w:cs="Arial"/>
          <w:szCs w:val="22"/>
        </w:rPr>
      </w:pPr>
      <w:r>
        <w:rPr>
          <w:rFonts w:cs="Arial"/>
          <w:szCs w:val="22"/>
        </w:rPr>
        <w:t xml:space="preserve">In its </w:t>
      </w:r>
      <w:r w:rsidR="00AF4FCA">
        <w:rPr>
          <w:rFonts w:cs="Arial"/>
          <w:szCs w:val="22"/>
        </w:rPr>
        <w:t>submission</w:t>
      </w:r>
      <w:r>
        <w:rPr>
          <w:rFonts w:cs="Arial"/>
          <w:szCs w:val="22"/>
        </w:rPr>
        <w:t xml:space="preserve">, </w:t>
      </w:r>
      <w:r w:rsidR="004A6B3F">
        <w:rPr>
          <w:rFonts w:cs="Arial"/>
          <w:szCs w:val="22"/>
        </w:rPr>
        <w:t xml:space="preserve">PWC </w:t>
      </w:r>
      <w:r w:rsidR="00583859">
        <w:rPr>
          <w:rFonts w:cs="Arial"/>
          <w:szCs w:val="22"/>
        </w:rPr>
        <w:t xml:space="preserve">notes </w:t>
      </w:r>
      <w:r w:rsidR="00DC2CC7">
        <w:rPr>
          <w:rFonts w:cs="Arial"/>
          <w:szCs w:val="22"/>
        </w:rPr>
        <w:t xml:space="preserve">the </w:t>
      </w:r>
      <w:r w:rsidR="004A6B3F">
        <w:rPr>
          <w:rFonts w:cs="Arial"/>
          <w:szCs w:val="22"/>
        </w:rPr>
        <w:t xml:space="preserve">I-NTEM </w:t>
      </w:r>
      <w:r w:rsidR="00DC2CC7">
        <w:rPr>
          <w:rFonts w:cs="Arial"/>
          <w:szCs w:val="22"/>
        </w:rPr>
        <w:t xml:space="preserve">virtual </w:t>
      </w:r>
      <w:r w:rsidR="004A6B3F">
        <w:rPr>
          <w:rFonts w:cs="Arial"/>
          <w:szCs w:val="22"/>
        </w:rPr>
        <w:t xml:space="preserve">settlement </w:t>
      </w:r>
      <w:r w:rsidR="00DC2CC7" w:rsidRPr="00DC2CC7">
        <w:rPr>
          <w:rFonts w:cs="Arial"/>
          <w:szCs w:val="22"/>
        </w:rPr>
        <w:t xml:space="preserve">statements produced by the market operator </w:t>
      </w:r>
      <w:r w:rsidR="00DC2CC7">
        <w:rPr>
          <w:rFonts w:cs="Arial"/>
          <w:szCs w:val="22"/>
        </w:rPr>
        <w:t xml:space="preserve">(for Darwin-Katherine) </w:t>
      </w:r>
      <w:r w:rsidR="00DC2CC7" w:rsidRPr="00DC2CC7">
        <w:rPr>
          <w:rFonts w:cs="Arial"/>
          <w:szCs w:val="22"/>
        </w:rPr>
        <w:t>are utilised to settle bilateral contracts be</w:t>
      </w:r>
      <w:r w:rsidR="00DC2CC7">
        <w:rPr>
          <w:rFonts w:cs="Arial"/>
          <w:szCs w:val="22"/>
        </w:rPr>
        <w:t>tween generators and retailers</w:t>
      </w:r>
      <w:r>
        <w:rPr>
          <w:rFonts w:cs="Arial"/>
          <w:szCs w:val="22"/>
        </w:rPr>
        <w:t>,</w:t>
      </w:r>
      <w:r w:rsidR="00DC2CC7">
        <w:rPr>
          <w:rFonts w:cs="Arial"/>
          <w:szCs w:val="22"/>
        </w:rPr>
        <w:t xml:space="preserve"> and this </w:t>
      </w:r>
      <w:r>
        <w:rPr>
          <w:rFonts w:cs="Arial"/>
          <w:szCs w:val="22"/>
        </w:rPr>
        <w:t xml:space="preserve">practice </w:t>
      </w:r>
      <w:r w:rsidR="00DC2CC7">
        <w:rPr>
          <w:rFonts w:cs="Arial"/>
          <w:szCs w:val="22"/>
        </w:rPr>
        <w:t>has also been extended to the other major networks (Alice Springs and Tennant Creek).</w:t>
      </w:r>
    </w:p>
    <w:p w:rsidR="00EE4D58" w:rsidRPr="00DC2CC7" w:rsidRDefault="00DC2CC7" w:rsidP="00DD3E96">
      <w:pPr>
        <w:numPr>
          <w:ilvl w:val="0"/>
          <w:numId w:val="15"/>
        </w:numPr>
        <w:ind w:left="567" w:hanging="567"/>
        <w:rPr>
          <w:szCs w:val="22"/>
        </w:rPr>
      </w:pPr>
      <w:r w:rsidRPr="00DC2CC7">
        <w:rPr>
          <w:rFonts w:cs="Arial"/>
          <w:szCs w:val="22"/>
        </w:rPr>
        <w:t>PWC advise</w:t>
      </w:r>
      <w:r w:rsidR="00327B17">
        <w:rPr>
          <w:rFonts w:cs="Arial"/>
          <w:szCs w:val="22"/>
        </w:rPr>
        <w:t>s</w:t>
      </w:r>
      <w:r w:rsidRPr="00DC2CC7">
        <w:rPr>
          <w:rFonts w:cs="Arial"/>
          <w:szCs w:val="22"/>
        </w:rPr>
        <w:t xml:space="preserve"> market participants sought PWC’s involvement in this process as an independent party with access to the required meter data. PWC’s application </w:t>
      </w:r>
      <w:r w:rsidR="001E6237">
        <w:rPr>
          <w:rFonts w:cs="Arial"/>
          <w:szCs w:val="22"/>
        </w:rPr>
        <w:t>states</w:t>
      </w:r>
      <w:r w:rsidRPr="00DC2CC7">
        <w:rPr>
          <w:rFonts w:cs="Arial"/>
          <w:szCs w:val="22"/>
        </w:rPr>
        <w:t xml:space="preserve"> this </w:t>
      </w:r>
      <w:r w:rsidR="004A6B3F" w:rsidRPr="00DC2CC7">
        <w:rPr>
          <w:rFonts w:cs="Arial"/>
          <w:szCs w:val="22"/>
        </w:rPr>
        <w:t xml:space="preserve">service is currently provided as a Network Alternative Control Service and charged accordingly. </w:t>
      </w:r>
      <w:r w:rsidR="00FB7F92" w:rsidRPr="00DC2CC7">
        <w:rPr>
          <w:rFonts w:cs="Arial"/>
          <w:szCs w:val="22"/>
        </w:rPr>
        <w:t>With the proposed separation of duties</w:t>
      </w:r>
      <w:r w:rsidR="0069228F" w:rsidRPr="00DC2CC7">
        <w:rPr>
          <w:rFonts w:cs="Arial"/>
          <w:szCs w:val="22"/>
        </w:rPr>
        <w:t>,</w:t>
      </w:r>
      <w:r w:rsidR="004A6B3F" w:rsidRPr="00DC2CC7">
        <w:rPr>
          <w:rFonts w:cs="Arial"/>
          <w:szCs w:val="22"/>
        </w:rPr>
        <w:t xml:space="preserve"> PWC </w:t>
      </w:r>
      <w:r>
        <w:rPr>
          <w:rFonts w:cs="Arial"/>
          <w:szCs w:val="22"/>
        </w:rPr>
        <w:t>request</w:t>
      </w:r>
      <w:r w:rsidR="00327B17">
        <w:rPr>
          <w:rFonts w:cs="Arial"/>
          <w:szCs w:val="22"/>
        </w:rPr>
        <w:t>s</w:t>
      </w:r>
      <w:r>
        <w:rPr>
          <w:rFonts w:cs="Arial"/>
          <w:szCs w:val="22"/>
        </w:rPr>
        <w:t xml:space="preserve"> the Code be amended for this </w:t>
      </w:r>
      <w:r w:rsidR="00FB7F92" w:rsidRPr="00DC2CC7">
        <w:rPr>
          <w:rFonts w:cs="Arial"/>
          <w:szCs w:val="22"/>
        </w:rPr>
        <w:t xml:space="preserve">service </w:t>
      </w:r>
      <w:r>
        <w:rPr>
          <w:rFonts w:cs="Arial"/>
          <w:szCs w:val="22"/>
        </w:rPr>
        <w:t xml:space="preserve">to be </w:t>
      </w:r>
      <w:r w:rsidR="00FB7F92" w:rsidRPr="00DC2CC7">
        <w:rPr>
          <w:rFonts w:cs="Arial"/>
          <w:szCs w:val="22"/>
        </w:rPr>
        <w:t>provided by the Market Operator.</w:t>
      </w:r>
    </w:p>
    <w:p w:rsidR="00FC7940" w:rsidRPr="00EB6A2F" w:rsidRDefault="00FC7940" w:rsidP="00DD3E96">
      <w:pPr>
        <w:numPr>
          <w:ilvl w:val="0"/>
          <w:numId w:val="15"/>
        </w:numPr>
        <w:ind w:left="567" w:hanging="567"/>
        <w:rPr>
          <w:rFonts w:cs="Arial"/>
          <w:szCs w:val="22"/>
        </w:rPr>
      </w:pPr>
      <w:r w:rsidRPr="00EB6A2F">
        <w:rPr>
          <w:rFonts w:cs="Arial"/>
          <w:szCs w:val="22"/>
        </w:rPr>
        <w:t>PWC state</w:t>
      </w:r>
      <w:r w:rsidR="00327B17">
        <w:rPr>
          <w:rFonts w:cs="Arial"/>
          <w:szCs w:val="22"/>
        </w:rPr>
        <w:t xml:space="preserve">s </w:t>
      </w:r>
      <w:r w:rsidRPr="00EB6A2F">
        <w:rPr>
          <w:rFonts w:cs="Arial"/>
          <w:szCs w:val="22"/>
        </w:rPr>
        <w:t>the</w:t>
      </w:r>
      <w:r w:rsidR="000326A4">
        <w:rPr>
          <w:rFonts w:cs="Arial"/>
          <w:szCs w:val="22"/>
        </w:rPr>
        <w:t xml:space="preserve"> </w:t>
      </w:r>
      <w:r w:rsidRPr="00EB6A2F">
        <w:rPr>
          <w:rFonts w:cs="Arial"/>
          <w:szCs w:val="22"/>
        </w:rPr>
        <w:t xml:space="preserve">Market Operator’s right to access customer meter data outside of </w:t>
      </w:r>
      <w:r w:rsidR="000326A4">
        <w:rPr>
          <w:rFonts w:cs="Arial"/>
          <w:szCs w:val="22"/>
        </w:rPr>
        <w:t xml:space="preserve">the </w:t>
      </w:r>
      <w:r w:rsidRPr="00EB6A2F">
        <w:rPr>
          <w:rFonts w:cs="Arial"/>
          <w:szCs w:val="22"/>
        </w:rPr>
        <w:t>Darwin-Katherine network</w:t>
      </w:r>
      <w:r w:rsidR="00377A92">
        <w:rPr>
          <w:rFonts w:cs="Arial"/>
          <w:szCs w:val="22"/>
        </w:rPr>
        <w:t xml:space="preserve"> to produce settlement statements</w:t>
      </w:r>
      <w:r w:rsidRPr="00EB6A2F">
        <w:rPr>
          <w:rFonts w:cs="Arial"/>
          <w:szCs w:val="22"/>
        </w:rPr>
        <w:t xml:space="preserve"> is unclear. PWC </w:t>
      </w:r>
      <w:r w:rsidR="00DC2CC7">
        <w:rPr>
          <w:rFonts w:cs="Arial"/>
          <w:szCs w:val="22"/>
        </w:rPr>
        <w:t>request</w:t>
      </w:r>
      <w:r w:rsidR="00327B17">
        <w:rPr>
          <w:rFonts w:cs="Arial"/>
          <w:szCs w:val="22"/>
        </w:rPr>
        <w:t>s</w:t>
      </w:r>
      <w:r w:rsidR="00DC2CC7">
        <w:rPr>
          <w:rFonts w:cs="Arial"/>
          <w:szCs w:val="22"/>
        </w:rPr>
        <w:t xml:space="preserve"> </w:t>
      </w:r>
      <w:r w:rsidRPr="00EB6A2F">
        <w:rPr>
          <w:rFonts w:cs="Arial"/>
          <w:szCs w:val="22"/>
        </w:rPr>
        <w:t>that the provision outlining the Market Operator’s right</w:t>
      </w:r>
      <w:r w:rsidR="00F04A88">
        <w:rPr>
          <w:rFonts w:cs="Arial"/>
          <w:szCs w:val="22"/>
        </w:rPr>
        <w:t xml:space="preserve"> to access customer meter data</w:t>
      </w:r>
      <w:r w:rsidRPr="00EB6A2F">
        <w:rPr>
          <w:rFonts w:cs="Arial"/>
          <w:szCs w:val="22"/>
        </w:rPr>
        <w:t xml:space="preserve"> be incorporated in the Code.</w:t>
      </w:r>
    </w:p>
    <w:p w:rsidR="00DB385B" w:rsidRDefault="00DC2CC7" w:rsidP="00DD3E96">
      <w:pPr>
        <w:numPr>
          <w:ilvl w:val="0"/>
          <w:numId w:val="15"/>
        </w:numPr>
        <w:ind w:left="567" w:hanging="567"/>
        <w:rPr>
          <w:rFonts w:cs="Arial"/>
          <w:szCs w:val="22"/>
        </w:rPr>
      </w:pPr>
      <w:bookmarkStart w:id="98" w:name="_Toc326762955"/>
      <w:bookmarkStart w:id="99" w:name="_Toc327349099"/>
      <w:r>
        <w:rPr>
          <w:rFonts w:cs="Arial"/>
          <w:szCs w:val="22"/>
        </w:rPr>
        <w:t>PWC’s application notes the s</w:t>
      </w:r>
      <w:r w:rsidR="00FC7940" w:rsidRPr="00EB6A2F">
        <w:rPr>
          <w:rFonts w:cs="Arial"/>
          <w:szCs w:val="22"/>
        </w:rPr>
        <w:t xml:space="preserve">ervice is not classified </w:t>
      </w:r>
      <w:r>
        <w:rPr>
          <w:rFonts w:cs="Arial"/>
          <w:szCs w:val="22"/>
        </w:rPr>
        <w:t>as a regulated service and it would be</w:t>
      </w:r>
      <w:r w:rsidR="00FC7940" w:rsidRPr="00EB6A2F">
        <w:rPr>
          <w:rFonts w:cs="Arial"/>
          <w:szCs w:val="22"/>
        </w:rPr>
        <w:t xml:space="preserve"> appropriate to include th</w:t>
      </w:r>
      <w:r w:rsidR="00AA2E97">
        <w:rPr>
          <w:rFonts w:cs="Arial"/>
          <w:szCs w:val="22"/>
        </w:rPr>
        <w:t>is</w:t>
      </w:r>
      <w:r w:rsidR="00FC7940" w:rsidRPr="00EB6A2F">
        <w:rPr>
          <w:rFonts w:cs="Arial"/>
          <w:szCs w:val="22"/>
        </w:rPr>
        <w:t xml:space="preserve"> provision in the Electricity Retail Supply Code rather than the System Control Technical Code</w:t>
      </w:r>
      <w:r>
        <w:rPr>
          <w:rFonts w:cs="Arial"/>
          <w:szCs w:val="22"/>
        </w:rPr>
        <w:t>. PWC advise</w:t>
      </w:r>
      <w:r w:rsidR="00AA2E97">
        <w:rPr>
          <w:rFonts w:cs="Arial"/>
          <w:szCs w:val="22"/>
        </w:rPr>
        <w:t>s</w:t>
      </w:r>
      <w:r>
        <w:rPr>
          <w:rFonts w:cs="Arial"/>
          <w:szCs w:val="22"/>
        </w:rPr>
        <w:t xml:space="preserve"> </w:t>
      </w:r>
      <w:r w:rsidR="001E6237">
        <w:rPr>
          <w:rFonts w:cs="Arial"/>
          <w:szCs w:val="22"/>
        </w:rPr>
        <w:t xml:space="preserve">cost </w:t>
      </w:r>
      <w:r w:rsidR="00336120">
        <w:rPr>
          <w:rFonts w:cs="Arial"/>
          <w:szCs w:val="22"/>
        </w:rPr>
        <w:t>recovery</w:t>
      </w:r>
      <w:r w:rsidR="00F42328">
        <w:rPr>
          <w:rFonts w:cs="Arial"/>
          <w:szCs w:val="22"/>
        </w:rPr>
        <w:t xml:space="preserve"> of these services</w:t>
      </w:r>
      <w:r w:rsidR="00336120">
        <w:rPr>
          <w:rFonts w:cs="Arial"/>
          <w:szCs w:val="22"/>
        </w:rPr>
        <w:t xml:space="preserve"> is outside the System Control regulated charge</w:t>
      </w:r>
      <w:r w:rsidR="00377A92">
        <w:rPr>
          <w:rFonts w:cs="Arial"/>
          <w:szCs w:val="22"/>
        </w:rPr>
        <w:t xml:space="preserve"> and is provided as an additional service currently</w:t>
      </w:r>
      <w:r w:rsidR="00FC7940" w:rsidRPr="00EB6A2F">
        <w:rPr>
          <w:rFonts w:cs="Arial"/>
          <w:szCs w:val="22"/>
        </w:rPr>
        <w:t>.</w:t>
      </w:r>
      <w:r>
        <w:rPr>
          <w:rFonts w:cs="Arial"/>
          <w:szCs w:val="22"/>
        </w:rPr>
        <w:t xml:space="preserve"> Consideration will need to be given to the scope of the system control regulated charges. </w:t>
      </w:r>
    </w:p>
    <w:bookmarkEnd w:id="98"/>
    <w:bookmarkEnd w:id="99"/>
    <w:p w:rsidR="00CC525D" w:rsidRDefault="00336120" w:rsidP="00DD3E96">
      <w:pPr>
        <w:numPr>
          <w:ilvl w:val="0"/>
          <w:numId w:val="15"/>
        </w:numPr>
        <w:ind w:left="567" w:hanging="567"/>
        <w:sectPr w:rsidR="00CC525D" w:rsidSect="008C11DD">
          <w:pgSz w:w="11907" w:h="16840" w:code="9"/>
          <w:pgMar w:top="851" w:right="1134" w:bottom="1134" w:left="1701" w:header="567" w:footer="567" w:gutter="0"/>
          <w:cols w:space="720"/>
          <w:titlePg/>
        </w:sectPr>
      </w:pPr>
      <w:r w:rsidRPr="007B23E7">
        <w:rPr>
          <w:rFonts w:cs="Arial"/>
          <w:szCs w:val="22"/>
        </w:rPr>
        <w:t>Clause A6.4(a)</w:t>
      </w:r>
      <w:r w:rsidR="00DC2CC7" w:rsidRPr="007B23E7">
        <w:rPr>
          <w:rFonts w:cs="Arial"/>
          <w:szCs w:val="22"/>
        </w:rPr>
        <w:t xml:space="preserve"> of the SCTC </w:t>
      </w:r>
      <w:r w:rsidRPr="007B23E7">
        <w:rPr>
          <w:rFonts w:cs="Arial"/>
          <w:szCs w:val="22"/>
        </w:rPr>
        <w:t xml:space="preserve">sets out the </w:t>
      </w:r>
      <w:r w:rsidR="00B45F0C" w:rsidRPr="007B23E7">
        <w:rPr>
          <w:rFonts w:cs="Arial"/>
          <w:szCs w:val="22"/>
        </w:rPr>
        <w:t>Market Operator</w:t>
      </w:r>
      <w:r w:rsidRPr="007B23E7">
        <w:rPr>
          <w:rFonts w:cs="Arial"/>
          <w:szCs w:val="22"/>
        </w:rPr>
        <w:t>’s right to receive data for calculating settlements in the I-NTEM</w:t>
      </w:r>
      <w:r w:rsidR="00DC2CC7" w:rsidRPr="007B23E7">
        <w:rPr>
          <w:rFonts w:cs="Arial"/>
          <w:szCs w:val="22"/>
        </w:rPr>
        <w:t xml:space="preserve">. Consideration needs to be given to the </w:t>
      </w:r>
      <w:r w:rsidRPr="007B23E7">
        <w:rPr>
          <w:rFonts w:cs="Arial"/>
          <w:szCs w:val="22"/>
        </w:rPr>
        <w:t xml:space="preserve">amendment </w:t>
      </w:r>
      <w:r w:rsidR="00DC2CC7" w:rsidRPr="007B23E7">
        <w:rPr>
          <w:rFonts w:cs="Arial"/>
          <w:szCs w:val="22"/>
        </w:rPr>
        <w:t xml:space="preserve">necessary for the </w:t>
      </w:r>
      <w:r w:rsidR="00B45F0C" w:rsidRPr="007B23E7">
        <w:rPr>
          <w:rFonts w:cs="Arial"/>
          <w:szCs w:val="22"/>
        </w:rPr>
        <w:t>Market Operator</w:t>
      </w:r>
      <w:r w:rsidRPr="007B23E7">
        <w:rPr>
          <w:rFonts w:cs="Arial"/>
          <w:szCs w:val="22"/>
        </w:rPr>
        <w:t xml:space="preserve"> to </w:t>
      </w:r>
      <w:r w:rsidR="007B23E7" w:rsidRPr="007B23E7">
        <w:rPr>
          <w:rFonts w:cs="Arial"/>
          <w:szCs w:val="22"/>
        </w:rPr>
        <w:t xml:space="preserve">be able to </w:t>
      </w:r>
      <w:r w:rsidRPr="007B23E7">
        <w:rPr>
          <w:rFonts w:cs="Arial"/>
          <w:szCs w:val="22"/>
        </w:rPr>
        <w:t xml:space="preserve">access </w:t>
      </w:r>
      <w:r w:rsidR="007B23E7" w:rsidRPr="007B23E7">
        <w:rPr>
          <w:rFonts w:cs="Arial"/>
          <w:szCs w:val="22"/>
        </w:rPr>
        <w:t xml:space="preserve">settlement </w:t>
      </w:r>
      <w:r w:rsidRPr="007B23E7">
        <w:rPr>
          <w:rFonts w:cs="Arial"/>
          <w:szCs w:val="22"/>
        </w:rPr>
        <w:t xml:space="preserve">information </w:t>
      </w:r>
      <w:r w:rsidR="007B23E7" w:rsidRPr="007B23E7">
        <w:rPr>
          <w:rFonts w:cs="Arial"/>
          <w:szCs w:val="22"/>
        </w:rPr>
        <w:t>for</w:t>
      </w:r>
      <w:r w:rsidRPr="007B23E7">
        <w:rPr>
          <w:rFonts w:cs="Arial"/>
          <w:szCs w:val="22"/>
        </w:rPr>
        <w:t xml:space="preserve"> Alice Springs</w:t>
      </w:r>
      <w:r w:rsidR="009832DF">
        <w:rPr>
          <w:rFonts w:cs="Arial"/>
          <w:szCs w:val="22"/>
        </w:rPr>
        <w:t>,</w:t>
      </w:r>
      <w:r w:rsidRPr="007B23E7">
        <w:rPr>
          <w:rFonts w:cs="Arial"/>
          <w:szCs w:val="22"/>
        </w:rPr>
        <w:t xml:space="preserve"> Tennant Creek</w:t>
      </w:r>
      <w:r w:rsidR="009832DF">
        <w:rPr>
          <w:rFonts w:cs="Arial"/>
          <w:szCs w:val="22"/>
        </w:rPr>
        <w:t xml:space="preserve"> and other non-regulated networks where the service of providing settlement statements is </w:t>
      </w:r>
      <w:r w:rsidR="00AE1CC7">
        <w:rPr>
          <w:rFonts w:cs="Arial"/>
          <w:szCs w:val="22"/>
        </w:rPr>
        <w:t xml:space="preserve">also </w:t>
      </w:r>
      <w:r w:rsidR="009832DF">
        <w:rPr>
          <w:rFonts w:cs="Arial"/>
          <w:szCs w:val="22"/>
        </w:rPr>
        <w:t>provided.</w:t>
      </w:r>
      <w:r w:rsidRPr="007B23E7">
        <w:rPr>
          <w:rFonts w:cs="Arial"/>
          <w:szCs w:val="22"/>
        </w:rPr>
        <w:t xml:space="preserve"> </w:t>
      </w:r>
    </w:p>
    <w:tbl>
      <w:tblPr>
        <w:tblW w:w="0" w:type="auto"/>
        <w:tblLayout w:type="fixed"/>
        <w:tblLook w:val="01E0" w:firstRow="1" w:lastRow="1" w:firstColumn="1" w:lastColumn="1" w:noHBand="0" w:noVBand="0"/>
      </w:tblPr>
      <w:tblGrid>
        <w:gridCol w:w="9288"/>
      </w:tblGrid>
      <w:tr w:rsidR="00CC525D" w:rsidTr="00567B14">
        <w:tc>
          <w:tcPr>
            <w:tcW w:w="9288" w:type="dxa"/>
          </w:tcPr>
          <w:p w:rsidR="00CC525D" w:rsidRDefault="00CC525D" w:rsidP="00567B14">
            <w:pPr>
              <w:pStyle w:val="NumberLevel1"/>
            </w:pPr>
          </w:p>
        </w:tc>
      </w:tr>
      <w:tr w:rsidR="00CC525D" w:rsidTr="00567B14">
        <w:tc>
          <w:tcPr>
            <w:tcW w:w="9288" w:type="dxa"/>
          </w:tcPr>
          <w:p w:rsidR="00CC525D" w:rsidRDefault="00CC525D" w:rsidP="00134C3F">
            <w:pPr>
              <w:pStyle w:val="UtilComChapterHeading"/>
            </w:pPr>
            <w:bookmarkStart w:id="100" w:name="_Toc457207596"/>
            <w:r w:rsidRPr="00CC525D">
              <w:t xml:space="preserve">The </w:t>
            </w:r>
            <w:r w:rsidR="00A110B3">
              <w:t>R</w:t>
            </w:r>
            <w:r w:rsidRPr="00CC525D">
              <w:t xml:space="preserve">ole of a </w:t>
            </w:r>
            <w:r w:rsidR="00A110B3">
              <w:t>D</w:t>
            </w:r>
            <w:r w:rsidRPr="00CC525D">
              <w:t xml:space="preserve">esignated </w:t>
            </w:r>
            <w:r w:rsidR="00A110B3">
              <w:t>R</w:t>
            </w:r>
            <w:r w:rsidRPr="00CC525D">
              <w:t>etailer</w:t>
            </w:r>
            <w:bookmarkEnd w:id="100"/>
            <w:r w:rsidRPr="00CC525D">
              <w:t xml:space="preserve"> </w:t>
            </w:r>
          </w:p>
        </w:tc>
      </w:tr>
    </w:tbl>
    <w:p w:rsidR="0089067A" w:rsidRDefault="00746119" w:rsidP="00B67063">
      <w:pPr>
        <w:pStyle w:val="UtilComHeading2"/>
      </w:pPr>
      <w:bookmarkStart w:id="101" w:name="_Toc457207597"/>
      <w:r w:rsidRPr="00746119">
        <w:t>Local Retailer Definition</w:t>
      </w:r>
      <w:bookmarkEnd w:id="101"/>
    </w:p>
    <w:p w:rsidR="00CC6701" w:rsidRPr="00CC6701" w:rsidRDefault="00AD4867" w:rsidP="00B67063">
      <w:pPr>
        <w:pStyle w:val="UtilComHeading3"/>
      </w:pPr>
      <w:bookmarkStart w:id="102" w:name="_Toc457207598"/>
      <w:r w:rsidRPr="00F23320">
        <w:t xml:space="preserve">Issue 4 – </w:t>
      </w:r>
      <w:r w:rsidR="00CC6701" w:rsidRPr="00F23320">
        <w:t xml:space="preserve">Jacana </w:t>
      </w:r>
      <w:r w:rsidR="00CB5FC5" w:rsidRPr="00F23320">
        <w:t xml:space="preserve">Energy </w:t>
      </w:r>
      <w:r w:rsidR="00CC6701" w:rsidRPr="00F23320">
        <w:t xml:space="preserve">as a </w:t>
      </w:r>
      <w:r w:rsidR="00D170CE" w:rsidRPr="00F23320">
        <w:t>‘</w:t>
      </w:r>
      <w:r w:rsidR="00CC6701" w:rsidRPr="00F23320">
        <w:t>local retailer</w:t>
      </w:r>
      <w:r w:rsidR="00D170CE" w:rsidRPr="00F23320">
        <w:t>’</w:t>
      </w:r>
      <w:r w:rsidR="00CC6701" w:rsidRPr="00F23320">
        <w:t xml:space="preserve"> and its rights to sell to out</w:t>
      </w:r>
      <w:r w:rsidR="001E6237">
        <w:noBreakHyphen/>
      </w:r>
      <w:r w:rsidR="00CC6701" w:rsidRPr="00F23320">
        <w:t>of</w:t>
      </w:r>
      <w:r w:rsidR="001E6237">
        <w:noBreakHyphen/>
      </w:r>
      <w:r w:rsidR="00CC6701" w:rsidRPr="00F23320">
        <w:t>contract customers</w:t>
      </w:r>
      <w:bookmarkEnd w:id="102"/>
      <w:r w:rsidR="00CC6701">
        <w:t xml:space="preserve"> </w:t>
      </w:r>
    </w:p>
    <w:p w:rsidR="00746119" w:rsidRDefault="00746119" w:rsidP="00DD3E96">
      <w:pPr>
        <w:numPr>
          <w:ilvl w:val="0"/>
          <w:numId w:val="16"/>
        </w:numPr>
        <w:ind w:left="567" w:hanging="567"/>
      </w:pPr>
      <w:bookmarkStart w:id="103" w:name="_Toc326762958"/>
      <w:bookmarkStart w:id="104" w:name="_Toc327349107"/>
      <w:r w:rsidRPr="00EB6A2F">
        <w:t>PWC note</w:t>
      </w:r>
      <w:r w:rsidR="000C772C">
        <w:t>s</w:t>
      </w:r>
      <w:r w:rsidRPr="00EB6A2F">
        <w:t xml:space="preserve"> </w:t>
      </w:r>
      <w:r w:rsidR="000C772C">
        <w:t xml:space="preserve">it </w:t>
      </w:r>
      <w:r w:rsidRPr="00EB6A2F">
        <w:t>ha</w:t>
      </w:r>
      <w:r w:rsidR="000C772C">
        <w:t>s</w:t>
      </w:r>
      <w:r w:rsidRPr="00EB6A2F">
        <w:t xml:space="preserve"> received queries from retailers regarding the treatment of vacant installations and orphaned customers</w:t>
      </w:r>
      <w:r w:rsidR="000C772C">
        <w:t>,</w:t>
      </w:r>
      <w:r w:rsidRPr="00EB6A2F">
        <w:t xml:space="preserve"> which ha</w:t>
      </w:r>
      <w:r w:rsidR="001E6237">
        <w:t>ve</w:t>
      </w:r>
      <w:r w:rsidRPr="00EB6A2F">
        <w:t xml:space="preserve"> highlighted a need for a ‘local retailer’</w:t>
      </w:r>
      <w:r w:rsidR="00BE6275">
        <w:t>, similar to that</w:t>
      </w:r>
      <w:r w:rsidR="00CB5FC5">
        <w:t xml:space="preserve"> exist</w:t>
      </w:r>
      <w:r w:rsidR="000C772C">
        <w:t>ing</w:t>
      </w:r>
      <w:r w:rsidR="00BE6275">
        <w:t xml:space="preserve"> in the NEM</w:t>
      </w:r>
      <w:r w:rsidRPr="00EB6A2F">
        <w:t>.</w:t>
      </w:r>
    </w:p>
    <w:p w:rsidR="00B36F0F" w:rsidRDefault="00CB5FC5" w:rsidP="00DD3E96">
      <w:pPr>
        <w:numPr>
          <w:ilvl w:val="0"/>
          <w:numId w:val="16"/>
        </w:numPr>
        <w:ind w:left="567" w:hanging="567"/>
      </w:pPr>
      <w:r>
        <w:t>PWC advise</w:t>
      </w:r>
      <w:r w:rsidR="000C772C">
        <w:t>s</w:t>
      </w:r>
      <w:r>
        <w:t xml:space="preserve"> a </w:t>
      </w:r>
      <w:r w:rsidR="00B36F0F">
        <w:t xml:space="preserve">vacant installation is where electricity is consumed at a site </w:t>
      </w:r>
      <w:r w:rsidR="000C772C">
        <w:t xml:space="preserve">that </w:t>
      </w:r>
      <w:r w:rsidR="00B36F0F">
        <w:t>does not have a consumer assigned</w:t>
      </w:r>
      <w:r w:rsidR="000C772C">
        <w:t>,</w:t>
      </w:r>
      <w:r w:rsidR="00B36F0F">
        <w:t xml:space="preserve"> for example</w:t>
      </w:r>
      <w:r w:rsidR="000C772C">
        <w:t>, a</w:t>
      </w:r>
      <w:r w:rsidR="00B36F0F">
        <w:t xml:space="preserve"> greenfield site</w:t>
      </w:r>
      <w:r w:rsidR="000C772C">
        <w:t>,</w:t>
      </w:r>
      <w:r w:rsidR="00B36F0F">
        <w:t xml:space="preserve"> or where a customer has </w:t>
      </w:r>
      <w:r w:rsidR="009C21AA">
        <w:t>finalised</w:t>
      </w:r>
      <w:r w:rsidR="00B36F0F">
        <w:t xml:space="preserve"> their account and moved out. </w:t>
      </w:r>
      <w:r>
        <w:t xml:space="preserve">In </w:t>
      </w:r>
      <w:r w:rsidR="00B36F0F">
        <w:t>most cases</w:t>
      </w:r>
      <w:r w:rsidR="000C772C">
        <w:t>,</w:t>
      </w:r>
      <w:r w:rsidR="00B36F0F">
        <w:t xml:space="preserve"> </w:t>
      </w:r>
      <w:r>
        <w:t xml:space="preserve">the </w:t>
      </w:r>
      <w:r w:rsidR="00B36F0F">
        <w:t>fuse is pulled so there is no electricity supply, however</w:t>
      </w:r>
      <w:r w:rsidR="000C772C">
        <w:t>,</w:t>
      </w:r>
      <w:r w:rsidR="00B36F0F">
        <w:t xml:space="preserve"> in some instances</w:t>
      </w:r>
      <w:r>
        <w:t>,</w:t>
      </w:r>
      <w:r w:rsidR="00B36F0F">
        <w:t xml:space="preserve"> </w:t>
      </w:r>
      <w:r>
        <w:t xml:space="preserve">the </w:t>
      </w:r>
      <w:r w:rsidR="00B36F0F">
        <w:t>fuse is not pulled and electricity is consumed.</w:t>
      </w:r>
    </w:p>
    <w:p w:rsidR="00B36F0F" w:rsidRDefault="00B36F0F" w:rsidP="00DD3E96">
      <w:pPr>
        <w:numPr>
          <w:ilvl w:val="0"/>
          <w:numId w:val="16"/>
        </w:numPr>
        <w:ind w:left="567" w:hanging="567"/>
      </w:pPr>
      <w:r>
        <w:t xml:space="preserve">PWC </w:t>
      </w:r>
      <w:r w:rsidR="00CB5FC5">
        <w:t>advise</w:t>
      </w:r>
      <w:r w:rsidR="000C772C">
        <w:t>s</w:t>
      </w:r>
      <w:r w:rsidR="00CB5FC5">
        <w:t xml:space="preserve"> </w:t>
      </w:r>
      <w:r>
        <w:t>under the I-NTEM</w:t>
      </w:r>
      <w:r w:rsidR="00CB5FC5">
        <w:t xml:space="preserve"> virtual </w:t>
      </w:r>
      <w:r>
        <w:t>settlement by differen</w:t>
      </w:r>
      <w:r w:rsidR="00CA2C3C">
        <w:t>ce</w:t>
      </w:r>
      <w:r>
        <w:t xml:space="preserve"> calculation</w:t>
      </w:r>
      <w:r w:rsidR="00CA2C3C">
        <w:t>s</w:t>
      </w:r>
      <w:r>
        <w:t>, Jacana Energy is automatically charged for this electricity consumption. PWC state</w:t>
      </w:r>
      <w:r w:rsidR="0090513F">
        <w:t>s</w:t>
      </w:r>
      <w:r>
        <w:t xml:space="preserve"> </w:t>
      </w:r>
      <w:r w:rsidR="001E6237">
        <w:t>Jacana </w:t>
      </w:r>
      <w:r w:rsidR="00CB5FC5">
        <w:t xml:space="preserve">Energy </w:t>
      </w:r>
      <w:r>
        <w:t>should therefore be provided an opportunity to view the data to rectify the situation.</w:t>
      </w:r>
    </w:p>
    <w:p w:rsidR="00CB5FC5" w:rsidRDefault="00B36F0F" w:rsidP="00DD3E96">
      <w:pPr>
        <w:numPr>
          <w:ilvl w:val="0"/>
          <w:numId w:val="16"/>
        </w:numPr>
        <w:ind w:left="567" w:hanging="567"/>
        <w:rPr>
          <w:rFonts w:cs="Arial"/>
          <w:szCs w:val="22"/>
        </w:rPr>
      </w:pPr>
      <w:r>
        <w:t>PWC</w:t>
      </w:r>
      <w:r w:rsidR="00CB5FC5">
        <w:t>’s application also raises the issue of whether customer</w:t>
      </w:r>
      <w:r w:rsidR="001E6237">
        <w:t>s</w:t>
      </w:r>
      <w:r w:rsidR="00CB5FC5">
        <w:t xml:space="preserve"> should be disconnected if they do not renew their contract</w:t>
      </w:r>
      <w:r w:rsidR="001E6237">
        <w:t>s</w:t>
      </w:r>
      <w:r w:rsidR="00CB5FC5">
        <w:t xml:space="preserve"> with </w:t>
      </w:r>
      <w:r w:rsidR="001E6237">
        <w:t>their</w:t>
      </w:r>
      <w:r w:rsidR="00CB5FC5">
        <w:t xml:space="preserve"> retailer</w:t>
      </w:r>
      <w:r w:rsidR="001E6237">
        <w:t>s</w:t>
      </w:r>
      <w:r w:rsidR="00CB5FC5">
        <w:t xml:space="preserve">. </w:t>
      </w:r>
      <w:bookmarkEnd w:id="103"/>
      <w:bookmarkEnd w:id="104"/>
      <w:r w:rsidR="00746119" w:rsidRPr="00CB5FC5">
        <w:rPr>
          <w:rFonts w:cs="Arial"/>
          <w:szCs w:val="22"/>
        </w:rPr>
        <w:t>PWC’s interpretation of the intention of the regulatory design is that customer</w:t>
      </w:r>
      <w:r w:rsidR="0090513F">
        <w:rPr>
          <w:rFonts w:cs="Arial"/>
          <w:szCs w:val="22"/>
        </w:rPr>
        <w:t>s</w:t>
      </w:r>
      <w:r w:rsidR="00746119" w:rsidRPr="00CB5FC5">
        <w:rPr>
          <w:rFonts w:cs="Arial"/>
          <w:szCs w:val="22"/>
        </w:rPr>
        <w:t xml:space="preserve"> would not be disconnected if they </w:t>
      </w:r>
      <w:r w:rsidR="000421B4">
        <w:rPr>
          <w:rFonts w:cs="Arial"/>
          <w:szCs w:val="22"/>
        </w:rPr>
        <w:t xml:space="preserve">do not </w:t>
      </w:r>
      <w:r w:rsidR="00746119" w:rsidRPr="00CB5FC5">
        <w:rPr>
          <w:rFonts w:cs="Arial"/>
          <w:szCs w:val="22"/>
        </w:rPr>
        <w:t>wish to renew their contract</w:t>
      </w:r>
      <w:r w:rsidR="0090513F">
        <w:rPr>
          <w:rFonts w:cs="Arial"/>
          <w:szCs w:val="22"/>
        </w:rPr>
        <w:t>s</w:t>
      </w:r>
      <w:r w:rsidR="00746119" w:rsidRPr="00CB5FC5">
        <w:rPr>
          <w:rFonts w:cs="Arial"/>
          <w:szCs w:val="22"/>
        </w:rPr>
        <w:t>, but would be treated as orphaned customer</w:t>
      </w:r>
      <w:r w:rsidR="0090513F">
        <w:rPr>
          <w:rFonts w:cs="Arial"/>
          <w:szCs w:val="22"/>
        </w:rPr>
        <w:t>s</w:t>
      </w:r>
      <w:r w:rsidR="00746119" w:rsidRPr="00CB5FC5">
        <w:rPr>
          <w:rFonts w:cs="Arial"/>
          <w:szCs w:val="22"/>
        </w:rPr>
        <w:t xml:space="preserve"> and transferred to Jacana Energy. </w:t>
      </w:r>
    </w:p>
    <w:p w:rsidR="00EE58CC" w:rsidRDefault="00CB5FC5" w:rsidP="00DD3E96">
      <w:pPr>
        <w:numPr>
          <w:ilvl w:val="0"/>
          <w:numId w:val="16"/>
        </w:numPr>
        <w:ind w:left="567" w:hanging="567"/>
      </w:pPr>
      <w:r>
        <w:t xml:space="preserve">This issue needs to be considered in the context of </w:t>
      </w:r>
      <w:r w:rsidR="0090513F">
        <w:t xml:space="preserve">the </w:t>
      </w:r>
      <w:r>
        <w:t>prescribed class of customers, associated standard customer contracts and the customer protection framework.</w:t>
      </w:r>
    </w:p>
    <w:p w:rsidR="00CB5FC5" w:rsidRPr="00CB5FC5" w:rsidRDefault="00AD4867" w:rsidP="00DD3E96">
      <w:pPr>
        <w:numPr>
          <w:ilvl w:val="0"/>
          <w:numId w:val="16"/>
        </w:numPr>
        <w:ind w:left="567" w:hanging="567"/>
      </w:pPr>
      <w:r>
        <w:t xml:space="preserve">Consideration </w:t>
      </w:r>
      <w:r w:rsidR="00CB5FC5">
        <w:t>need</w:t>
      </w:r>
      <w:r>
        <w:t>s</w:t>
      </w:r>
      <w:r w:rsidR="00CB5FC5">
        <w:t xml:space="preserve"> to be given to whether </w:t>
      </w:r>
      <w:r>
        <w:t>application of a ‘</w:t>
      </w:r>
      <w:r w:rsidR="00CB5FC5">
        <w:t>local retailer</w:t>
      </w:r>
      <w:r w:rsidR="007C7821">
        <w:t xml:space="preserve">’ </w:t>
      </w:r>
      <w:r>
        <w:t xml:space="preserve">should be applied through amendment to the Code or another legislative or regulatory instrument. </w:t>
      </w:r>
    </w:p>
    <w:p w:rsidR="00CC6701" w:rsidRPr="00A035D3" w:rsidRDefault="00AD4867" w:rsidP="00DD3E96">
      <w:pPr>
        <w:numPr>
          <w:ilvl w:val="0"/>
          <w:numId w:val="16"/>
        </w:numPr>
        <w:ind w:left="567" w:hanging="567"/>
      </w:pPr>
      <w:r>
        <w:t>Consideration needs to be given to c</w:t>
      </w:r>
      <w:r w:rsidR="00CC6701" w:rsidRPr="00A035D3">
        <w:t>l</w:t>
      </w:r>
      <w:r w:rsidR="00CC6701">
        <w:t>ause 8.1.1 of the Code</w:t>
      </w:r>
      <w:r>
        <w:t xml:space="preserve"> </w:t>
      </w:r>
      <w:r w:rsidR="001E6237">
        <w:t xml:space="preserve">that </w:t>
      </w:r>
      <w:r w:rsidR="00CC6701">
        <w:t>prevents a</w:t>
      </w:r>
      <w:r w:rsidR="00CC6701" w:rsidRPr="00A035D3">
        <w:t xml:space="preserve"> </w:t>
      </w:r>
      <w:r w:rsidR="00CC6701" w:rsidRPr="00B67063">
        <w:t xml:space="preserve">retailer </w:t>
      </w:r>
      <w:r w:rsidR="00CC6701">
        <w:t>from initiating a customer</w:t>
      </w:r>
      <w:r w:rsidR="00CC6701" w:rsidRPr="00A035D3">
        <w:t xml:space="preserve"> transfer without obtaining verifiable consent. </w:t>
      </w:r>
    </w:p>
    <w:p w:rsidR="009C21AA" w:rsidRDefault="009C21AA" w:rsidP="00B67063">
      <w:pPr>
        <w:pStyle w:val="UtilComHeading2"/>
      </w:pPr>
      <w:bookmarkStart w:id="105" w:name="_Toc457207599"/>
      <w:r w:rsidRPr="00746119">
        <w:t xml:space="preserve">Treatment of </w:t>
      </w:r>
      <w:r w:rsidR="00F23320">
        <w:t>G</w:t>
      </w:r>
      <w:r w:rsidRPr="00746119">
        <w:t xml:space="preserve">reenfield </w:t>
      </w:r>
      <w:r w:rsidR="00F23320">
        <w:t>S</w:t>
      </w:r>
      <w:r w:rsidRPr="00746119">
        <w:t>ites</w:t>
      </w:r>
      <w:bookmarkEnd w:id="105"/>
    </w:p>
    <w:p w:rsidR="00CC6701" w:rsidRPr="00F23320" w:rsidRDefault="00291B34" w:rsidP="00B67063">
      <w:pPr>
        <w:pStyle w:val="UtilComHeading3"/>
      </w:pPr>
      <w:bookmarkStart w:id="106" w:name="_Toc457207600"/>
      <w:r w:rsidRPr="00F23320">
        <w:t xml:space="preserve">Issue 5 – </w:t>
      </w:r>
      <w:r w:rsidR="00CC6701" w:rsidRPr="00F23320">
        <w:t>Non-Jacana</w:t>
      </w:r>
      <w:r w:rsidR="00CB5FC5" w:rsidRPr="00F23320">
        <w:t xml:space="preserve"> Energy</w:t>
      </w:r>
      <w:r w:rsidR="00CC6701" w:rsidRPr="00F23320">
        <w:t xml:space="preserve"> retailers signing up for greenfield sites</w:t>
      </w:r>
      <w:bookmarkEnd w:id="106"/>
      <w:r w:rsidR="00CC6701" w:rsidRPr="00F23320">
        <w:t xml:space="preserve"> </w:t>
      </w:r>
    </w:p>
    <w:p w:rsidR="009C21AA" w:rsidRPr="00EB6A2F" w:rsidRDefault="00291B34" w:rsidP="00DD3E96">
      <w:pPr>
        <w:numPr>
          <w:ilvl w:val="0"/>
          <w:numId w:val="16"/>
        </w:numPr>
        <w:ind w:left="567" w:hanging="567"/>
        <w:rPr>
          <w:rFonts w:cs="Arial"/>
          <w:szCs w:val="22"/>
        </w:rPr>
      </w:pPr>
      <w:r>
        <w:rPr>
          <w:rFonts w:cs="Arial"/>
          <w:szCs w:val="22"/>
        </w:rPr>
        <w:t xml:space="preserve">PWC’s application </w:t>
      </w:r>
      <w:r w:rsidR="0090513F">
        <w:rPr>
          <w:rFonts w:cs="Arial"/>
          <w:szCs w:val="22"/>
        </w:rPr>
        <w:t>states</w:t>
      </w:r>
      <w:r>
        <w:rPr>
          <w:rFonts w:cs="Arial"/>
          <w:szCs w:val="22"/>
        </w:rPr>
        <w:t xml:space="preserve"> it has received a </w:t>
      </w:r>
      <w:r w:rsidR="009C21AA" w:rsidRPr="00EB6A2F">
        <w:rPr>
          <w:rFonts w:cs="Arial"/>
          <w:szCs w:val="22"/>
        </w:rPr>
        <w:t>number of queries from retailers regarding notification of new greenfield sites</w:t>
      </w:r>
      <w:r>
        <w:rPr>
          <w:rFonts w:cs="Arial"/>
          <w:szCs w:val="22"/>
        </w:rPr>
        <w:t xml:space="preserve"> and t</w:t>
      </w:r>
      <w:r w:rsidR="009C21AA">
        <w:rPr>
          <w:rFonts w:cs="Arial"/>
          <w:szCs w:val="22"/>
        </w:rPr>
        <w:t>here is an expectation all retailers should be notified of the connection of a new site.</w:t>
      </w:r>
      <w:r w:rsidR="009C21AA" w:rsidRPr="00EB6A2F">
        <w:rPr>
          <w:rFonts w:cs="Arial"/>
          <w:szCs w:val="22"/>
        </w:rPr>
        <w:t xml:space="preserve"> </w:t>
      </w:r>
      <w:r w:rsidR="00CB5FC5">
        <w:rPr>
          <w:rFonts w:cs="Arial"/>
          <w:szCs w:val="22"/>
        </w:rPr>
        <w:t>PWC</w:t>
      </w:r>
      <w:r>
        <w:rPr>
          <w:rFonts w:cs="Arial"/>
          <w:szCs w:val="22"/>
        </w:rPr>
        <w:t xml:space="preserve"> advise</w:t>
      </w:r>
      <w:r w:rsidR="0090513F">
        <w:rPr>
          <w:rFonts w:cs="Arial"/>
          <w:szCs w:val="22"/>
        </w:rPr>
        <w:t>s</w:t>
      </w:r>
      <w:r>
        <w:rPr>
          <w:rFonts w:cs="Arial"/>
          <w:szCs w:val="22"/>
        </w:rPr>
        <w:t xml:space="preserve"> </w:t>
      </w:r>
      <w:r w:rsidR="0090513F">
        <w:rPr>
          <w:rFonts w:cs="Arial"/>
          <w:szCs w:val="22"/>
        </w:rPr>
        <w:t xml:space="preserve">it </w:t>
      </w:r>
      <w:r w:rsidR="009C21AA" w:rsidRPr="00EB6A2F">
        <w:rPr>
          <w:rFonts w:cs="Arial"/>
          <w:szCs w:val="22"/>
        </w:rPr>
        <w:t>do</w:t>
      </w:r>
      <w:r w:rsidR="0090513F">
        <w:rPr>
          <w:rFonts w:cs="Arial"/>
          <w:szCs w:val="22"/>
        </w:rPr>
        <w:t>es</w:t>
      </w:r>
      <w:r w:rsidR="009C21AA" w:rsidRPr="00EB6A2F">
        <w:rPr>
          <w:rFonts w:cs="Arial"/>
          <w:szCs w:val="22"/>
        </w:rPr>
        <w:t xml:space="preserve"> not have a view on whether this sho</w:t>
      </w:r>
      <w:r>
        <w:rPr>
          <w:rFonts w:cs="Arial"/>
          <w:szCs w:val="22"/>
        </w:rPr>
        <w:t>uld be incorporated in the Code.</w:t>
      </w:r>
    </w:p>
    <w:p w:rsidR="009C21AA" w:rsidRPr="00CC6701" w:rsidRDefault="00CB5FC5" w:rsidP="00DD3E96">
      <w:pPr>
        <w:numPr>
          <w:ilvl w:val="0"/>
          <w:numId w:val="16"/>
        </w:numPr>
        <w:ind w:left="567" w:hanging="567"/>
      </w:pPr>
      <w:bookmarkStart w:id="107" w:name="_Toc327349141"/>
      <w:r>
        <w:rPr>
          <w:rFonts w:cs="Arial"/>
          <w:szCs w:val="22"/>
        </w:rPr>
        <w:t xml:space="preserve">PWC </w:t>
      </w:r>
      <w:r w:rsidR="00291B34">
        <w:rPr>
          <w:rFonts w:cs="Arial"/>
          <w:szCs w:val="22"/>
        </w:rPr>
        <w:t>note</w:t>
      </w:r>
      <w:r w:rsidR="0090513F">
        <w:rPr>
          <w:rFonts w:cs="Arial"/>
          <w:szCs w:val="22"/>
        </w:rPr>
        <w:t>s</w:t>
      </w:r>
      <w:r w:rsidR="00291B34">
        <w:rPr>
          <w:rFonts w:cs="Arial"/>
          <w:szCs w:val="22"/>
        </w:rPr>
        <w:t xml:space="preserve"> there is some </w:t>
      </w:r>
      <w:r w:rsidR="005B7906">
        <w:rPr>
          <w:rFonts w:cs="Arial"/>
          <w:szCs w:val="22"/>
        </w:rPr>
        <w:t>confus</w:t>
      </w:r>
      <w:r w:rsidR="00291B34">
        <w:rPr>
          <w:rFonts w:cs="Arial"/>
          <w:szCs w:val="22"/>
        </w:rPr>
        <w:t>ion r</w:t>
      </w:r>
      <w:r w:rsidR="009C21AA" w:rsidRPr="00EB6A2F">
        <w:rPr>
          <w:rFonts w:cs="Arial"/>
          <w:szCs w:val="22"/>
        </w:rPr>
        <w:t>egarding the applicatio</w:t>
      </w:r>
      <w:r w:rsidR="00291B34">
        <w:rPr>
          <w:rFonts w:cs="Arial"/>
          <w:szCs w:val="22"/>
        </w:rPr>
        <w:t xml:space="preserve">n </w:t>
      </w:r>
      <w:r w:rsidR="009C21AA" w:rsidRPr="00EB6A2F">
        <w:rPr>
          <w:rFonts w:cs="Arial"/>
          <w:szCs w:val="22"/>
        </w:rPr>
        <w:t>of section 8 of the Code in relation to greenfield sites</w:t>
      </w:r>
      <w:r w:rsidR="009C21AA" w:rsidRPr="00EB6A2F">
        <w:rPr>
          <w:szCs w:val="22"/>
        </w:rPr>
        <w:t>.</w:t>
      </w:r>
      <w:bookmarkEnd w:id="107"/>
      <w:r w:rsidR="009C21AA">
        <w:rPr>
          <w:szCs w:val="22"/>
        </w:rPr>
        <w:t xml:space="preserve"> There does not appear to be any requirement under the Code to submit a transfer request or any form of notification when a retailer</w:t>
      </w:r>
      <w:r w:rsidR="001E6237">
        <w:rPr>
          <w:szCs w:val="22"/>
        </w:rPr>
        <w:t xml:space="preserve"> </w:t>
      </w:r>
      <w:r w:rsidR="0090513F">
        <w:rPr>
          <w:szCs w:val="22"/>
        </w:rPr>
        <w:t>(</w:t>
      </w:r>
      <w:r w:rsidR="009C21AA">
        <w:rPr>
          <w:szCs w:val="22"/>
        </w:rPr>
        <w:t xml:space="preserve">other than Jacana </w:t>
      </w:r>
      <w:r>
        <w:rPr>
          <w:szCs w:val="22"/>
        </w:rPr>
        <w:t>Energy</w:t>
      </w:r>
      <w:r w:rsidR="0090513F">
        <w:rPr>
          <w:szCs w:val="22"/>
        </w:rPr>
        <w:t>)</w:t>
      </w:r>
      <w:r>
        <w:rPr>
          <w:szCs w:val="22"/>
        </w:rPr>
        <w:t xml:space="preserve"> </w:t>
      </w:r>
      <w:r w:rsidR="009C21AA">
        <w:rPr>
          <w:szCs w:val="22"/>
        </w:rPr>
        <w:t xml:space="preserve">signs </w:t>
      </w:r>
      <w:r w:rsidR="00062B04">
        <w:rPr>
          <w:szCs w:val="22"/>
        </w:rPr>
        <w:t xml:space="preserve">up </w:t>
      </w:r>
      <w:r w:rsidR="009C21AA">
        <w:rPr>
          <w:szCs w:val="22"/>
        </w:rPr>
        <w:t>a customer prior to that customer’s connection to the network.</w:t>
      </w:r>
      <w:r w:rsidR="00CC6701">
        <w:rPr>
          <w:szCs w:val="22"/>
        </w:rPr>
        <w:t xml:space="preserve"> </w:t>
      </w:r>
      <w:r w:rsidR="00CC6701">
        <w:lastRenderedPageBreak/>
        <w:t>PWC considers t</w:t>
      </w:r>
      <w:r w:rsidR="00CC6701" w:rsidRPr="00A3683F">
        <w:t xml:space="preserve">his gap could be interpreted to mean there is no opportunity for a </w:t>
      </w:r>
      <w:r w:rsidR="00761CC9">
        <w:t xml:space="preserve">customer on a greenfield </w:t>
      </w:r>
      <w:r w:rsidR="00CC6701" w:rsidRPr="00A3683F">
        <w:t>site to sign up initially with their nominated retailer.</w:t>
      </w:r>
    </w:p>
    <w:p w:rsidR="009C21AA" w:rsidRDefault="00CB5FC5" w:rsidP="00DD3E96">
      <w:pPr>
        <w:numPr>
          <w:ilvl w:val="0"/>
          <w:numId w:val="16"/>
        </w:numPr>
        <w:ind w:left="567" w:hanging="567"/>
      </w:pPr>
      <w:r>
        <w:t>PWC state</w:t>
      </w:r>
      <w:r w:rsidR="001E6237">
        <w:t>s</w:t>
      </w:r>
      <w:r w:rsidR="009C21AA">
        <w:t xml:space="preserve"> if the intention </w:t>
      </w:r>
      <w:r w:rsidR="001E6237">
        <w:t xml:space="preserve">is </w:t>
      </w:r>
      <w:r w:rsidR="009C21AA">
        <w:t xml:space="preserve">to allow </w:t>
      </w:r>
      <w:r w:rsidR="00761CC9">
        <w:t xml:space="preserve">customers on </w:t>
      </w:r>
      <w:r w:rsidR="009C21AA">
        <w:t>greenfield sites to sign up with their nominated retailer (other than Jacana</w:t>
      </w:r>
      <w:r w:rsidR="0090513F">
        <w:t xml:space="preserve"> Energy</w:t>
      </w:r>
      <w:r w:rsidR="009C21AA">
        <w:t>), it would appear appropriate for the Code to specify requirements for the connection process and notification by retailers.</w:t>
      </w:r>
    </w:p>
    <w:p w:rsidR="00291B34" w:rsidRPr="00291B34" w:rsidRDefault="00291B34" w:rsidP="00DD3E96">
      <w:pPr>
        <w:numPr>
          <w:ilvl w:val="0"/>
          <w:numId w:val="16"/>
        </w:numPr>
        <w:ind w:left="567" w:hanging="567"/>
      </w:pPr>
      <w:r>
        <w:t>Consideration needs to be given to establish</w:t>
      </w:r>
      <w:r w:rsidR="001E6237">
        <w:t>ing</w:t>
      </w:r>
      <w:r>
        <w:t xml:space="preserve"> a triangular contracting structure between customers, the network service provider and retailers</w:t>
      </w:r>
      <w:r w:rsidR="0090513F">
        <w:t>,</w:t>
      </w:r>
      <w:r>
        <w:t xml:space="preserve"> and </w:t>
      </w:r>
      <w:r w:rsidR="001E6237">
        <w:t xml:space="preserve">for </w:t>
      </w:r>
      <w:r>
        <w:t>coordination agreements between network service provider and retailers.</w:t>
      </w:r>
    </w:p>
    <w:p w:rsidR="00403C4D" w:rsidRDefault="000D66E4" w:rsidP="00DD3E96">
      <w:pPr>
        <w:numPr>
          <w:ilvl w:val="0"/>
          <w:numId w:val="16"/>
        </w:numPr>
        <w:ind w:left="567" w:hanging="567"/>
      </w:pPr>
      <w:r>
        <w:t xml:space="preserve">The </w:t>
      </w:r>
      <w:r w:rsidR="00302A97">
        <w:t xml:space="preserve">Commission notes the </w:t>
      </w:r>
      <w:r>
        <w:t xml:space="preserve">Code does not refer specifically to Jacana Energy under section 8 in relation to the process of </w:t>
      </w:r>
      <w:r w:rsidR="00302A97">
        <w:t xml:space="preserve">customer transfers, </w:t>
      </w:r>
      <w:r w:rsidR="001E6176">
        <w:t xml:space="preserve">but refers </w:t>
      </w:r>
      <w:r w:rsidR="00302A97">
        <w:t xml:space="preserve">instead to a </w:t>
      </w:r>
      <w:r w:rsidR="00291B34">
        <w:t>‘</w:t>
      </w:r>
      <w:r w:rsidR="00302A97">
        <w:t>retailer</w:t>
      </w:r>
      <w:r w:rsidR="00291B34">
        <w:t>’</w:t>
      </w:r>
      <w:r>
        <w:t>. The</w:t>
      </w:r>
      <w:r w:rsidR="00291B34">
        <w:t xml:space="preserve"> Commission’s preliminary view is </w:t>
      </w:r>
      <w:r>
        <w:t xml:space="preserve">there </w:t>
      </w:r>
      <w:r w:rsidR="00291B34">
        <w:t xml:space="preserve">appears to be no impediment to other retailers </w:t>
      </w:r>
      <w:r w:rsidR="00302A97">
        <w:t xml:space="preserve">submitting a transfer request or any </w:t>
      </w:r>
      <w:r w:rsidR="000421B4">
        <w:t xml:space="preserve">other </w:t>
      </w:r>
      <w:r w:rsidR="00302A97">
        <w:t xml:space="preserve">notification upon signing up </w:t>
      </w:r>
      <w:r w:rsidR="00291B34">
        <w:t>greenfield site customers</w:t>
      </w:r>
      <w:r w:rsidR="003E771F">
        <w:t xml:space="preserve">, and that transfer timeframes apply to a ‘retailer’ rather than Jacana Energy The Commission also notes that Cl.8.2.9(b) states that </w:t>
      </w:r>
      <w:r w:rsidR="003E771F" w:rsidRPr="00CE0866">
        <w:rPr>
          <w:i/>
        </w:rPr>
        <w:t xml:space="preserve">“the transfer date will be </w:t>
      </w:r>
      <w:r w:rsidR="003E771F" w:rsidRPr="00CE0866">
        <w:rPr>
          <w:b/>
          <w:i/>
          <w:u w:val="single"/>
        </w:rPr>
        <w:t>no later</w:t>
      </w:r>
      <w:r w:rsidR="00AE1CC7">
        <w:rPr>
          <w:b/>
          <w:i/>
          <w:u w:val="single"/>
        </w:rPr>
        <w:t xml:space="preserve"> (emphasis added)</w:t>
      </w:r>
      <w:r w:rsidR="003E771F" w:rsidRPr="00CE0866">
        <w:rPr>
          <w:i/>
        </w:rPr>
        <w:t xml:space="preserve"> than midnight on the last calendar day of the second month”</w:t>
      </w:r>
      <w:r w:rsidR="003E771F">
        <w:t xml:space="preserve"> and it appears that there is no restriction on transfers occurring mid-month</w:t>
      </w:r>
      <w:r w:rsidR="00AE1CC7">
        <w:t>.</w:t>
      </w:r>
      <w:r w:rsidR="003E771F">
        <w:t xml:space="preserve"> </w:t>
      </w:r>
    </w:p>
    <w:p w:rsidR="00AE3444" w:rsidRDefault="00CC7ABC" w:rsidP="00DD3E96">
      <w:pPr>
        <w:numPr>
          <w:ilvl w:val="0"/>
          <w:numId w:val="16"/>
        </w:numPr>
        <w:ind w:left="567" w:hanging="567"/>
      </w:pPr>
      <w:r>
        <w:t xml:space="preserve">Consideration needs to be given to </w:t>
      </w:r>
      <w:r w:rsidR="007A6B38">
        <w:t>PWC</w:t>
      </w:r>
      <w:r>
        <w:t xml:space="preserve">’s </w:t>
      </w:r>
      <w:r w:rsidR="00AE3444">
        <w:t xml:space="preserve">National Meter Identifier Allocation Procedure paper </w:t>
      </w:r>
      <w:r>
        <w:t xml:space="preserve">and intent to </w:t>
      </w:r>
      <w:r w:rsidR="00AE3444">
        <w:t xml:space="preserve">adopt and </w:t>
      </w:r>
      <w:r>
        <w:t xml:space="preserve">utilise </w:t>
      </w:r>
      <w:r w:rsidR="00AE3444">
        <w:t xml:space="preserve">NMIs in </w:t>
      </w:r>
      <w:r w:rsidR="000421B4">
        <w:t xml:space="preserve">the </w:t>
      </w:r>
      <w:r w:rsidR="00AE3444">
        <w:t xml:space="preserve">MSATS </w:t>
      </w:r>
      <w:r w:rsidR="006D479A">
        <w:t xml:space="preserve">(or equivalent) </w:t>
      </w:r>
      <w:r w:rsidR="00AE3444">
        <w:t xml:space="preserve">system. The Commission notes </w:t>
      </w:r>
      <w:r w:rsidR="001E6176">
        <w:t xml:space="preserve">that </w:t>
      </w:r>
      <w:r w:rsidR="00AE3444">
        <w:t xml:space="preserve">one of the functionalities and fields </w:t>
      </w:r>
      <w:r w:rsidR="001E6176">
        <w:t xml:space="preserve">in the MSATS system </w:t>
      </w:r>
      <w:r w:rsidR="00AE3444">
        <w:t>will indicate a greenfield site</w:t>
      </w:r>
      <w:r w:rsidR="00AE3444">
        <w:rPr>
          <w:rStyle w:val="FootnoteReference"/>
        </w:rPr>
        <w:footnoteReference w:id="12"/>
      </w:r>
      <w:r w:rsidR="00AE3444">
        <w:t xml:space="preserve">. </w:t>
      </w:r>
    </w:p>
    <w:p w:rsidR="00DD5467" w:rsidRPr="005B7906" w:rsidRDefault="00DD5467" w:rsidP="00DD3E96">
      <w:pPr>
        <w:numPr>
          <w:ilvl w:val="0"/>
          <w:numId w:val="16"/>
        </w:numPr>
        <w:ind w:left="567" w:hanging="567"/>
      </w:pPr>
      <w:r>
        <w:t>Possible amendments to the Code could be made requiring the Market Operator to set out</w:t>
      </w:r>
      <w:r w:rsidR="00983193">
        <w:t xml:space="preserve"> interim</w:t>
      </w:r>
      <w:r>
        <w:t xml:space="preserve"> procedures </w:t>
      </w:r>
      <w:r w:rsidR="001E6176">
        <w:t xml:space="preserve">to </w:t>
      </w:r>
      <w:r>
        <w:t xml:space="preserve">provide centralised information to retailers, </w:t>
      </w:r>
      <w:r w:rsidR="001E6176">
        <w:t>similar</w:t>
      </w:r>
      <w:r>
        <w:t xml:space="preserve"> to the National Electricity Rules require</w:t>
      </w:r>
      <w:r w:rsidR="001E6176">
        <w:t xml:space="preserve">ment for </w:t>
      </w:r>
      <w:r>
        <w:t>AEMO to publish procedures on MSATS</w:t>
      </w:r>
      <w:r w:rsidR="00407081">
        <w:t>, with a view to PWC eventually adopting the MSATS system</w:t>
      </w:r>
      <w:r>
        <w:t xml:space="preserve">.  </w:t>
      </w:r>
    </w:p>
    <w:p w:rsidR="008361A4" w:rsidRDefault="00EA12CC" w:rsidP="00DD3E96">
      <w:pPr>
        <w:numPr>
          <w:ilvl w:val="0"/>
          <w:numId w:val="16"/>
        </w:numPr>
        <w:ind w:left="567" w:hanging="567"/>
      </w:pPr>
      <w:r>
        <w:t>Consideration will need to be given to</w:t>
      </w:r>
      <w:r w:rsidR="00DD5467">
        <w:t xml:space="preserve"> whether it is appropriate to make</w:t>
      </w:r>
      <w:r>
        <w:t xml:space="preserve"> information on greenfield sites </w:t>
      </w:r>
      <w:r w:rsidR="00DD5467">
        <w:t xml:space="preserve">available </w:t>
      </w:r>
      <w:r w:rsidR="00FB3BD6">
        <w:t xml:space="preserve">to further </w:t>
      </w:r>
      <w:r w:rsidR="00F506B0">
        <w:t>encourage retail competition</w:t>
      </w:r>
      <w:r w:rsidR="00DD5467">
        <w:t xml:space="preserve"> or whether such information is available through other means.</w:t>
      </w:r>
    </w:p>
    <w:p w:rsidR="00DB0B9E" w:rsidRDefault="00DB0B9E" w:rsidP="001F08CC">
      <w:pPr>
        <w:pStyle w:val="UtilComHeading3"/>
        <w:rPr>
          <w:sz w:val="28"/>
        </w:rPr>
        <w:sectPr w:rsidR="00DB0B9E" w:rsidSect="008C11DD">
          <w:pgSz w:w="11907" w:h="16840" w:code="9"/>
          <w:pgMar w:top="851" w:right="1134" w:bottom="1134" w:left="1701" w:header="567" w:footer="567" w:gutter="0"/>
          <w:cols w:space="720"/>
          <w:titlePg/>
        </w:sectPr>
      </w:pPr>
    </w:p>
    <w:tbl>
      <w:tblPr>
        <w:tblW w:w="0" w:type="auto"/>
        <w:tblLayout w:type="fixed"/>
        <w:tblLook w:val="01E0" w:firstRow="1" w:lastRow="1" w:firstColumn="1" w:lastColumn="1" w:noHBand="0" w:noVBand="0"/>
      </w:tblPr>
      <w:tblGrid>
        <w:gridCol w:w="9288"/>
      </w:tblGrid>
      <w:tr w:rsidR="00DB0B9E" w:rsidTr="00567B14">
        <w:tc>
          <w:tcPr>
            <w:tcW w:w="9288" w:type="dxa"/>
          </w:tcPr>
          <w:p w:rsidR="00DB0B9E" w:rsidRDefault="00DB0B9E" w:rsidP="00567B14">
            <w:pPr>
              <w:pStyle w:val="NumberLevel1"/>
            </w:pPr>
          </w:p>
        </w:tc>
      </w:tr>
      <w:tr w:rsidR="00DB0B9E" w:rsidTr="00567B14">
        <w:tc>
          <w:tcPr>
            <w:tcW w:w="9288" w:type="dxa"/>
          </w:tcPr>
          <w:p w:rsidR="00DB0B9E" w:rsidRDefault="00F9084E" w:rsidP="00134C3F">
            <w:pPr>
              <w:pStyle w:val="UtilComChapterHeading"/>
            </w:pPr>
            <w:bookmarkStart w:id="108" w:name="_Toc457207601"/>
            <w:r w:rsidRPr="00F9084E">
              <w:t>Metering and Customer Information</w:t>
            </w:r>
            <w:bookmarkEnd w:id="108"/>
          </w:p>
        </w:tc>
      </w:tr>
    </w:tbl>
    <w:p w:rsidR="00037C09" w:rsidRPr="00F23320" w:rsidRDefault="00037C09" w:rsidP="00B67063">
      <w:pPr>
        <w:pStyle w:val="UtilComHeading3"/>
      </w:pPr>
      <w:bookmarkStart w:id="109" w:name="_Toc457207602"/>
      <w:r w:rsidRPr="00F23320">
        <w:t xml:space="preserve">Issue 6 – Network Access to </w:t>
      </w:r>
      <w:r w:rsidR="00BC46B3" w:rsidRPr="00F23320">
        <w:t>customer information</w:t>
      </w:r>
      <w:bookmarkEnd w:id="109"/>
      <w:r w:rsidR="00BC46B3" w:rsidRPr="00F23320">
        <w:t xml:space="preserve"> </w:t>
      </w:r>
    </w:p>
    <w:p w:rsidR="001F1688" w:rsidRPr="00EB6A2F" w:rsidRDefault="00CB5FC5" w:rsidP="00DD3E96">
      <w:pPr>
        <w:numPr>
          <w:ilvl w:val="0"/>
          <w:numId w:val="17"/>
        </w:numPr>
        <w:ind w:left="567" w:hanging="567"/>
      </w:pPr>
      <w:r>
        <w:t>PWC state</w:t>
      </w:r>
      <w:r w:rsidR="0000451A">
        <w:t>s</w:t>
      </w:r>
      <w:r w:rsidR="00E65FCA">
        <w:t xml:space="preserve"> </w:t>
      </w:r>
      <w:r w:rsidR="00037C09">
        <w:t>PWC Networks</w:t>
      </w:r>
      <w:r w:rsidR="00E65FCA">
        <w:t xml:space="preserve"> intends to contract with customers either directly or via a standard form contract. To create a contract</w:t>
      </w:r>
      <w:r w:rsidR="0000451A">
        <w:t>,</w:t>
      </w:r>
      <w:r w:rsidR="00E65FCA">
        <w:t xml:space="preserve"> </w:t>
      </w:r>
      <w:r>
        <w:t>PWC state</w:t>
      </w:r>
      <w:r w:rsidR="0000451A">
        <w:t>s</w:t>
      </w:r>
      <w:r w:rsidR="00E65FCA">
        <w:t xml:space="preserve"> there must be certainty as to the parties to the contract and</w:t>
      </w:r>
      <w:r w:rsidR="000F6EB5">
        <w:t>,</w:t>
      </w:r>
      <w:r w:rsidR="00E65FCA">
        <w:t xml:space="preserve"> at a minimum, PWC will need customer contact details.</w:t>
      </w:r>
    </w:p>
    <w:p w:rsidR="00746119" w:rsidRDefault="00E65FCA" w:rsidP="00DD3E96">
      <w:pPr>
        <w:numPr>
          <w:ilvl w:val="0"/>
          <w:numId w:val="17"/>
        </w:numPr>
        <w:ind w:left="567" w:hanging="567"/>
        <w:rPr>
          <w:rFonts w:cs="Arial"/>
          <w:szCs w:val="22"/>
        </w:rPr>
      </w:pPr>
      <w:bookmarkStart w:id="110" w:name="_Toc327349117"/>
      <w:r>
        <w:rPr>
          <w:rFonts w:cs="Arial"/>
          <w:szCs w:val="22"/>
        </w:rPr>
        <w:t>In addition to contracting requirements</w:t>
      </w:r>
      <w:r w:rsidR="0000451A">
        <w:rPr>
          <w:rFonts w:cs="Arial"/>
          <w:szCs w:val="22"/>
        </w:rPr>
        <w:t>,</w:t>
      </w:r>
      <w:r>
        <w:rPr>
          <w:rFonts w:cs="Arial"/>
          <w:szCs w:val="22"/>
        </w:rPr>
        <w:t xml:space="preserve"> </w:t>
      </w:r>
      <w:r w:rsidR="00CB5FC5">
        <w:rPr>
          <w:rFonts w:cs="Arial"/>
          <w:szCs w:val="22"/>
        </w:rPr>
        <w:t>PWC state</w:t>
      </w:r>
      <w:r w:rsidR="0058390D">
        <w:rPr>
          <w:rFonts w:cs="Arial"/>
          <w:szCs w:val="22"/>
        </w:rPr>
        <w:t>s</w:t>
      </w:r>
      <w:r>
        <w:rPr>
          <w:rFonts w:cs="Arial"/>
          <w:szCs w:val="22"/>
        </w:rPr>
        <w:t xml:space="preserve"> </w:t>
      </w:r>
      <w:r w:rsidR="00037C09">
        <w:rPr>
          <w:rFonts w:cs="Arial"/>
          <w:szCs w:val="22"/>
        </w:rPr>
        <w:t>PWC Networks</w:t>
      </w:r>
      <w:r>
        <w:rPr>
          <w:rFonts w:cs="Arial"/>
          <w:szCs w:val="22"/>
        </w:rPr>
        <w:t xml:space="preserve"> also require</w:t>
      </w:r>
      <w:r w:rsidR="0000451A">
        <w:rPr>
          <w:rFonts w:cs="Arial"/>
          <w:szCs w:val="22"/>
        </w:rPr>
        <w:t>s</w:t>
      </w:r>
      <w:r>
        <w:rPr>
          <w:rFonts w:cs="Arial"/>
          <w:szCs w:val="22"/>
        </w:rPr>
        <w:t xml:space="preserve"> customer information to facilitate historical data requests, outage notifications and guaranteed service level payments</w:t>
      </w:r>
      <w:r w:rsidR="00746119" w:rsidRPr="00EB6A2F">
        <w:rPr>
          <w:rFonts w:cs="Arial"/>
          <w:szCs w:val="22"/>
        </w:rPr>
        <w:t>.</w:t>
      </w:r>
      <w:r>
        <w:rPr>
          <w:rFonts w:cs="Arial"/>
          <w:szCs w:val="22"/>
        </w:rPr>
        <w:t xml:space="preserve"> PWC</w:t>
      </w:r>
      <w:r w:rsidR="00DD5467">
        <w:rPr>
          <w:rFonts w:cs="Arial"/>
          <w:szCs w:val="22"/>
        </w:rPr>
        <w:t>’s application seeks</w:t>
      </w:r>
      <w:r w:rsidR="00037C09">
        <w:rPr>
          <w:rFonts w:cs="Arial"/>
          <w:szCs w:val="22"/>
        </w:rPr>
        <w:t xml:space="preserve"> amendment to the Code to add </w:t>
      </w:r>
      <w:r w:rsidR="00DD5467">
        <w:rPr>
          <w:rFonts w:cs="Arial"/>
          <w:szCs w:val="22"/>
        </w:rPr>
        <w:t xml:space="preserve">a </w:t>
      </w:r>
      <w:r>
        <w:rPr>
          <w:rFonts w:cs="Arial"/>
          <w:szCs w:val="22"/>
        </w:rPr>
        <w:t>requirement in Section 7 outlin</w:t>
      </w:r>
      <w:r w:rsidR="0000451A">
        <w:rPr>
          <w:rFonts w:cs="Arial"/>
          <w:szCs w:val="22"/>
        </w:rPr>
        <w:t>ing</w:t>
      </w:r>
      <w:r>
        <w:rPr>
          <w:rFonts w:cs="Arial"/>
          <w:szCs w:val="22"/>
        </w:rPr>
        <w:t xml:space="preserve"> retailer obligations to provide customer information to the </w:t>
      </w:r>
      <w:r w:rsidR="00DD5467">
        <w:rPr>
          <w:rFonts w:cs="Arial"/>
          <w:szCs w:val="22"/>
        </w:rPr>
        <w:t xml:space="preserve">network service provider. </w:t>
      </w:r>
    </w:p>
    <w:p w:rsidR="000E2429" w:rsidRPr="000E2429" w:rsidRDefault="00213067" w:rsidP="00DD3E96">
      <w:pPr>
        <w:numPr>
          <w:ilvl w:val="0"/>
          <w:numId w:val="17"/>
        </w:numPr>
        <w:ind w:left="567" w:hanging="567"/>
        <w:rPr>
          <w:rFonts w:cs="Arial"/>
          <w:szCs w:val="22"/>
        </w:rPr>
      </w:pPr>
      <w:r>
        <w:rPr>
          <w:rFonts w:cs="Arial"/>
          <w:szCs w:val="22"/>
        </w:rPr>
        <w:t xml:space="preserve">The Commission notes </w:t>
      </w:r>
      <w:r w:rsidR="00032D74">
        <w:rPr>
          <w:rFonts w:cs="Arial"/>
          <w:szCs w:val="22"/>
        </w:rPr>
        <w:t xml:space="preserve">that, under its networks licence, </w:t>
      </w:r>
      <w:r>
        <w:rPr>
          <w:rFonts w:cs="Arial"/>
          <w:szCs w:val="22"/>
        </w:rPr>
        <w:t>PWC</w:t>
      </w:r>
      <w:r w:rsidR="00032D74">
        <w:rPr>
          <w:rFonts w:cs="Arial"/>
          <w:szCs w:val="22"/>
        </w:rPr>
        <w:t xml:space="preserve"> </w:t>
      </w:r>
      <w:r w:rsidR="001035B1">
        <w:rPr>
          <w:rFonts w:cs="Arial"/>
          <w:szCs w:val="22"/>
        </w:rPr>
        <w:t>must enter into, and comply with, an agreement with retailers and generators to coordinat</w:t>
      </w:r>
      <w:r w:rsidR="0000451A">
        <w:rPr>
          <w:rFonts w:cs="Arial"/>
          <w:szCs w:val="22"/>
        </w:rPr>
        <w:t>e</w:t>
      </w:r>
      <w:r w:rsidR="001035B1">
        <w:rPr>
          <w:rFonts w:cs="Arial"/>
          <w:szCs w:val="22"/>
        </w:rPr>
        <w:t xml:space="preserve"> provision of these services</w:t>
      </w:r>
      <w:r w:rsidR="00037C09">
        <w:rPr>
          <w:rFonts w:cs="Arial"/>
          <w:szCs w:val="22"/>
        </w:rPr>
        <w:t>,</w:t>
      </w:r>
      <w:r w:rsidR="00037C09" w:rsidRPr="00037C09">
        <w:rPr>
          <w:rFonts w:cs="Arial"/>
          <w:szCs w:val="22"/>
        </w:rPr>
        <w:t xml:space="preserve"> </w:t>
      </w:r>
      <w:r w:rsidR="00037C09">
        <w:rPr>
          <w:rFonts w:cs="Arial"/>
          <w:szCs w:val="22"/>
        </w:rPr>
        <w:t>approved by the Commission</w:t>
      </w:r>
      <w:r w:rsidR="001035B1">
        <w:rPr>
          <w:rFonts w:cs="Arial"/>
          <w:szCs w:val="22"/>
        </w:rPr>
        <w:t xml:space="preserve">. </w:t>
      </w:r>
      <w:r w:rsidR="00037C09">
        <w:rPr>
          <w:rFonts w:cs="Arial"/>
          <w:szCs w:val="22"/>
        </w:rPr>
        <w:t xml:space="preserve">This amendment will need to be considered in the context of </w:t>
      </w:r>
      <w:r w:rsidR="000E2429">
        <w:rPr>
          <w:rFonts w:cs="Arial"/>
          <w:szCs w:val="22"/>
        </w:rPr>
        <w:t>coordination agreement</w:t>
      </w:r>
      <w:r w:rsidR="00037C09">
        <w:rPr>
          <w:rFonts w:cs="Arial"/>
          <w:szCs w:val="22"/>
        </w:rPr>
        <w:t>s between PWC and retailers, which the Commission understands are currently being negotiated.</w:t>
      </w:r>
    </w:p>
    <w:p w:rsidR="00D16B49" w:rsidRPr="00D16B49" w:rsidRDefault="00037C09" w:rsidP="00DD3E96">
      <w:pPr>
        <w:numPr>
          <w:ilvl w:val="0"/>
          <w:numId w:val="17"/>
        </w:numPr>
        <w:ind w:left="567" w:hanging="567"/>
        <w:rPr>
          <w:szCs w:val="22"/>
        </w:rPr>
      </w:pPr>
      <w:r>
        <w:rPr>
          <w:szCs w:val="22"/>
        </w:rPr>
        <w:t>T</w:t>
      </w:r>
      <w:r w:rsidR="000E2429">
        <w:rPr>
          <w:szCs w:val="22"/>
        </w:rPr>
        <w:t>he Commission</w:t>
      </w:r>
      <w:r>
        <w:rPr>
          <w:szCs w:val="22"/>
        </w:rPr>
        <w:t xml:space="preserve"> considers there may be benefit</w:t>
      </w:r>
      <w:r w:rsidR="0000451A">
        <w:rPr>
          <w:szCs w:val="22"/>
        </w:rPr>
        <w:t xml:space="preserve"> in</w:t>
      </w:r>
      <w:r>
        <w:rPr>
          <w:szCs w:val="22"/>
        </w:rPr>
        <w:t xml:space="preserve"> </w:t>
      </w:r>
      <w:r w:rsidR="000E2429">
        <w:rPr>
          <w:szCs w:val="22"/>
        </w:rPr>
        <w:t>includ</w:t>
      </w:r>
      <w:r>
        <w:rPr>
          <w:szCs w:val="22"/>
        </w:rPr>
        <w:t xml:space="preserve">ing </w:t>
      </w:r>
      <w:r w:rsidR="000E2429">
        <w:rPr>
          <w:szCs w:val="22"/>
        </w:rPr>
        <w:t xml:space="preserve">a provision </w:t>
      </w:r>
      <w:r w:rsidR="008F3C9A">
        <w:rPr>
          <w:szCs w:val="22"/>
        </w:rPr>
        <w:t>similar to</w:t>
      </w:r>
      <w:r w:rsidR="00D16B49">
        <w:rPr>
          <w:szCs w:val="22"/>
        </w:rPr>
        <w:t xml:space="preserve"> Rule</w:t>
      </w:r>
      <w:r>
        <w:rPr>
          <w:szCs w:val="22"/>
        </w:rPr>
        <w:t> </w:t>
      </w:r>
      <w:r w:rsidR="00D16B49">
        <w:rPr>
          <w:szCs w:val="22"/>
        </w:rPr>
        <w:t>94 of the National Energy Retail Rules</w:t>
      </w:r>
      <w:r>
        <w:rPr>
          <w:szCs w:val="22"/>
        </w:rPr>
        <w:t xml:space="preserve"> related to </w:t>
      </w:r>
      <w:r w:rsidR="00D16B49">
        <w:rPr>
          <w:szCs w:val="22"/>
        </w:rPr>
        <w:t>Assistance and Cooperation</w:t>
      </w:r>
      <w:r>
        <w:rPr>
          <w:szCs w:val="22"/>
        </w:rPr>
        <w:t xml:space="preserve"> </w:t>
      </w:r>
      <w:r w:rsidR="00BE1CCE">
        <w:rPr>
          <w:szCs w:val="22"/>
        </w:rPr>
        <w:t xml:space="preserve">requiring </w:t>
      </w:r>
      <w:r w:rsidR="0000451A">
        <w:rPr>
          <w:szCs w:val="22"/>
        </w:rPr>
        <w:t xml:space="preserve">all </w:t>
      </w:r>
      <w:r w:rsidR="000E2429">
        <w:rPr>
          <w:szCs w:val="22"/>
        </w:rPr>
        <w:t>electricity entit</w:t>
      </w:r>
      <w:r w:rsidR="0000451A">
        <w:rPr>
          <w:szCs w:val="22"/>
        </w:rPr>
        <w:t>ies</w:t>
      </w:r>
      <w:r w:rsidR="000E2429">
        <w:rPr>
          <w:szCs w:val="22"/>
        </w:rPr>
        <w:t xml:space="preserve"> (network, generator</w:t>
      </w:r>
      <w:r w:rsidR="00032D74">
        <w:rPr>
          <w:szCs w:val="22"/>
        </w:rPr>
        <w:t xml:space="preserve"> and</w:t>
      </w:r>
      <w:r w:rsidR="000E2429">
        <w:rPr>
          <w:szCs w:val="22"/>
        </w:rPr>
        <w:t xml:space="preserve"> retailers) </w:t>
      </w:r>
      <w:r w:rsidR="00BE1CCE">
        <w:rPr>
          <w:szCs w:val="22"/>
        </w:rPr>
        <w:t>to</w:t>
      </w:r>
      <w:r w:rsidR="000E2429">
        <w:rPr>
          <w:szCs w:val="22"/>
        </w:rPr>
        <w:t xml:space="preserve"> use their best </w:t>
      </w:r>
      <w:r w:rsidR="004975BE">
        <w:rPr>
          <w:szCs w:val="22"/>
        </w:rPr>
        <w:t>endeavours</w:t>
      </w:r>
      <w:r w:rsidR="000E2429">
        <w:rPr>
          <w:szCs w:val="22"/>
        </w:rPr>
        <w:t xml:space="preserve"> to assist and provide information to each other to fulfill their obligations under the Code. </w:t>
      </w:r>
    </w:p>
    <w:p w:rsidR="00BE1CCE" w:rsidRPr="00F23320" w:rsidRDefault="00BE1CCE" w:rsidP="00B67063">
      <w:pPr>
        <w:pStyle w:val="UtilComHeading3"/>
      </w:pPr>
      <w:bookmarkStart w:id="111" w:name="_Toc457207603"/>
      <w:bookmarkStart w:id="112" w:name="_Toc326315919"/>
      <w:bookmarkEnd w:id="110"/>
      <w:r w:rsidRPr="00F23320">
        <w:t xml:space="preserve">Issue 7 – Requirement of </w:t>
      </w:r>
      <w:r w:rsidR="00BC46B3" w:rsidRPr="00F23320">
        <w:t>interval metering</w:t>
      </w:r>
      <w:bookmarkEnd w:id="111"/>
      <w:r w:rsidR="00BC46B3" w:rsidRPr="00F23320">
        <w:t xml:space="preserve"> </w:t>
      </w:r>
    </w:p>
    <w:p w:rsidR="00127B06" w:rsidRPr="00EB6A2F" w:rsidRDefault="00EB6A2F" w:rsidP="004E4FF0">
      <w:pPr>
        <w:numPr>
          <w:ilvl w:val="0"/>
          <w:numId w:val="17"/>
        </w:numPr>
        <w:ind w:left="567" w:hanging="567"/>
        <w:rPr>
          <w:szCs w:val="22"/>
        </w:rPr>
      </w:pPr>
      <w:bookmarkStart w:id="113" w:name="_Toc326315920"/>
      <w:bookmarkEnd w:id="112"/>
      <w:bookmarkEnd w:id="113"/>
      <w:r w:rsidRPr="00EB6A2F">
        <w:rPr>
          <w:rFonts w:cs="Arial"/>
          <w:szCs w:val="22"/>
        </w:rPr>
        <w:t>P</w:t>
      </w:r>
      <w:r w:rsidR="00813362">
        <w:rPr>
          <w:rFonts w:cs="Arial"/>
          <w:szCs w:val="22"/>
        </w:rPr>
        <w:t>WC seek</w:t>
      </w:r>
      <w:r w:rsidR="0000451A">
        <w:rPr>
          <w:rFonts w:cs="Arial"/>
          <w:szCs w:val="22"/>
        </w:rPr>
        <w:t>s</w:t>
      </w:r>
      <w:r w:rsidR="00813362">
        <w:rPr>
          <w:rFonts w:cs="Arial"/>
          <w:szCs w:val="22"/>
        </w:rPr>
        <w:t xml:space="preserve"> to have the Code amended to outline the requirement for a remotely communications</w:t>
      </w:r>
      <w:r w:rsidR="004E4FF0">
        <w:rPr>
          <w:rFonts w:cs="Arial"/>
          <w:szCs w:val="22"/>
        </w:rPr>
        <w:t>-</w:t>
      </w:r>
      <w:r w:rsidR="00813362">
        <w:rPr>
          <w:rFonts w:cs="Arial"/>
          <w:szCs w:val="22"/>
        </w:rPr>
        <w:t>enabled interval meter to transfer a customer.</w:t>
      </w:r>
    </w:p>
    <w:p w:rsidR="00EB6A2F" w:rsidRDefault="00CB5FC5" w:rsidP="00DD3E96">
      <w:pPr>
        <w:numPr>
          <w:ilvl w:val="0"/>
          <w:numId w:val="17"/>
        </w:numPr>
        <w:ind w:left="567" w:hanging="567"/>
        <w:rPr>
          <w:rFonts w:cs="Arial"/>
          <w:szCs w:val="22"/>
        </w:rPr>
      </w:pPr>
      <w:r>
        <w:rPr>
          <w:rFonts w:cs="Arial"/>
          <w:szCs w:val="22"/>
        </w:rPr>
        <w:t>PWC state</w:t>
      </w:r>
      <w:r w:rsidR="004E4FF0">
        <w:rPr>
          <w:rFonts w:cs="Arial"/>
          <w:szCs w:val="22"/>
        </w:rPr>
        <w:t>s</w:t>
      </w:r>
      <w:r w:rsidR="00813362">
        <w:rPr>
          <w:rFonts w:cs="Arial"/>
          <w:szCs w:val="22"/>
        </w:rPr>
        <w:t xml:space="preserve"> the costs associated with remote communications</w:t>
      </w:r>
      <w:r w:rsidR="004E4FF0">
        <w:rPr>
          <w:rFonts w:cs="Arial"/>
          <w:szCs w:val="22"/>
        </w:rPr>
        <w:t>-</w:t>
      </w:r>
      <w:r w:rsidR="00813362">
        <w:rPr>
          <w:rFonts w:cs="Arial"/>
          <w:szCs w:val="22"/>
        </w:rPr>
        <w:t>enabling existing interval meters should be covered by the requesting retailer as they are above the standard control level of service.</w:t>
      </w:r>
    </w:p>
    <w:p w:rsidR="00A942D0" w:rsidRPr="005652EC" w:rsidRDefault="00813362" w:rsidP="00DD3E96">
      <w:pPr>
        <w:numPr>
          <w:ilvl w:val="0"/>
          <w:numId w:val="17"/>
        </w:numPr>
        <w:ind w:left="567" w:hanging="567"/>
      </w:pPr>
      <w:r>
        <w:t>PWC s</w:t>
      </w:r>
      <w:r w:rsidR="00BE1CCE">
        <w:t>tate</w:t>
      </w:r>
      <w:r w:rsidR="004E4FF0">
        <w:t>s</w:t>
      </w:r>
      <w:r>
        <w:t xml:space="preserve"> i</w:t>
      </w:r>
      <w:r w:rsidR="00EB5C6E">
        <w:t xml:space="preserve">f a transfer occurs </w:t>
      </w:r>
      <w:r>
        <w:t xml:space="preserve">with a meter that is not enabled </w:t>
      </w:r>
      <w:r w:rsidR="00011E5C">
        <w:t xml:space="preserve">for remote communications, the </w:t>
      </w:r>
      <w:r w:rsidR="00B45265" w:rsidRPr="00B67063">
        <w:t>n</w:t>
      </w:r>
      <w:r w:rsidR="00B45265" w:rsidRPr="00B45265">
        <w:t xml:space="preserve">etwork </w:t>
      </w:r>
      <w:r w:rsidR="00B45265" w:rsidRPr="00B67063">
        <w:t>s</w:t>
      </w:r>
      <w:r w:rsidR="00B45265" w:rsidRPr="00B45265">
        <w:t xml:space="preserve">ervice </w:t>
      </w:r>
      <w:r w:rsidR="00B45265" w:rsidRPr="00B67063">
        <w:t>p</w:t>
      </w:r>
      <w:r w:rsidR="00B45265" w:rsidRPr="00B45265">
        <w:t>rovider</w:t>
      </w:r>
      <w:r w:rsidR="00B45265">
        <w:t xml:space="preserve"> </w:t>
      </w:r>
      <w:r>
        <w:t xml:space="preserve">would be unable to </w:t>
      </w:r>
      <w:r w:rsidR="004E4FF0">
        <w:t xml:space="preserve">provide retail billing meter data or </w:t>
      </w:r>
      <w:r>
        <w:t>obtain the required interval data within the timeframes required for the Market Operator.</w:t>
      </w:r>
    </w:p>
    <w:p w:rsidR="004E4FF0" w:rsidRPr="004E4FF0" w:rsidRDefault="004D05BA" w:rsidP="00DD3E96">
      <w:pPr>
        <w:numPr>
          <w:ilvl w:val="0"/>
          <w:numId w:val="17"/>
        </w:numPr>
        <w:ind w:left="567" w:hanging="567"/>
      </w:pPr>
      <w:r>
        <w:t xml:space="preserve">The Commission notes </w:t>
      </w:r>
      <w:r w:rsidRPr="004D05BA">
        <w:rPr>
          <w:szCs w:val="22"/>
        </w:rPr>
        <w:t>Clause 5.1.1 of the Code</w:t>
      </w:r>
      <w:r w:rsidR="004E4FF0">
        <w:rPr>
          <w:szCs w:val="22"/>
        </w:rPr>
        <w:t xml:space="preserve"> stating</w:t>
      </w:r>
      <w:r w:rsidRPr="004D05BA">
        <w:rPr>
          <w:szCs w:val="22"/>
        </w:rPr>
        <w:t xml:space="preserve"> </w:t>
      </w:r>
      <w:r w:rsidR="004E4FF0" w:rsidRPr="00B67063">
        <w:rPr>
          <w:rStyle w:val="UtilComItalic"/>
        </w:rPr>
        <w:t>‘</w:t>
      </w:r>
      <w:r w:rsidRPr="00B67063">
        <w:rPr>
          <w:rStyle w:val="UtilComItalic"/>
        </w:rPr>
        <w:t>a retailer must not initiate a transfer unless the customer’s exit point has an interval meter installed’</w:t>
      </w:r>
      <w:r w:rsidRPr="004D05BA">
        <w:rPr>
          <w:i/>
          <w:iCs/>
          <w:szCs w:val="22"/>
        </w:rPr>
        <w:t xml:space="preserve"> </w:t>
      </w:r>
      <w:r w:rsidRPr="004D05BA">
        <w:rPr>
          <w:szCs w:val="22"/>
        </w:rPr>
        <w:t>was included in the Code in 2011 due to</w:t>
      </w:r>
      <w:r w:rsidR="004E4FF0">
        <w:rPr>
          <w:szCs w:val="22"/>
        </w:rPr>
        <w:t>:</w:t>
      </w:r>
    </w:p>
    <w:p w:rsidR="004E4FF0" w:rsidRDefault="004D05BA" w:rsidP="00B67063">
      <w:pPr>
        <w:pStyle w:val="UtilComBulletText"/>
        <w:spacing w:line="300" w:lineRule="exact"/>
      </w:pPr>
      <w:r w:rsidRPr="004D05BA">
        <w:t>the limitations of wholesale energy net settlements where there are accumulation and interval meters being used within a region</w:t>
      </w:r>
      <w:r w:rsidR="004E4FF0">
        <w:t>;</w:t>
      </w:r>
      <w:r w:rsidRPr="004D05BA">
        <w:t xml:space="preserve"> and </w:t>
      </w:r>
    </w:p>
    <w:p w:rsidR="004D05BA" w:rsidRPr="004D05BA" w:rsidRDefault="004D05BA" w:rsidP="00B67063">
      <w:pPr>
        <w:pStyle w:val="UtilComBulletText"/>
        <w:spacing w:line="300" w:lineRule="exact"/>
      </w:pPr>
      <w:r w:rsidRPr="004D05BA">
        <w:t xml:space="preserve">the need for PWC to undertake demand profiling for accumulation meter users (similar to the Net System Load Profile calculated by AEMO) to be able to calculate the net wholesale energy cost to the retailer </w:t>
      </w:r>
      <w:r w:rsidR="009E50BC">
        <w:t xml:space="preserve">of </w:t>
      </w:r>
      <w:r w:rsidRPr="004D05BA">
        <w:t xml:space="preserve">selling to accumulation meter customers. </w:t>
      </w:r>
    </w:p>
    <w:p w:rsidR="004D05BA" w:rsidRPr="004D05BA" w:rsidRDefault="004D05BA" w:rsidP="00DD3E96">
      <w:pPr>
        <w:numPr>
          <w:ilvl w:val="0"/>
          <w:numId w:val="17"/>
        </w:numPr>
        <w:ind w:left="567" w:hanging="567"/>
      </w:pPr>
      <w:r>
        <w:rPr>
          <w:szCs w:val="22"/>
        </w:rPr>
        <w:lastRenderedPageBreak/>
        <w:t xml:space="preserve">In response to a submission by QEnergy, the Commission acknowledged </w:t>
      </w:r>
      <w:r w:rsidRPr="00F23320">
        <w:t>this was an impediment to retail contestability,</w:t>
      </w:r>
      <w:r w:rsidR="009E50BC">
        <w:t xml:space="preserve"> but</w:t>
      </w:r>
      <w:r w:rsidRPr="00F23320">
        <w:t xml:space="preserve"> it had taken a pragmatic</w:t>
      </w:r>
      <w:r>
        <w:rPr>
          <w:szCs w:val="22"/>
        </w:rPr>
        <w:t xml:space="preserve"> approach at the time with the intention of reviewing the clause in future, particularly with the expectation that PWC would develop a user load profile </w:t>
      </w:r>
      <w:r w:rsidR="009E50BC">
        <w:rPr>
          <w:szCs w:val="22"/>
        </w:rPr>
        <w:t xml:space="preserve">and </w:t>
      </w:r>
      <w:r>
        <w:rPr>
          <w:szCs w:val="22"/>
        </w:rPr>
        <w:t xml:space="preserve">should make all endeavours to facilitate retail contestability through other means in the interim. </w:t>
      </w:r>
    </w:p>
    <w:p w:rsidR="00D170CE" w:rsidRDefault="00A4385C" w:rsidP="00DD3E96">
      <w:pPr>
        <w:numPr>
          <w:ilvl w:val="0"/>
          <w:numId w:val="17"/>
        </w:numPr>
        <w:ind w:left="567" w:hanging="567"/>
      </w:pPr>
      <w:r>
        <w:t xml:space="preserve">The Code defines an interval meter as </w:t>
      </w:r>
      <w:r w:rsidR="005652EC" w:rsidRPr="00B67063">
        <w:rPr>
          <w:rStyle w:val="UtilComItalic"/>
        </w:rPr>
        <w:t>‘</w:t>
      </w:r>
      <w:r w:rsidRPr="00B67063">
        <w:rPr>
          <w:rStyle w:val="UtilComItalic"/>
        </w:rPr>
        <w:t>a meter that records data electricity consumption at regular time intervals of no more than half an hour</w:t>
      </w:r>
      <w:r w:rsidR="005652EC" w:rsidRPr="00B67063">
        <w:rPr>
          <w:rStyle w:val="UtilComItalic"/>
        </w:rPr>
        <w:t>’</w:t>
      </w:r>
      <w:r w:rsidRPr="00497C5C">
        <w:rPr>
          <w:i/>
        </w:rPr>
        <w:t>.</w:t>
      </w:r>
      <w:r>
        <w:t xml:space="preserve"> </w:t>
      </w:r>
      <w:r w:rsidR="007F13D6">
        <w:t>The Commission notes that</w:t>
      </w:r>
      <w:r w:rsidR="009E50BC">
        <w:t>,</w:t>
      </w:r>
      <w:r w:rsidR="007F13D6">
        <w:t xml:space="preserve"> while an interval meter can also be read at longer time intervals, or as an accumulation meter, the Code </w:t>
      </w:r>
      <w:r w:rsidR="009E50BC">
        <w:t xml:space="preserve">clearly defines </w:t>
      </w:r>
      <w:r w:rsidR="007F13D6">
        <w:t xml:space="preserve">a meter </w:t>
      </w:r>
      <w:r w:rsidR="00D170CE">
        <w:t xml:space="preserve">that records </w:t>
      </w:r>
      <w:r w:rsidR="007F13D6">
        <w:t xml:space="preserve">data at </w:t>
      </w:r>
      <w:r w:rsidR="00D170CE" w:rsidRPr="00B67063">
        <w:rPr>
          <w:rStyle w:val="UtilComItalic"/>
        </w:rPr>
        <w:t>‘</w:t>
      </w:r>
      <w:r w:rsidR="007F13D6" w:rsidRPr="00B67063">
        <w:rPr>
          <w:rStyle w:val="UtilComItalic"/>
        </w:rPr>
        <w:t xml:space="preserve">regular time intervals of no more than half </w:t>
      </w:r>
      <w:r w:rsidR="00D028C6">
        <w:rPr>
          <w:rStyle w:val="UtilComItalic"/>
        </w:rPr>
        <w:t xml:space="preserve">an </w:t>
      </w:r>
      <w:r w:rsidR="007F13D6" w:rsidRPr="00B67063">
        <w:rPr>
          <w:rStyle w:val="UtilComItalic"/>
        </w:rPr>
        <w:t>hour</w:t>
      </w:r>
      <w:r w:rsidR="00D170CE" w:rsidRPr="00B67063">
        <w:rPr>
          <w:rStyle w:val="UtilComItalic"/>
        </w:rPr>
        <w:t>’</w:t>
      </w:r>
      <w:r w:rsidR="007F13D6" w:rsidRPr="00B67063">
        <w:rPr>
          <w:rStyle w:val="UtilComItalic"/>
        </w:rPr>
        <w:t xml:space="preserve"> </w:t>
      </w:r>
      <w:r w:rsidR="009E50BC">
        <w:t xml:space="preserve">as </w:t>
      </w:r>
      <w:r w:rsidR="007F13D6">
        <w:t xml:space="preserve">an interval meter. </w:t>
      </w:r>
    </w:p>
    <w:p w:rsidR="00A4385C" w:rsidRDefault="00A4385C" w:rsidP="00DD3E96">
      <w:pPr>
        <w:numPr>
          <w:ilvl w:val="0"/>
          <w:numId w:val="17"/>
        </w:numPr>
        <w:ind w:left="567" w:hanging="567"/>
      </w:pPr>
      <w:r>
        <w:t>The Commission</w:t>
      </w:r>
      <w:r w:rsidR="007F13D6">
        <w:t xml:space="preserve"> also</w:t>
      </w:r>
      <w:r>
        <w:t xml:space="preserve"> notes the remote communications </w:t>
      </w:r>
      <w:r w:rsidR="009E50BC">
        <w:t xml:space="preserve">capability </w:t>
      </w:r>
      <w:r>
        <w:t xml:space="preserve">of a meter, which directly affects the ability of the meter to be manually or remotely read, is separate to whether the meter is an interval meter or an accumulation meter. </w:t>
      </w:r>
    </w:p>
    <w:p w:rsidR="00D170CE" w:rsidRPr="00D170CE" w:rsidRDefault="00AD7EE7" w:rsidP="00DD3E96">
      <w:pPr>
        <w:numPr>
          <w:ilvl w:val="0"/>
          <w:numId w:val="17"/>
        </w:numPr>
        <w:ind w:left="567" w:hanging="567"/>
      </w:pPr>
      <w:r>
        <w:rPr>
          <w:szCs w:val="22"/>
        </w:rPr>
        <w:t xml:space="preserve">The Commission notes the existing Code gives </w:t>
      </w:r>
      <w:r w:rsidR="004D05BA">
        <w:rPr>
          <w:szCs w:val="22"/>
        </w:rPr>
        <w:t xml:space="preserve">PWC the discretion to read the meter manually or remotely. </w:t>
      </w:r>
      <w:r w:rsidR="003E771F">
        <w:rPr>
          <w:szCs w:val="22"/>
        </w:rPr>
        <w:t>Due to the operation of Clause 5.1.1, a</w:t>
      </w:r>
      <w:r w:rsidR="004D05BA">
        <w:rPr>
          <w:szCs w:val="22"/>
        </w:rPr>
        <w:t xml:space="preserve">ccepting PWC’s amendment would </w:t>
      </w:r>
      <w:r w:rsidR="003E771F">
        <w:rPr>
          <w:szCs w:val="22"/>
        </w:rPr>
        <w:t xml:space="preserve">have the implication of </w:t>
      </w:r>
      <w:r w:rsidR="00AE1CC7">
        <w:rPr>
          <w:szCs w:val="22"/>
        </w:rPr>
        <w:t xml:space="preserve">only allowing a customer to switch retailer if the interval meter has had </w:t>
      </w:r>
      <w:r w:rsidR="004D05BA">
        <w:rPr>
          <w:szCs w:val="22"/>
        </w:rPr>
        <w:t xml:space="preserve">remote communications functionality </w:t>
      </w:r>
      <w:r w:rsidR="00AE1CC7">
        <w:rPr>
          <w:szCs w:val="22"/>
        </w:rPr>
        <w:t>installed</w:t>
      </w:r>
      <w:r w:rsidR="00D170CE">
        <w:rPr>
          <w:szCs w:val="22"/>
        </w:rPr>
        <w:t xml:space="preserve">. </w:t>
      </w:r>
    </w:p>
    <w:p w:rsidR="004D05BA" w:rsidRDefault="00D170CE" w:rsidP="00DD3E96">
      <w:pPr>
        <w:numPr>
          <w:ilvl w:val="0"/>
          <w:numId w:val="17"/>
        </w:numPr>
        <w:ind w:left="567" w:hanging="567"/>
      </w:pPr>
      <w:r>
        <w:rPr>
          <w:szCs w:val="22"/>
        </w:rPr>
        <w:t xml:space="preserve">The Commission considers this issue requires careful consideration in relation to the objectives of the Code. </w:t>
      </w:r>
      <w:r w:rsidR="00CB7C0F" w:rsidRPr="00016488">
        <w:t>The Commission also notes PWC’s view</w:t>
      </w:r>
      <w:r w:rsidR="00464283" w:rsidRPr="00016488">
        <w:t xml:space="preserve"> that charging for the enabling of remote communication functionality</w:t>
      </w:r>
      <w:r w:rsidR="009B0790" w:rsidRPr="00016488">
        <w:t xml:space="preserve"> on meters</w:t>
      </w:r>
      <w:r w:rsidR="00CB7C0F" w:rsidRPr="00016488">
        <w:t xml:space="preserve"> </w:t>
      </w:r>
      <w:r w:rsidR="00016488">
        <w:t xml:space="preserve">needs to be considered in the context of the 2014 Network Price Determination and will need to </w:t>
      </w:r>
      <w:r w:rsidR="007D2354">
        <w:t xml:space="preserve">be </w:t>
      </w:r>
      <w:r w:rsidR="00016488">
        <w:t xml:space="preserve">discussed with the AER.  </w:t>
      </w:r>
    </w:p>
    <w:p w:rsidR="00041BF0" w:rsidRPr="00A1128A" w:rsidRDefault="00041BF0" w:rsidP="00DD3E96">
      <w:pPr>
        <w:numPr>
          <w:ilvl w:val="0"/>
          <w:numId w:val="17"/>
        </w:numPr>
        <w:ind w:left="567" w:hanging="567"/>
        <w:rPr>
          <w:b/>
        </w:rPr>
      </w:pPr>
      <w:r>
        <w:t>As foreshadowed in 2011, the Commission considers it appropriate to explore whether the requirement for c</w:t>
      </w:r>
      <w:r w:rsidR="00DE03C2">
        <w:t xml:space="preserve">lause 5.1.1 is still valid. </w:t>
      </w:r>
    </w:p>
    <w:p w:rsidR="00D30E2E" w:rsidRPr="00F23320" w:rsidRDefault="00041BF0" w:rsidP="00B67063">
      <w:pPr>
        <w:pStyle w:val="UtilComHeading3"/>
      </w:pPr>
      <w:bookmarkStart w:id="114" w:name="_Toc457207604"/>
      <w:r w:rsidRPr="00F23320">
        <w:t xml:space="preserve">Issue 8 – </w:t>
      </w:r>
      <w:r w:rsidR="00D30E2E" w:rsidRPr="00F23320">
        <w:t xml:space="preserve">NMI </w:t>
      </w:r>
      <w:r w:rsidR="004F78D2">
        <w:t>A</w:t>
      </w:r>
      <w:r w:rsidR="004F78D2" w:rsidRPr="00F23320">
        <w:t xml:space="preserve">llocation </w:t>
      </w:r>
      <w:r w:rsidR="004F78D2">
        <w:t>P</w:t>
      </w:r>
      <w:r w:rsidR="004F78D2" w:rsidRPr="00F23320">
        <w:t>rocedure</w:t>
      </w:r>
      <w:bookmarkEnd w:id="114"/>
    </w:p>
    <w:p w:rsidR="00D30E2E" w:rsidRDefault="00CB5FC5" w:rsidP="00DD3E96">
      <w:pPr>
        <w:numPr>
          <w:ilvl w:val="0"/>
          <w:numId w:val="17"/>
        </w:numPr>
        <w:ind w:left="567" w:hanging="567"/>
        <w:rPr>
          <w:rFonts w:cs="Arial"/>
          <w:szCs w:val="22"/>
        </w:rPr>
      </w:pPr>
      <w:r>
        <w:rPr>
          <w:rFonts w:cs="Arial"/>
          <w:szCs w:val="22"/>
        </w:rPr>
        <w:t>PWC state</w:t>
      </w:r>
      <w:r w:rsidR="00BC46B3">
        <w:rPr>
          <w:rFonts w:cs="Arial"/>
          <w:szCs w:val="22"/>
        </w:rPr>
        <w:t>s</w:t>
      </w:r>
      <w:r w:rsidR="00D30E2E" w:rsidRPr="00D30E2E">
        <w:rPr>
          <w:rFonts w:cs="Arial"/>
          <w:szCs w:val="22"/>
        </w:rPr>
        <w:t xml:space="preserve"> it would be </w:t>
      </w:r>
      <w:r w:rsidR="00DE7A05" w:rsidRPr="00D30E2E">
        <w:rPr>
          <w:rFonts w:cs="Arial"/>
          <w:szCs w:val="22"/>
        </w:rPr>
        <w:t>a</w:t>
      </w:r>
      <w:r w:rsidR="00DE7A05">
        <w:rPr>
          <w:rFonts w:cs="Arial"/>
          <w:szCs w:val="22"/>
        </w:rPr>
        <w:t>ppropriate for</w:t>
      </w:r>
      <w:r w:rsidR="00BC46B3">
        <w:rPr>
          <w:rFonts w:cs="Arial"/>
          <w:szCs w:val="22"/>
        </w:rPr>
        <w:t xml:space="preserve"> </w:t>
      </w:r>
      <w:r w:rsidR="00443FE3">
        <w:rPr>
          <w:rFonts w:cs="Arial"/>
          <w:szCs w:val="22"/>
        </w:rPr>
        <w:t xml:space="preserve">the Code </w:t>
      </w:r>
      <w:r w:rsidR="00BC46B3">
        <w:rPr>
          <w:rFonts w:cs="Arial"/>
          <w:szCs w:val="22"/>
        </w:rPr>
        <w:t xml:space="preserve">to </w:t>
      </w:r>
      <w:r w:rsidR="00443FE3">
        <w:rPr>
          <w:rFonts w:cs="Arial"/>
          <w:szCs w:val="22"/>
        </w:rPr>
        <w:t xml:space="preserve">reference the </w:t>
      </w:r>
      <w:r w:rsidR="00443FE3" w:rsidRPr="00897ACD">
        <w:rPr>
          <w:rFonts w:cs="Arial"/>
          <w:szCs w:val="22"/>
        </w:rPr>
        <w:t>National Meter Identifier</w:t>
      </w:r>
      <w:r w:rsidR="00D30E2E" w:rsidRPr="00897ACD">
        <w:rPr>
          <w:rFonts w:cs="Arial"/>
          <w:szCs w:val="22"/>
        </w:rPr>
        <w:t xml:space="preserve"> Allocation Procedure</w:t>
      </w:r>
      <w:r w:rsidR="00141212" w:rsidRPr="00897ACD">
        <w:rPr>
          <w:rStyle w:val="FootnoteReference"/>
          <w:rFonts w:cs="Arial"/>
          <w:szCs w:val="22"/>
        </w:rPr>
        <w:footnoteReference w:id="13"/>
      </w:r>
      <w:r w:rsidR="00D30E2E" w:rsidRPr="00897ACD">
        <w:rPr>
          <w:rFonts w:cs="Arial"/>
          <w:szCs w:val="22"/>
        </w:rPr>
        <w:t xml:space="preserve"> established</w:t>
      </w:r>
      <w:r w:rsidR="00D30E2E" w:rsidRPr="00D30E2E">
        <w:rPr>
          <w:rFonts w:cs="Arial"/>
          <w:szCs w:val="22"/>
        </w:rPr>
        <w:t xml:space="preserve"> by the Market Operator. </w:t>
      </w:r>
      <w:r w:rsidR="0079318C">
        <w:rPr>
          <w:rFonts w:cs="Arial"/>
          <w:szCs w:val="22"/>
        </w:rPr>
        <w:t>PWC conducted</w:t>
      </w:r>
      <w:r w:rsidR="00D30E2E" w:rsidRPr="00D30E2E">
        <w:rPr>
          <w:rFonts w:cs="Arial"/>
          <w:szCs w:val="22"/>
        </w:rPr>
        <w:t xml:space="preserve"> public consultation</w:t>
      </w:r>
      <w:r w:rsidR="0079318C">
        <w:rPr>
          <w:rFonts w:cs="Arial"/>
          <w:szCs w:val="22"/>
        </w:rPr>
        <w:t xml:space="preserve"> on the procedure</w:t>
      </w:r>
      <w:r w:rsidR="00443FE3">
        <w:rPr>
          <w:rFonts w:cs="Arial"/>
          <w:szCs w:val="22"/>
        </w:rPr>
        <w:t xml:space="preserve"> and</w:t>
      </w:r>
      <w:r>
        <w:rPr>
          <w:rFonts w:cs="Arial"/>
          <w:szCs w:val="22"/>
        </w:rPr>
        <w:t xml:space="preserve"> state</w:t>
      </w:r>
      <w:r w:rsidR="00BC46B3">
        <w:rPr>
          <w:rFonts w:cs="Arial"/>
          <w:szCs w:val="22"/>
        </w:rPr>
        <w:t>s</w:t>
      </w:r>
      <w:r w:rsidR="00443FE3">
        <w:rPr>
          <w:rFonts w:cs="Arial"/>
          <w:szCs w:val="22"/>
        </w:rPr>
        <w:t xml:space="preserve"> it would appear appropriate that the Code reference</w:t>
      </w:r>
      <w:r w:rsidR="00BC46B3">
        <w:rPr>
          <w:rFonts w:cs="Arial"/>
          <w:szCs w:val="22"/>
        </w:rPr>
        <w:t>s</w:t>
      </w:r>
      <w:r w:rsidR="00443FE3">
        <w:rPr>
          <w:rFonts w:cs="Arial"/>
          <w:szCs w:val="22"/>
        </w:rPr>
        <w:t xml:space="preserve"> this procedure and provide</w:t>
      </w:r>
      <w:r w:rsidR="00BC46B3">
        <w:rPr>
          <w:rFonts w:cs="Arial"/>
          <w:szCs w:val="22"/>
        </w:rPr>
        <w:t>s</w:t>
      </w:r>
      <w:r w:rsidR="00443FE3">
        <w:rPr>
          <w:rFonts w:cs="Arial"/>
          <w:szCs w:val="22"/>
        </w:rPr>
        <w:t xml:space="preserve"> the Market Operator authority to publish and determine the methodology.</w:t>
      </w:r>
    </w:p>
    <w:p w:rsidR="00D30E2E" w:rsidRDefault="00D30E2E" w:rsidP="00DD3E96">
      <w:pPr>
        <w:numPr>
          <w:ilvl w:val="0"/>
          <w:numId w:val="17"/>
        </w:numPr>
        <w:ind w:left="567" w:hanging="567"/>
        <w:rPr>
          <w:rFonts w:cs="Arial"/>
          <w:szCs w:val="24"/>
        </w:rPr>
      </w:pPr>
      <w:r w:rsidRPr="00D30E2E">
        <w:rPr>
          <w:rFonts w:cs="Arial"/>
          <w:szCs w:val="22"/>
        </w:rPr>
        <w:t xml:space="preserve">PWC </w:t>
      </w:r>
      <w:r w:rsidRPr="00D30E2E">
        <w:rPr>
          <w:rFonts w:cs="Arial"/>
          <w:szCs w:val="24"/>
        </w:rPr>
        <w:t>recommend</w:t>
      </w:r>
      <w:r w:rsidR="00BC46B3">
        <w:rPr>
          <w:rFonts w:cs="Arial"/>
          <w:szCs w:val="24"/>
        </w:rPr>
        <w:t>s</w:t>
      </w:r>
      <w:r w:rsidRPr="00D30E2E">
        <w:rPr>
          <w:rFonts w:cs="Arial"/>
          <w:szCs w:val="24"/>
        </w:rPr>
        <w:t xml:space="preserve"> the Code be amended to require the publication of the NMI on retail customer bills within </w:t>
      </w:r>
      <w:r w:rsidR="00041BF0">
        <w:rPr>
          <w:rFonts w:cs="Arial"/>
          <w:szCs w:val="24"/>
        </w:rPr>
        <w:t>three</w:t>
      </w:r>
      <w:r w:rsidRPr="00D30E2E">
        <w:rPr>
          <w:rFonts w:cs="Arial"/>
          <w:szCs w:val="24"/>
        </w:rPr>
        <w:t xml:space="preserve"> months of completion of the formal transition from unique meter identifiers to NMI’s by the Market Operator.</w:t>
      </w:r>
    </w:p>
    <w:p w:rsidR="0079318C" w:rsidRPr="0079318C" w:rsidRDefault="00E2103B" w:rsidP="00DD3E96">
      <w:pPr>
        <w:numPr>
          <w:ilvl w:val="0"/>
          <w:numId w:val="17"/>
        </w:numPr>
        <w:ind w:left="567" w:hanging="567"/>
        <w:rPr>
          <w:rFonts w:cs="Arial"/>
          <w:szCs w:val="24"/>
        </w:rPr>
      </w:pPr>
      <w:r>
        <w:rPr>
          <w:rFonts w:cs="Arial"/>
          <w:szCs w:val="24"/>
        </w:rPr>
        <w:t xml:space="preserve">While the Commission agrees the Code should reference the procedure where appropriate, it also notes the System Control Technical Code, the </w:t>
      </w:r>
      <w:r w:rsidR="00DF405F" w:rsidRPr="00041BF0">
        <w:rPr>
          <w:rFonts w:cs="Arial"/>
          <w:i/>
          <w:szCs w:val="24"/>
        </w:rPr>
        <w:t>Electricity</w:t>
      </w:r>
      <w:r w:rsidRPr="00041BF0">
        <w:rPr>
          <w:rFonts w:cs="Arial"/>
          <w:i/>
          <w:szCs w:val="24"/>
        </w:rPr>
        <w:t xml:space="preserve"> Reform Act</w:t>
      </w:r>
      <w:r>
        <w:rPr>
          <w:rFonts w:cs="Arial"/>
          <w:szCs w:val="24"/>
        </w:rPr>
        <w:t xml:space="preserve"> and </w:t>
      </w:r>
      <w:r w:rsidR="00D12994">
        <w:rPr>
          <w:rFonts w:cs="Arial"/>
          <w:szCs w:val="24"/>
        </w:rPr>
        <w:t xml:space="preserve">the </w:t>
      </w:r>
      <w:r>
        <w:rPr>
          <w:rFonts w:cs="Arial"/>
          <w:szCs w:val="24"/>
        </w:rPr>
        <w:t xml:space="preserve">Regulations give the </w:t>
      </w:r>
      <w:r w:rsidR="00B45F0C">
        <w:rPr>
          <w:rFonts w:cs="Arial"/>
          <w:szCs w:val="24"/>
        </w:rPr>
        <w:t>Market Operator</w:t>
      </w:r>
      <w:r>
        <w:rPr>
          <w:rFonts w:cs="Arial"/>
          <w:szCs w:val="24"/>
        </w:rPr>
        <w:t xml:space="preserve"> authority to operate the whol</w:t>
      </w:r>
      <w:r w:rsidR="00041BF0">
        <w:rPr>
          <w:rFonts w:cs="Arial"/>
          <w:szCs w:val="24"/>
        </w:rPr>
        <w:t>esale market</w:t>
      </w:r>
      <w:r w:rsidR="00D12994">
        <w:rPr>
          <w:rFonts w:cs="Arial"/>
          <w:szCs w:val="24"/>
        </w:rPr>
        <w:t>,</w:t>
      </w:r>
      <w:r w:rsidR="00041BF0">
        <w:rPr>
          <w:rFonts w:cs="Arial"/>
          <w:szCs w:val="24"/>
        </w:rPr>
        <w:t xml:space="preserve"> among other things</w:t>
      </w:r>
      <w:r w:rsidR="00D12994">
        <w:rPr>
          <w:rFonts w:cs="Arial"/>
          <w:szCs w:val="24"/>
        </w:rPr>
        <w:t>,</w:t>
      </w:r>
      <w:r>
        <w:rPr>
          <w:rFonts w:cs="Arial"/>
          <w:szCs w:val="24"/>
        </w:rPr>
        <w:t xml:space="preserve"> and </w:t>
      </w:r>
      <w:r w:rsidR="00D12994">
        <w:rPr>
          <w:rFonts w:cs="Arial"/>
          <w:szCs w:val="24"/>
        </w:rPr>
        <w:t xml:space="preserve">it </w:t>
      </w:r>
      <w:r>
        <w:rPr>
          <w:rFonts w:cs="Arial"/>
          <w:szCs w:val="24"/>
        </w:rPr>
        <w:t>would be</w:t>
      </w:r>
      <w:r w:rsidR="00994FF4">
        <w:rPr>
          <w:rFonts w:cs="Arial"/>
          <w:szCs w:val="24"/>
        </w:rPr>
        <w:t xml:space="preserve"> more</w:t>
      </w:r>
      <w:r>
        <w:rPr>
          <w:rFonts w:cs="Arial"/>
          <w:szCs w:val="24"/>
        </w:rPr>
        <w:t xml:space="preserve"> appropriate</w:t>
      </w:r>
      <w:r w:rsidR="00994FF4">
        <w:rPr>
          <w:rFonts w:cs="Arial"/>
          <w:szCs w:val="24"/>
        </w:rPr>
        <w:t xml:space="preserve"> for the System Control Technical Code</w:t>
      </w:r>
      <w:r>
        <w:rPr>
          <w:rFonts w:cs="Arial"/>
          <w:szCs w:val="24"/>
        </w:rPr>
        <w:t xml:space="preserve"> to give authority to the detailed technical specifications of the NMI procedure. </w:t>
      </w:r>
    </w:p>
    <w:p w:rsidR="00FE0AE0" w:rsidRDefault="00FE0AE0" w:rsidP="00A942D0">
      <w:pPr>
        <w:rPr>
          <w:rFonts w:cs="Arial"/>
          <w:b/>
          <w:sz w:val="28"/>
          <w:szCs w:val="24"/>
        </w:rPr>
        <w:sectPr w:rsidR="00FE0AE0" w:rsidSect="008C11DD">
          <w:pgSz w:w="11907" w:h="16840" w:code="9"/>
          <w:pgMar w:top="851" w:right="1134" w:bottom="1134" w:left="1701" w:header="567" w:footer="567" w:gutter="0"/>
          <w:cols w:space="720"/>
          <w:titlePg/>
        </w:sectPr>
      </w:pPr>
    </w:p>
    <w:tbl>
      <w:tblPr>
        <w:tblW w:w="0" w:type="auto"/>
        <w:tblLayout w:type="fixed"/>
        <w:tblLook w:val="01E0" w:firstRow="1" w:lastRow="1" w:firstColumn="1" w:lastColumn="1" w:noHBand="0" w:noVBand="0"/>
      </w:tblPr>
      <w:tblGrid>
        <w:gridCol w:w="9288"/>
      </w:tblGrid>
      <w:tr w:rsidR="00FE0AE0" w:rsidTr="00A976F6">
        <w:tc>
          <w:tcPr>
            <w:tcW w:w="9288" w:type="dxa"/>
          </w:tcPr>
          <w:p w:rsidR="00FE0AE0" w:rsidRDefault="00FE0AE0" w:rsidP="00A976F6">
            <w:pPr>
              <w:pStyle w:val="NumberLevel1"/>
            </w:pPr>
          </w:p>
        </w:tc>
      </w:tr>
      <w:tr w:rsidR="00FE0AE0" w:rsidTr="00A976F6">
        <w:tc>
          <w:tcPr>
            <w:tcW w:w="9288" w:type="dxa"/>
          </w:tcPr>
          <w:p w:rsidR="00FE0AE0" w:rsidRDefault="00FE0AE0" w:rsidP="00134C3F">
            <w:pPr>
              <w:pStyle w:val="UtilComChapterHeading"/>
            </w:pPr>
            <w:bookmarkStart w:id="115" w:name="_Toc457207605"/>
            <w:r>
              <w:t xml:space="preserve">Other </w:t>
            </w:r>
            <w:r w:rsidR="00D12994">
              <w:t>I</w:t>
            </w:r>
            <w:r>
              <w:t xml:space="preserve">ssues </w:t>
            </w:r>
            <w:r w:rsidR="00D12994">
              <w:t>R</w:t>
            </w:r>
            <w:r>
              <w:t>aised by Power and Water Corporation</w:t>
            </w:r>
            <w:bookmarkEnd w:id="115"/>
            <w:r>
              <w:t xml:space="preserve">  </w:t>
            </w:r>
          </w:p>
        </w:tc>
      </w:tr>
    </w:tbl>
    <w:p w:rsidR="00D30E2E" w:rsidRPr="00C21045" w:rsidRDefault="00D567A7" w:rsidP="00B67063">
      <w:pPr>
        <w:pStyle w:val="UtilComHeading3"/>
      </w:pPr>
      <w:bookmarkStart w:id="116" w:name="_Toc457207606"/>
      <w:r w:rsidRPr="00C21045">
        <w:t xml:space="preserve">Issue 9 – </w:t>
      </w:r>
      <w:r w:rsidR="00A942D0" w:rsidRPr="00C21045">
        <w:t>Removal of requirement for the Commission’s approval of charges</w:t>
      </w:r>
      <w:bookmarkEnd w:id="116"/>
    </w:p>
    <w:p w:rsidR="00246E33" w:rsidRDefault="00A942D0" w:rsidP="00DD3E96">
      <w:pPr>
        <w:numPr>
          <w:ilvl w:val="0"/>
          <w:numId w:val="18"/>
        </w:numPr>
        <w:tabs>
          <w:tab w:val="clear" w:pos="2559"/>
          <w:tab w:val="num" w:pos="567"/>
        </w:tabs>
        <w:ind w:left="567" w:hanging="567"/>
      </w:pPr>
      <w:r w:rsidRPr="00A942D0">
        <w:t xml:space="preserve">PWC </w:t>
      </w:r>
      <w:r w:rsidR="00246E33">
        <w:t>requests</w:t>
      </w:r>
      <w:r w:rsidRPr="00A942D0">
        <w:t xml:space="preserve"> clauses 6.3.7, 7.1.5 and 7.1.6 of the Code in relation to </w:t>
      </w:r>
      <w:r w:rsidR="00D567A7">
        <w:t xml:space="preserve">the </w:t>
      </w:r>
      <w:r w:rsidRPr="00A942D0">
        <w:t>Commission</w:t>
      </w:r>
      <w:r w:rsidR="00D567A7">
        <w:t>’</w:t>
      </w:r>
      <w:r w:rsidRPr="00A942D0">
        <w:t xml:space="preserve">s approval of Alternative Control Service </w:t>
      </w:r>
      <w:r w:rsidR="00D12994">
        <w:t>(</w:t>
      </w:r>
      <w:r w:rsidR="00DE7A05" w:rsidRPr="00A942D0">
        <w:t>ACS)</w:t>
      </w:r>
      <w:r w:rsidR="00D12994">
        <w:t xml:space="preserve"> </w:t>
      </w:r>
      <w:r w:rsidRPr="00A942D0">
        <w:t xml:space="preserve">charges </w:t>
      </w:r>
      <w:r w:rsidR="00DE7A05" w:rsidRPr="00A942D0">
        <w:t>are</w:t>
      </w:r>
      <w:r w:rsidRPr="00A942D0">
        <w:t xml:space="preserve"> removed from the Code as the inclusion of this requirement in the Code was a result of the Commission’s historical role in approving ACS charges under the Network Price Determination</w:t>
      </w:r>
      <w:r w:rsidR="0061635B">
        <w:t>.</w:t>
      </w:r>
    </w:p>
    <w:p w:rsidR="00246E33" w:rsidRDefault="00D567A7" w:rsidP="00DD3E96">
      <w:pPr>
        <w:numPr>
          <w:ilvl w:val="0"/>
          <w:numId w:val="18"/>
        </w:numPr>
        <w:tabs>
          <w:tab w:val="clear" w:pos="2559"/>
          <w:tab w:val="num" w:pos="567"/>
        </w:tabs>
        <w:ind w:left="567" w:hanging="567"/>
        <w:rPr>
          <w:rFonts w:cs="Arial"/>
          <w:szCs w:val="22"/>
        </w:rPr>
      </w:pPr>
      <w:r>
        <w:rPr>
          <w:rFonts w:cs="Arial"/>
          <w:szCs w:val="22"/>
        </w:rPr>
        <w:t xml:space="preserve">Responsibility for network access and price regulation transferred to the </w:t>
      </w:r>
      <w:r w:rsidR="008B1233">
        <w:rPr>
          <w:rFonts w:cs="Arial"/>
          <w:szCs w:val="22"/>
        </w:rPr>
        <w:t>AER</w:t>
      </w:r>
      <w:r w:rsidR="00246E33">
        <w:rPr>
          <w:rFonts w:cs="Arial"/>
          <w:szCs w:val="22"/>
        </w:rPr>
        <w:t xml:space="preserve"> on </w:t>
      </w:r>
      <w:r w:rsidR="00246E33" w:rsidRPr="00D567A7">
        <w:t>1</w:t>
      </w:r>
      <w:r>
        <w:t> </w:t>
      </w:r>
      <w:r w:rsidR="00246E33" w:rsidRPr="00D567A7">
        <w:t>July</w:t>
      </w:r>
      <w:r>
        <w:rPr>
          <w:rFonts w:cs="Arial"/>
          <w:szCs w:val="22"/>
        </w:rPr>
        <w:t> </w:t>
      </w:r>
      <w:r w:rsidR="00246E33">
        <w:rPr>
          <w:rFonts w:cs="Arial"/>
          <w:szCs w:val="22"/>
        </w:rPr>
        <w:t>2015</w:t>
      </w:r>
      <w:r>
        <w:rPr>
          <w:rFonts w:cs="Arial"/>
          <w:szCs w:val="22"/>
        </w:rPr>
        <w:t xml:space="preserve">. Any amendment to the Code should reflect the role of the AER </w:t>
      </w:r>
      <w:r w:rsidR="00882219">
        <w:rPr>
          <w:rFonts w:cs="Arial"/>
          <w:szCs w:val="22"/>
        </w:rPr>
        <w:t xml:space="preserve">where appropriate. </w:t>
      </w:r>
      <w:r w:rsidR="00246E33">
        <w:rPr>
          <w:rFonts w:cs="Arial"/>
          <w:szCs w:val="22"/>
        </w:rPr>
        <w:t xml:space="preserve"> </w:t>
      </w:r>
    </w:p>
    <w:p w:rsidR="001D4657" w:rsidRPr="00C21045" w:rsidRDefault="00D567A7" w:rsidP="00B67063">
      <w:pPr>
        <w:pStyle w:val="UtilComHeading3"/>
      </w:pPr>
      <w:bookmarkStart w:id="117" w:name="_Toc457207607"/>
      <w:r w:rsidRPr="00C21045">
        <w:t>Issue 10</w:t>
      </w:r>
      <w:r w:rsidR="001879C1" w:rsidRPr="00C21045">
        <w:t xml:space="preserve"> </w:t>
      </w:r>
      <w:r w:rsidRPr="00C21045">
        <w:t xml:space="preserve">– </w:t>
      </w:r>
      <w:r w:rsidR="001D4657" w:rsidRPr="00C21045">
        <w:t>Customer transfer notification timeframes</w:t>
      </w:r>
      <w:bookmarkEnd w:id="117"/>
    </w:p>
    <w:p w:rsidR="001D4657" w:rsidRPr="006B1964" w:rsidRDefault="001D4657" w:rsidP="00DD3E96">
      <w:pPr>
        <w:numPr>
          <w:ilvl w:val="0"/>
          <w:numId w:val="18"/>
        </w:numPr>
        <w:tabs>
          <w:tab w:val="clear" w:pos="2559"/>
          <w:tab w:val="num" w:pos="567"/>
        </w:tabs>
        <w:ind w:left="567" w:hanging="567"/>
        <w:rPr>
          <w:szCs w:val="22"/>
        </w:rPr>
      </w:pPr>
      <w:r w:rsidRPr="006B1964">
        <w:rPr>
          <w:rFonts w:cs="Arial"/>
          <w:szCs w:val="22"/>
        </w:rPr>
        <w:t>PWC note</w:t>
      </w:r>
      <w:r w:rsidR="00D12994">
        <w:rPr>
          <w:rFonts w:cs="Arial"/>
          <w:szCs w:val="22"/>
        </w:rPr>
        <w:t>s</w:t>
      </w:r>
      <w:r w:rsidRPr="006B1964">
        <w:rPr>
          <w:rFonts w:cs="Arial"/>
          <w:szCs w:val="22"/>
        </w:rPr>
        <w:t xml:space="preserve"> that concern regarding the length of timeframes for customer transfer request forms prior to the end of month has been raised by a number of retailers </w:t>
      </w:r>
      <w:r w:rsidR="00D12994">
        <w:rPr>
          <w:rFonts w:cs="Arial"/>
          <w:szCs w:val="22"/>
        </w:rPr>
        <w:t>that</w:t>
      </w:r>
      <w:r w:rsidR="00D12994" w:rsidRPr="006B1964">
        <w:rPr>
          <w:rFonts w:cs="Arial"/>
          <w:szCs w:val="22"/>
        </w:rPr>
        <w:t xml:space="preserve"> </w:t>
      </w:r>
      <w:r w:rsidRPr="006B1964">
        <w:rPr>
          <w:rFonts w:cs="Arial"/>
          <w:szCs w:val="22"/>
        </w:rPr>
        <w:t>wish to see a reduction in the requirements.</w:t>
      </w:r>
    </w:p>
    <w:p w:rsidR="001D4657" w:rsidRDefault="001D4657" w:rsidP="00DD3E96">
      <w:pPr>
        <w:numPr>
          <w:ilvl w:val="0"/>
          <w:numId w:val="18"/>
        </w:numPr>
        <w:tabs>
          <w:tab w:val="clear" w:pos="2559"/>
          <w:tab w:val="num" w:pos="567"/>
        </w:tabs>
        <w:ind w:left="567" w:hanging="567"/>
        <w:rPr>
          <w:rFonts w:cs="Arial"/>
          <w:szCs w:val="22"/>
        </w:rPr>
      </w:pPr>
      <w:r w:rsidRPr="006B1964">
        <w:rPr>
          <w:rFonts w:cs="Arial"/>
          <w:szCs w:val="22"/>
        </w:rPr>
        <w:t>Current timeframes are 10 business days for urban areas and 15 business days for non-urban areas. PWC suggest</w:t>
      </w:r>
      <w:r w:rsidR="00D12994">
        <w:rPr>
          <w:rFonts w:cs="Arial"/>
          <w:szCs w:val="22"/>
        </w:rPr>
        <w:t>s</w:t>
      </w:r>
      <w:r w:rsidRPr="006B1964">
        <w:rPr>
          <w:rFonts w:cs="Arial"/>
          <w:szCs w:val="22"/>
        </w:rPr>
        <w:t xml:space="preserve"> the requirements could be reduced to </w:t>
      </w:r>
      <w:r w:rsidR="00D12994">
        <w:rPr>
          <w:rFonts w:cs="Arial"/>
          <w:szCs w:val="22"/>
        </w:rPr>
        <w:t>five</w:t>
      </w:r>
      <w:r w:rsidRPr="006B1964">
        <w:rPr>
          <w:rFonts w:cs="Arial"/>
          <w:szCs w:val="22"/>
        </w:rPr>
        <w:t xml:space="preserve"> bu</w:t>
      </w:r>
      <w:r>
        <w:rPr>
          <w:rFonts w:cs="Arial"/>
          <w:szCs w:val="22"/>
        </w:rPr>
        <w:t>siness days for both categories should no other requirement be introduced to the transfer process.</w:t>
      </w:r>
    </w:p>
    <w:p w:rsidR="00FE0AE0" w:rsidRDefault="00FE0AE0" w:rsidP="006B1964">
      <w:pPr>
        <w:spacing w:before="0" w:after="0" w:line="240" w:lineRule="auto"/>
        <w:rPr>
          <w:rFonts w:cs="Arial"/>
          <w:b/>
          <w:sz w:val="28"/>
          <w:szCs w:val="24"/>
        </w:rPr>
        <w:sectPr w:rsidR="00FE0AE0" w:rsidSect="008C11DD">
          <w:pgSz w:w="11907" w:h="16840" w:code="9"/>
          <w:pgMar w:top="851" w:right="1134" w:bottom="1134" w:left="1701" w:header="567" w:footer="567" w:gutter="0"/>
          <w:cols w:space="720"/>
          <w:titlePg/>
        </w:sectPr>
      </w:pPr>
    </w:p>
    <w:tbl>
      <w:tblPr>
        <w:tblW w:w="0" w:type="auto"/>
        <w:tblLayout w:type="fixed"/>
        <w:tblLook w:val="01E0" w:firstRow="1" w:lastRow="1" w:firstColumn="1" w:lastColumn="1" w:noHBand="0" w:noVBand="0"/>
      </w:tblPr>
      <w:tblGrid>
        <w:gridCol w:w="9288"/>
      </w:tblGrid>
      <w:tr w:rsidR="00C75550" w:rsidTr="00DE5323">
        <w:tc>
          <w:tcPr>
            <w:tcW w:w="9288" w:type="dxa"/>
          </w:tcPr>
          <w:p w:rsidR="00C75550" w:rsidRDefault="00C75550" w:rsidP="00410408">
            <w:pPr>
              <w:pStyle w:val="NumberLevel1"/>
              <w:numPr>
                <w:ilvl w:val="0"/>
                <w:numId w:val="0"/>
              </w:numPr>
              <w:ind w:left="431" w:hanging="431"/>
            </w:pPr>
            <w:r>
              <w:lastRenderedPageBreak/>
              <w:t>Appendix A</w:t>
            </w:r>
          </w:p>
        </w:tc>
      </w:tr>
      <w:tr w:rsidR="00C75550" w:rsidTr="00DE5323">
        <w:tc>
          <w:tcPr>
            <w:tcW w:w="9288" w:type="dxa"/>
          </w:tcPr>
          <w:p w:rsidR="00C75550" w:rsidRDefault="00C75550" w:rsidP="00134C3F">
            <w:pPr>
              <w:pStyle w:val="UtilComChapterHeading"/>
            </w:pPr>
            <w:bookmarkStart w:id="118" w:name="_Toc457207608"/>
            <w:r>
              <w:t>Power and Water Corporation’s Submission to the Utilities Commission</w:t>
            </w:r>
            <w:bookmarkEnd w:id="118"/>
            <w:r>
              <w:t xml:space="preserve"> </w:t>
            </w:r>
          </w:p>
        </w:tc>
      </w:tr>
    </w:tbl>
    <w:p w:rsidR="00AE637E" w:rsidRDefault="00AE637E" w:rsidP="00AE637E">
      <w:pPr>
        <w:rPr>
          <w:rFonts w:cs="Arial"/>
          <w:b/>
          <w:sz w:val="28"/>
          <w:szCs w:val="24"/>
        </w:rPr>
      </w:pPr>
    </w:p>
    <w:p w:rsidR="00AE637E" w:rsidRDefault="00AE637E" w:rsidP="00AE637E">
      <w:pPr>
        <w:rPr>
          <w:rFonts w:cs="Arial"/>
          <w:b/>
          <w:sz w:val="28"/>
          <w:szCs w:val="24"/>
        </w:rPr>
      </w:pPr>
    </w:p>
    <w:p w:rsidR="00D034CA" w:rsidRDefault="00AE637E" w:rsidP="00D034CA">
      <w:pPr>
        <w:rPr>
          <w:rFonts w:cs="Arial"/>
          <w:szCs w:val="22"/>
        </w:rPr>
      </w:pPr>
      <w:r w:rsidRPr="00EA2083">
        <w:rPr>
          <w:rFonts w:cs="Arial"/>
          <w:szCs w:val="22"/>
        </w:rPr>
        <w:t>Power and Water Corporation’s Public S</w:t>
      </w:r>
      <w:r w:rsidR="00410408" w:rsidRPr="00EA2083">
        <w:rPr>
          <w:rFonts w:cs="Arial"/>
          <w:szCs w:val="22"/>
        </w:rPr>
        <w:t>ubmission received 12 May 2016.</w:t>
      </w:r>
    </w:p>
    <w:p w:rsidR="00D20652" w:rsidRDefault="00D20652" w:rsidP="00D034CA">
      <w:pPr>
        <w:rPr>
          <w:rFonts w:cs="Arial"/>
          <w:szCs w:val="22"/>
        </w:rPr>
        <w:sectPr w:rsidR="00D20652" w:rsidSect="008C11DD">
          <w:pgSz w:w="11907" w:h="16840" w:code="9"/>
          <w:pgMar w:top="851" w:right="1134" w:bottom="1134" w:left="1701" w:header="567" w:footer="567" w:gutter="0"/>
          <w:cols w:space="720"/>
          <w:titlePg/>
        </w:sectPr>
      </w:pPr>
    </w:p>
    <w:p w:rsidR="00D20652" w:rsidRPr="00D20652" w:rsidRDefault="00D20652" w:rsidP="00D20652">
      <w:pPr>
        <w:spacing w:before="120" w:after="120" w:line="240" w:lineRule="auto"/>
        <w:jc w:val="center"/>
        <w:rPr>
          <w:rFonts w:ascii="Tahoma" w:hAnsi="Tahoma"/>
          <w:sz w:val="24"/>
          <w:lang w:val="en-AU" w:eastAsia="en-AU"/>
        </w:rPr>
      </w:pPr>
      <w:bookmarkStart w:id="119" w:name="_Toc79839320"/>
      <w:bookmarkStart w:id="120" w:name="_Toc79839370"/>
      <w:r>
        <w:rPr>
          <w:rFonts w:ascii="Tahoma" w:hAnsi="Tahoma"/>
          <w:noProof/>
          <w:sz w:val="24"/>
          <w:lang w:val="en-AU" w:eastAsia="en-AU"/>
        </w:rPr>
        <w:lastRenderedPageBreak/>
        <w:drawing>
          <wp:inline distT="0" distB="0" distL="0" distR="0" wp14:anchorId="3613C0CD" wp14:editId="2ED85157">
            <wp:extent cx="2266950" cy="542925"/>
            <wp:effectExtent l="0" t="0" r="0" b="9525"/>
            <wp:docPr id="3" name="Picture 3" descr="leaf_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eaf_mono"/>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266950" cy="542925"/>
                    </a:xfrm>
                    <a:prstGeom prst="rect">
                      <a:avLst/>
                    </a:prstGeom>
                    <a:noFill/>
                    <a:ln>
                      <a:noFill/>
                    </a:ln>
                  </pic:spPr>
                </pic:pic>
              </a:graphicData>
            </a:graphic>
          </wp:inline>
        </w:drawing>
      </w:r>
      <w:bookmarkEnd w:id="119"/>
      <w:bookmarkEnd w:id="120"/>
    </w:p>
    <w:p w:rsidR="00D20652" w:rsidRPr="00D20652" w:rsidRDefault="00D20652" w:rsidP="00D20652">
      <w:pPr>
        <w:spacing w:before="120" w:after="120" w:line="240" w:lineRule="auto"/>
        <w:rPr>
          <w:rFonts w:ascii="Tahoma" w:hAnsi="Tahoma"/>
          <w:b/>
          <w:noProof/>
          <w:sz w:val="40"/>
          <w:lang w:val="en-AU" w:eastAsia="en-AU"/>
        </w:rPr>
      </w:pPr>
    </w:p>
    <w:p w:rsidR="00D20652" w:rsidRPr="00D20652" w:rsidRDefault="00D20652" w:rsidP="00D20652">
      <w:pPr>
        <w:spacing w:before="120" w:after="120" w:line="240" w:lineRule="auto"/>
        <w:rPr>
          <w:rFonts w:ascii="Tahoma" w:hAnsi="Tahoma"/>
          <w:sz w:val="24"/>
          <w:lang w:val="en-AU" w:eastAsia="en-AU"/>
        </w:rPr>
      </w:pPr>
    </w:p>
    <w:p w:rsidR="00D20652" w:rsidRPr="00D20652" w:rsidRDefault="00D20652" w:rsidP="00D20652">
      <w:pPr>
        <w:spacing w:before="120" w:after="120" w:line="240" w:lineRule="auto"/>
        <w:rPr>
          <w:rFonts w:ascii="Tahoma" w:hAnsi="Tahoma"/>
          <w:sz w:val="24"/>
          <w:lang w:val="en-AU" w:eastAsia="en-AU"/>
        </w:rPr>
      </w:pPr>
    </w:p>
    <w:p w:rsidR="00D20652" w:rsidRPr="00D20652" w:rsidRDefault="00D20652" w:rsidP="00D20652">
      <w:pPr>
        <w:spacing w:before="120" w:after="120" w:line="240" w:lineRule="auto"/>
        <w:rPr>
          <w:rFonts w:ascii="Tahoma" w:hAnsi="Tahoma"/>
          <w:sz w:val="24"/>
          <w:lang w:val="en-AU" w:eastAsia="en-AU"/>
        </w:rPr>
      </w:pPr>
    </w:p>
    <w:tbl>
      <w:tblPr>
        <w:tblW w:w="0" w:type="auto"/>
        <w:tblBorders>
          <w:top w:val="single" w:sz="4" w:space="0" w:color="auto"/>
          <w:insideH w:val="single" w:sz="4" w:space="0" w:color="auto"/>
          <w:insideV w:val="single" w:sz="4" w:space="0" w:color="auto"/>
        </w:tblBorders>
        <w:tblLook w:val="01E0" w:firstRow="1" w:lastRow="1" w:firstColumn="1" w:lastColumn="1" w:noHBand="0" w:noVBand="0"/>
      </w:tblPr>
      <w:tblGrid>
        <w:gridCol w:w="8522"/>
      </w:tblGrid>
      <w:tr w:rsidR="00D20652" w:rsidRPr="00D20652" w:rsidTr="00315D6E">
        <w:tc>
          <w:tcPr>
            <w:tcW w:w="8721" w:type="dxa"/>
          </w:tcPr>
          <w:p w:rsidR="00D20652" w:rsidRPr="00D20652" w:rsidRDefault="00D20652" w:rsidP="00D20652">
            <w:pPr>
              <w:spacing w:before="120" w:after="120" w:line="240" w:lineRule="auto"/>
              <w:rPr>
                <w:rFonts w:ascii="Tahoma" w:hAnsi="Tahoma"/>
                <w:sz w:val="24"/>
                <w:lang w:val="en-AU" w:eastAsia="en-AU"/>
              </w:rPr>
            </w:pPr>
          </w:p>
        </w:tc>
      </w:tr>
    </w:tbl>
    <w:p w:rsidR="00D20652" w:rsidRPr="00D20652" w:rsidRDefault="00D20652" w:rsidP="00D20652">
      <w:pPr>
        <w:tabs>
          <w:tab w:val="center" w:pos="4153"/>
          <w:tab w:val="right" w:pos="8306"/>
        </w:tabs>
        <w:spacing w:before="120" w:after="120" w:line="240" w:lineRule="auto"/>
        <w:jc w:val="center"/>
        <w:rPr>
          <w:rFonts w:ascii="Tahoma" w:hAnsi="Tahoma"/>
          <w:b/>
          <w:noProof/>
          <w:sz w:val="40"/>
          <w:lang w:val="en-AU" w:eastAsia="en-AU"/>
        </w:rPr>
      </w:pPr>
      <w:r w:rsidRPr="00D20652">
        <w:rPr>
          <w:rFonts w:ascii="Tahoma" w:hAnsi="Tahoma"/>
          <w:b/>
          <w:noProof/>
          <w:sz w:val="40"/>
          <w:lang w:val="en-AU" w:eastAsia="en-AU"/>
        </w:rPr>
        <w:t>Submission to the Utilities Commission</w:t>
      </w:r>
    </w:p>
    <w:p w:rsidR="00D20652" w:rsidRPr="00D20652" w:rsidRDefault="00D20652" w:rsidP="00D20652">
      <w:pPr>
        <w:tabs>
          <w:tab w:val="center" w:pos="4153"/>
          <w:tab w:val="right" w:pos="8306"/>
        </w:tabs>
        <w:spacing w:before="120" w:after="120" w:line="240" w:lineRule="auto"/>
        <w:jc w:val="center"/>
        <w:rPr>
          <w:rFonts w:ascii="Tahoma" w:hAnsi="Tahoma"/>
          <w:b/>
          <w:noProof/>
          <w:sz w:val="40"/>
          <w:lang w:val="en-AU" w:eastAsia="en-AU"/>
        </w:rPr>
      </w:pPr>
    </w:p>
    <w:p w:rsidR="00D20652" w:rsidRPr="00D20652" w:rsidRDefault="00D20652" w:rsidP="00D20652">
      <w:pPr>
        <w:tabs>
          <w:tab w:val="center" w:pos="4153"/>
          <w:tab w:val="right" w:pos="8306"/>
        </w:tabs>
        <w:spacing w:before="120" w:after="120" w:line="240" w:lineRule="auto"/>
        <w:jc w:val="center"/>
        <w:rPr>
          <w:rFonts w:ascii="Tahoma" w:hAnsi="Tahoma"/>
          <w:b/>
          <w:noProof/>
          <w:sz w:val="40"/>
          <w:lang w:val="en-AU" w:eastAsia="en-AU"/>
        </w:rPr>
      </w:pPr>
      <w:r w:rsidRPr="00D20652">
        <w:rPr>
          <w:rFonts w:ascii="Tahoma" w:hAnsi="Tahoma"/>
          <w:b/>
          <w:noProof/>
          <w:sz w:val="40"/>
          <w:lang w:val="en-AU" w:eastAsia="en-AU"/>
        </w:rPr>
        <w:t>Proposed Review of the Electricity Retail Supply Code</w:t>
      </w:r>
    </w:p>
    <w:p w:rsidR="00D20652" w:rsidRPr="00D20652" w:rsidRDefault="00D20652" w:rsidP="00D20652">
      <w:pPr>
        <w:spacing w:before="120" w:after="120" w:line="240" w:lineRule="auto"/>
        <w:rPr>
          <w:rFonts w:ascii="Tahoma" w:hAnsi="Tahoma"/>
          <w:sz w:val="24"/>
          <w:lang w:val="en-AU" w:eastAsia="en-AU"/>
        </w:rPr>
      </w:pPr>
    </w:p>
    <w:tbl>
      <w:tblPr>
        <w:tblW w:w="0" w:type="auto"/>
        <w:tblBorders>
          <w:top w:val="single" w:sz="4" w:space="0" w:color="auto"/>
          <w:insideH w:val="single" w:sz="4" w:space="0" w:color="auto"/>
          <w:insideV w:val="single" w:sz="4" w:space="0" w:color="auto"/>
        </w:tblBorders>
        <w:tblLook w:val="01E0" w:firstRow="1" w:lastRow="1" w:firstColumn="1" w:lastColumn="1" w:noHBand="0" w:noVBand="0"/>
      </w:tblPr>
      <w:tblGrid>
        <w:gridCol w:w="8522"/>
      </w:tblGrid>
      <w:tr w:rsidR="00D20652" w:rsidRPr="00D20652" w:rsidTr="00315D6E">
        <w:tc>
          <w:tcPr>
            <w:tcW w:w="8721" w:type="dxa"/>
          </w:tcPr>
          <w:p w:rsidR="00D20652" w:rsidRPr="00D20652" w:rsidRDefault="00D20652" w:rsidP="00D20652">
            <w:pPr>
              <w:spacing w:before="120" w:after="120" w:line="240" w:lineRule="auto"/>
              <w:rPr>
                <w:rFonts w:ascii="Tahoma" w:hAnsi="Tahoma"/>
                <w:sz w:val="24"/>
                <w:lang w:val="en-AU" w:eastAsia="en-AU"/>
              </w:rPr>
            </w:pPr>
          </w:p>
        </w:tc>
      </w:tr>
    </w:tbl>
    <w:p w:rsidR="00D20652" w:rsidRPr="00D20652" w:rsidRDefault="00D20652" w:rsidP="00D20652">
      <w:pPr>
        <w:tabs>
          <w:tab w:val="center" w:pos="4153"/>
          <w:tab w:val="right" w:pos="8306"/>
        </w:tabs>
        <w:spacing w:before="120" w:after="120" w:line="240" w:lineRule="auto"/>
        <w:rPr>
          <w:rFonts w:ascii="Tahoma" w:hAnsi="Tahoma"/>
          <w:b/>
          <w:noProof/>
          <w:sz w:val="40"/>
          <w:lang w:val="en-AU" w:eastAsia="en-AU"/>
        </w:rPr>
      </w:pPr>
    </w:p>
    <w:p w:rsidR="00D20652" w:rsidRPr="00D20652" w:rsidRDefault="00D20652" w:rsidP="00D20652">
      <w:pPr>
        <w:keepNext/>
        <w:tabs>
          <w:tab w:val="num" w:pos="432"/>
        </w:tabs>
        <w:spacing w:before="240" w:line="240" w:lineRule="auto"/>
        <w:ind w:left="432" w:hanging="432"/>
        <w:outlineLvl w:val="0"/>
        <w:rPr>
          <w:rFonts w:ascii="Tahoma" w:hAnsi="Tahoma"/>
          <w:b/>
          <w:kern w:val="32"/>
          <w:lang w:val="en-AU" w:eastAsia="en-AU"/>
        </w:rPr>
      </w:pPr>
      <w:r w:rsidRPr="00D20652">
        <w:rPr>
          <w:rFonts w:ascii="Tahoma" w:hAnsi="Tahoma"/>
          <w:b/>
          <w:kern w:val="32"/>
          <w:highlight w:val="yellow"/>
          <w:lang w:val="en-AU" w:eastAsia="en-AU"/>
        </w:rPr>
        <w:br w:type="page"/>
      </w:r>
      <w:r w:rsidR="0019190A">
        <w:rPr>
          <w:rFonts w:ascii="Tahoma" w:hAnsi="Tahoma"/>
          <w:b/>
          <w:kern w:val="32"/>
          <w:lang w:val="en-AU" w:eastAsia="en-AU"/>
        </w:rPr>
        <w:lastRenderedPageBreak/>
        <w:t>1</w:t>
      </w:r>
      <w:r w:rsidR="0019190A">
        <w:rPr>
          <w:rFonts w:ascii="Tahoma" w:hAnsi="Tahoma"/>
          <w:b/>
          <w:kern w:val="32"/>
          <w:lang w:val="en-AU" w:eastAsia="en-AU"/>
        </w:rPr>
        <w:tab/>
      </w:r>
      <w:r w:rsidRPr="00D20652">
        <w:rPr>
          <w:rFonts w:ascii="Tahoma" w:hAnsi="Tahoma"/>
          <w:b/>
          <w:kern w:val="32"/>
          <w:lang w:val="en-AU" w:eastAsia="en-AU"/>
        </w:rPr>
        <w:t>INTRODUCTION</w:t>
      </w:r>
    </w:p>
    <w:p w:rsidR="00D20652" w:rsidRPr="00D20652" w:rsidRDefault="00D20652" w:rsidP="00D20652">
      <w:pPr>
        <w:spacing w:before="120" w:after="120" w:line="240" w:lineRule="auto"/>
        <w:rPr>
          <w:rFonts w:ascii="Tahoma" w:hAnsi="Tahoma"/>
          <w:sz w:val="24"/>
          <w:lang w:val="en-AU" w:eastAsia="en-AU"/>
        </w:rPr>
      </w:pPr>
      <w:r w:rsidRPr="00D20652">
        <w:rPr>
          <w:rFonts w:ascii="Tahoma" w:hAnsi="Tahoma"/>
          <w:sz w:val="24"/>
          <w:lang w:val="en-AU" w:eastAsia="en-AU"/>
        </w:rPr>
        <w:t>Power and Water Corporation (Power and Water) in both its Market Operator and Network Provider roles facilitates numerous retail supply activities across the NT and as such utilises the Electricity Retail Supply Code (the Code) extensively.</w:t>
      </w:r>
    </w:p>
    <w:p w:rsidR="00D20652" w:rsidRPr="00D20652" w:rsidRDefault="00D20652" w:rsidP="00D20652">
      <w:pPr>
        <w:spacing w:before="120" w:after="120" w:line="240" w:lineRule="auto"/>
        <w:rPr>
          <w:rFonts w:ascii="Tahoma" w:hAnsi="Tahoma"/>
          <w:sz w:val="24"/>
          <w:lang w:val="en-AU" w:eastAsia="en-AU"/>
        </w:rPr>
      </w:pPr>
      <w:r w:rsidRPr="00D20652">
        <w:rPr>
          <w:rFonts w:ascii="Tahoma" w:hAnsi="Tahoma"/>
          <w:sz w:val="24"/>
          <w:lang w:val="en-AU" w:eastAsia="en-AU"/>
        </w:rPr>
        <w:t xml:space="preserve">A number of issues have arisen over the past two years regarding the application of the Code. This submission seeks to formally request under section 2.2 of the Code that the Utilities Commission (the Commission) vary the Code. </w:t>
      </w:r>
    </w:p>
    <w:p w:rsidR="00D20652" w:rsidRPr="00D20652" w:rsidRDefault="0019190A" w:rsidP="00D20652">
      <w:pPr>
        <w:keepNext/>
        <w:tabs>
          <w:tab w:val="num" w:pos="432"/>
        </w:tabs>
        <w:spacing w:before="240" w:line="240" w:lineRule="auto"/>
        <w:ind w:left="432" w:hanging="432"/>
        <w:outlineLvl w:val="0"/>
        <w:rPr>
          <w:rFonts w:ascii="Tahoma" w:hAnsi="Tahoma"/>
          <w:b/>
          <w:kern w:val="32"/>
          <w:lang w:val="en-AU" w:eastAsia="en-AU"/>
        </w:rPr>
      </w:pPr>
      <w:r>
        <w:rPr>
          <w:rFonts w:ascii="Tahoma" w:hAnsi="Tahoma"/>
          <w:b/>
          <w:kern w:val="32"/>
          <w:lang w:val="en-AU" w:eastAsia="en-AU"/>
        </w:rPr>
        <w:t>2</w:t>
      </w:r>
      <w:r>
        <w:rPr>
          <w:rFonts w:ascii="Tahoma" w:hAnsi="Tahoma"/>
          <w:b/>
          <w:kern w:val="32"/>
          <w:lang w:val="en-AU" w:eastAsia="en-AU"/>
        </w:rPr>
        <w:tab/>
      </w:r>
      <w:r w:rsidR="00D20652" w:rsidRPr="00D20652">
        <w:rPr>
          <w:rFonts w:ascii="Tahoma" w:hAnsi="Tahoma"/>
          <w:b/>
          <w:kern w:val="32"/>
          <w:lang w:val="en-AU" w:eastAsia="en-AU"/>
        </w:rPr>
        <w:t>ISSUES</w:t>
      </w:r>
    </w:p>
    <w:p w:rsidR="00D20652" w:rsidRPr="00D20652" w:rsidRDefault="00D20652" w:rsidP="00D20652">
      <w:pPr>
        <w:spacing w:before="120" w:after="120" w:line="240" w:lineRule="auto"/>
        <w:rPr>
          <w:rFonts w:ascii="Tahoma" w:hAnsi="Tahoma"/>
          <w:sz w:val="24"/>
          <w:lang w:val="en-AU" w:eastAsia="en-AU"/>
        </w:rPr>
      </w:pPr>
      <w:r w:rsidRPr="00D20652">
        <w:rPr>
          <w:rFonts w:ascii="Tahoma" w:hAnsi="Tahoma"/>
          <w:sz w:val="24"/>
          <w:lang w:val="en-AU" w:eastAsia="en-AU"/>
        </w:rPr>
        <w:t xml:space="preserve">Issues with the application of the Code have generally arisen as a result of a number of changes to the NT electricity sector, including the introduction of a wholesale market, structural separation of Power and Water Corporation and the entrance of new retailers. Outlined below are the key issues that have arisen. </w:t>
      </w:r>
    </w:p>
    <w:p w:rsidR="00D20652" w:rsidRPr="00D20652" w:rsidRDefault="0019190A" w:rsidP="00D20652">
      <w:pPr>
        <w:keepNext/>
        <w:numPr>
          <w:ilvl w:val="1"/>
          <w:numId w:val="0"/>
        </w:numPr>
        <w:tabs>
          <w:tab w:val="num" w:pos="576"/>
        </w:tabs>
        <w:spacing w:before="240" w:line="240" w:lineRule="auto"/>
        <w:ind w:left="576" w:hanging="576"/>
        <w:outlineLvl w:val="1"/>
        <w:rPr>
          <w:rFonts w:ascii="Tahoma" w:hAnsi="Tahoma"/>
          <w:b/>
          <w:lang w:val="en-AU" w:eastAsia="en-AU"/>
        </w:rPr>
      </w:pPr>
      <w:r>
        <w:rPr>
          <w:rFonts w:ascii="Tahoma" w:hAnsi="Tahoma"/>
          <w:b/>
          <w:lang w:val="en-AU" w:eastAsia="en-AU"/>
        </w:rPr>
        <w:t>2.1</w:t>
      </w:r>
      <w:r>
        <w:rPr>
          <w:rFonts w:ascii="Tahoma" w:hAnsi="Tahoma"/>
          <w:b/>
          <w:lang w:val="en-AU" w:eastAsia="en-AU"/>
        </w:rPr>
        <w:tab/>
      </w:r>
      <w:r w:rsidR="00D20652" w:rsidRPr="00D20652">
        <w:rPr>
          <w:rFonts w:ascii="Tahoma" w:hAnsi="Tahoma"/>
          <w:b/>
          <w:lang w:val="en-AU" w:eastAsia="en-AU"/>
        </w:rPr>
        <w:t>Separation of Duties</w:t>
      </w:r>
    </w:p>
    <w:p w:rsidR="00D20652" w:rsidRPr="00D20652" w:rsidRDefault="00D20652" w:rsidP="00D20652">
      <w:pPr>
        <w:spacing w:before="120" w:after="120" w:line="240" w:lineRule="auto"/>
        <w:rPr>
          <w:rFonts w:ascii="Tahoma" w:hAnsi="Tahoma"/>
          <w:sz w:val="24"/>
          <w:lang w:val="en-AU" w:eastAsia="en-AU"/>
        </w:rPr>
      </w:pPr>
      <w:r w:rsidRPr="00D20652">
        <w:rPr>
          <w:rFonts w:ascii="Tahoma" w:hAnsi="Tahoma"/>
          <w:sz w:val="24"/>
          <w:lang w:val="en-AU" w:eastAsia="en-AU"/>
        </w:rPr>
        <w:t xml:space="preserve">The Code was initially implemented prior to the introduction of the Interim Northern Territory Electricity Market (I-NTEM) and consequently prior to the creation of the Market Operator. It would appear appropriate with the creation of this function, to align the requirements under the Code with those in the National Electricity Market (NEM). </w:t>
      </w:r>
    </w:p>
    <w:p w:rsidR="00D20652" w:rsidRPr="00D20652" w:rsidRDefault="00D20652" w:rsidP="00D20652">
      <w:pPr>
        <w:spacing w:before="120" w:after="120" w:line="240" w:lineRule="auto"/>
        <w:rPr>
          <w:rFonts w:ascii="Tahoma" w:hAnsi="Tahoma"/>
          <w:sz w:val="24"/>
          <w:lang w:val="en-AU" w:eastAsia="en-AU"/>
        </w:rPr>
      </w:pPr>
      <w:r w:rsidRPr="00D20652">
        <w:rPr>
          <w:rFonts w:ascii="Tahoma" w:hAnsi="Tahoma"/>
          <w:sz w:val="24"/>
          <w:lang w:val="en-AU" w:eastAsia="en-AU"/>
        </w:rPr>
        <w:t>An increased focus on the independence of the Market Operator function from other Power and Water functions provides further pressure to clearly define roles and responsibilities. The proposed separation could see primary responsibility for the facilitation of portions of section 6 and the entirety of section 8, transition from the Network Provider to the Market Operator.</w:t>
      </w:r>
    </w:p>
    <w:p w:rsidR="00D20652" w:rsidRPr="00D20652" w:rsidRDefault="00D20652" w:rsidP="00D20652">
      <w:pPr>
        <w:spacing w:before="120" w:after="120" w:line="240" w:lineRule="auto"/>
        <w:rPr>
          <w:rFonts w:ascii="Tahoma" w:hAnsi="Tahoma"/>
          <w:sz w:val="24"/>
          <w:lang w:val="en-AU" w:eastAsia="en-AU"/>
        </w:rPr>
      </w:pPr>
      <w:r w:rsidRPr="00D20652">
        <w:rPr>
          <w:rFonts w:ascii="Tahoma" w:hAnsi="Tahoma"/>
          <w:sz w:val="24"/>
          <w:lang w:val="en-AU" w:eastAsia="en-AU"/>
        </w:rPr>
        <w:t xml:space="preserve">The Market Operator currently has systems and processes that would allow for the immediate transition of section 8 (customer transfer facilitation) responsibilities. Although it is proposed that primary responsibility be transferred, some requirements in this section should remain with the Network Provider, such as confirming that the retailer has a Network Access Agreement and timeframes for completing any meter change service requests. </w:t>
      </w:r>
    </w:p>
    <w:p w:rsidR="00D20652" w:rsidRPr="00D20652" w:rsidRDefault="00D20652" w:rsidP="00D20652">
      <w:pPr>
        <w:spacing w:before="120" w:after="120" w:line="240" w:lineRule="auto"/>
        <w:rPr>
          <w:rFonts w:ascii="Tahoma" w:hAnsi="Tahoma"/>
          <w:sz w:val="24"/>
          <w:lang w:val="en-AU" w:eastAsia="en-AU"/>
        </w:rPr>
      </w:pPr>
      <w:r w:rsidRPr="00D20652">
        <w:rPr>
          <w:rFonts w:ascii="Tahoma" w:hAnsi="Tahoma"/>
          <w:sz w:val="24"/>
          <w:lang w:val="en-AU" w:eastAsia="en-AU"/>
        </w:rPr>
        <w:t xml:space="preserve">Section 6 (Market Data) is currently facilitated by both the Market Operator team and the Network Provider (Metering Services). It is suggested that the responsibility for the provision of standing data (‘NMI Discovery’ in the NEM) be transferred to the Market Operator, however with the ongoing provision of historical data remaining with the Network Provider. This separation of services is consistent with the treatment in the NEM. </w:t>
      </w:r>
    </w:p>
    <w:p w:rsidR="00D20652" w:rsidRPr="00D20652" w:rsidRDefault="00D20652" w:rsidP="00D20652">
      <w:pPr>
        <w:spacing w:before="120" w:after="120" w:line="240" w:lineRule="auto"/>
        <w:rPr>
          <w:rFonts w:ascii="Tahoma" w:hAnsi="Tahoma"/>
          <w:sz w:val="24"/>
          <w:lang w:val="en-AU" w:eastAsia="en-AU"/>
        </w:rPr>
      </w:pPr>
      <w:r w:rsidRPr="00D20652">
        <w:rPr>
          <w:rFonts w:ascii="Tahoma" w:hAnsi="Tahoma"/>
          <w:sz w:val="24"/>
          <w:lang w:val="en-AU" w:eastAsia="en-AU"/>
        </w:rPr>
        <w:t xml:space="preserve">The Market Operator’s participant register would be the primary source of standing data, however at this stage it only contains interval meter standing data (region, HV/LV classification, UMI, Meter ID and retailer). Should standing data be required for accumulation meters, the Market Operator </w:t>
      </w:r>
      <w:r w:rsidRPr="00D20652">
        <w:rPr>
          <w:rFonts w:ascii="Tahoma" w:hAnsi="Tahoma"/>
          <w:sz w:val="24"/>
          <w:lang w:val="en-AU" w:eastAsia="en-AU"/>
        </w:rPr>
        <w:lastRenderedPageBreak/>
        <w:t>would require access to the Network Provider’s systems either directly or through a system based interface to provide this data. Section 7 (Business to Business Procedures) of the Code could include provision for this to occur.</w:t>
      </w:r>
    </w:p>
    <w:p w:rsidR="00D20652" w:rsidRPr="00D20652" w:rsidRDefault="00D20652" w:rsidP="00D20652">
      <w:pPr>
        <w:spacing w:before="120" w:after="120" w:line="240" w:lineRule="auto"/>
        <w:rPr>
          <w:rFonts w:ascii="Tahoma" w:hAnsi="Tahoma"/>
          <w:sz w:val="24"/>
          <w:lang w:val="en-AU" w:eastAsia="en-AU"/>
        </w:rPr>
      </w:pPr>
      <w:r w:rsidRPr="00D20652">
        <w:rPr>
          <w:rFonts w:ascii="Tahoma" w:hAnsi="Tahoma"/>
          <w:sz w:val="24"/>
          <w:lang w:val="en-AU" w:eastAsia="en-AU"/>
        </w:rPr>
        <w:t xml:space="preserve">With the separation of duties a charging arrangement would also need to be available to the Market Operator to recover the cost of providing these additional services. </w:t>
      </w:r>
    </w:p>
    <w:p w:rsidR="00D20652" w:rsidRPr="00D20652" w:rsidRDefault="0019190A" w:rsidP="00D20652">
      <w:pPr>
        <w:keepNext/>
        <w:numPr>
          <w:ilvl w:val="1"/>
          <w:numId w:val="0"/>
        </w:numPr>
        <w:tabs>
          <w:tab w:val="num" w:pos="576"/>
        </w:tabs>
        <w:spacing w:before="240" w:line="240" w:lineRule="auto"/>
        <w:ind w:left="576" w:hanging="576"/>
        <w:outlineLvl w:val="1"/>
        <w:rPr>
          <w:rFonts w:ascii="Tahoma" w:hAnsi="Tahoma"/>
          <w:b/>
          <w:lang w:val="en-AU" w:eastAsia="en-AU"/>
        </w:rPr>
      </w:pPr>
      <w:r>
        <w:rPr>
          <w:rFonts w:ascii="Tahoma" w:hAnsi="Tahoma"/>
          <w:b/>
          <w:lang w:val="en-AU" w:eastAsia="en-AU"/>
        </w:rPr>
        <w:t>2.2</w:t>
      </w:r>
      <w:r>
        <w:rPr>
          <w:rFonts w:ascii="Tahoma" w:hAnsi="Tahoma"/>
          <w:b/>
          <w:lang w:val="en-AU" w:eastAsia="en-AU"/>
        </w:rPr>
        <w:tab/>
      </w:r>
      <w:r w:rsidR="00D20652" w:rsidRPr="00D20652">
        <w:rPr>
          <w:rFonts w:ascii="Tahoma" w:hAnsi="Tahoma"/>
          <w:b/>
          <w:lang w:val="en-AU" w:eastAsia="en-AU"/>
        </w:rPr>
        <w:t>Market Operator – Non-NTEM Functions</w:t>
      </w:r>
    </w:p>
    <w:p w:rsidR="00D20652" w:rsidRPr="00D20652" w:rsidRDefault="00D20652" w:rsidP="00D20652">
      <w:pPr>
        <w:spacing w:before="120" w:after="120" w:line="240" w:lineRule="auto"/>
        <w:rPr>
          <w:rFonts w:ascii="Tahoma" w:hAnsi="Tahoma"/>
          <w:sz w:val="24"/>
          <w:lang w:val="en-AU" w:eastAsia="en-AU"/>
        </w:rPr>
      </w:pPr>
      <w:r w:rsidRPr="00D20652">
        <w:rPr>
          <w:rFonts w:ascii="Tahoma" w:hAnsi="Tahoma"/>
          <w:sz w:val="24"/>
          <w:lang w:val="en-AU" w:eastAsia="en-AU"/>
        </w:rPr>
        <w:t xml:space="preserve">The I-NTEM was established on 27 May 2015 and provided a settlement framework for wholesale transactions on the Darwin-Katherine network. Although the I-NTEM is virtual, the settlement statements produced by the market operator are utilised to settle bilateral contracts between generators and retailers. </w:t>
      </w:r>
    </w:p>
    <w:p w:rsidR="00D20652" w:rsidRPr="00D20652" w:rsidRDefault="00D20652" w:rsidP="00D20652">
      <w:pPr>
        <w:spacing w:before="120" w:after="120" w:line="240" w:lineRule="auto"/>
        <w:rPr>
          <w:rFonts w:ascii="Tahoma" w:hAnsi="Tahoma"/>
          <w:sz w:val="24"/>
          <w:lang w:val="en-AU" w:eastAsia="en-AU"/>
        </w:rPr>
      </w:pPr>
      <w:r w:rsidRPr="00D20652">
        <w:rPr>
          <w:rFonts w:ascii="Tahoma" w:hAnsi="Tahoma"/>
          <w:sz w:val="24"/>
          <w:lang w:val="en-AU" w:eastAsia="en-AU"/>
        </w:rPr>
        <w:t>At the request of market participants Power and Water has extended the I</w:t>
      </w:r>
      <w:r w:rsidRPr="00D20652">
        <w:rPr>
          <w:rFonts w:ascii="Tahoma" w:hAnsi="Tahoma"/>
          <w:sz w:val="24"/>
          <w:lang w:val="en-AU" w:eastAsia="en-AU"/>
        </w:rPr>
        <w:noBreakHyphen/>
        <w:t xml:space="preserve">NTEM settlement process to the other major networks. Market participants sought Power and Water’s involvement in this process as an independent party with access to the required meter data. </w:t>
      </w:r>
    </w:p>
    <w:p w:rsidR="00D20652" w:rsidRPr="00D20652" w:rsidRDefault="00D20652" w:rsidP="00D20652">
      <w:pPr>
        <w:spacing w:before="120" w:after="120" w:line="240" w:lineRule="auto"/>
        <w:rPr>
          <w:rFonts w:ascii="Tahoma" w:hAnsi="Tahoma"/>
          <w:sz w:val="24"/>
          <w:lang w:val="en-AU" w:eastAsia="en-AU"/>
        </w:rPr>
      </w:pPr>
      <w:r w:rsidRPr="00D20652">
        <w:rPr>
          <w:rFonts w:ascii="Tahoma" w:hAnsi="Tahoma"/>
          <w:sz w:val="24"/>
          <w:lang w:val="en-AU" w:eastAsia="en-AU"/>
        </w:rPr>
        <w:t xml:space="preserve">The provision of this service is currently being provided as a Network Alternative Control Service and charged accordingly. With the proposed separation of duties discussed above, the provision of this service would be most appropriately provided by the Market Operator. </w:t>
      </w:r>
    </w:p>
    <w:p w:rsidR="00D20652" w:rsidRPr="00D20652" w:rsidRDefault="00D20652" w:rsidP="00D20652">
      <w:pPr>
        <w:spacing w:before="120" w:after="120" w:line="240" w:lineRule="auto"/>
        <w:rPr>
          <w:rFonts w:ascii="Tahoma" w:hAnsi="Tahoma"/>
          <w:sz w:val="24"/>
          <w:lang w:val="en-AU" w:eastAsia="en-AU"/>
        </w:rPr>
      </w:pPr>
      <w:r w:rsidRPr="00D20652">
        <w:rPr>
          <w:rFonts w:ascii="Tahoma" w:hAnsi="Tahoma"/>
          <w:sz w:val="24"/>
          <w:lang w:val="en-AU" w:eastAsia="en-AU"/>
        </w:rPr>
        <w:t xml:space="preserve">Should the Market Operator be separated into a subsidiary and continue to provide this service, the Market Operator’s right to access customer meter data outside of the Darwin-Katherine network is unclear. To provide clarity, it would appear appropriate that a provision outlining the Market Operator’s right be incorporated in the Code. The inclusion of this provision in the Electricity Retail Supply Code rather than the System Control Technical Code appears appropriate given the service is not classified as a regulated service and recovery of the costs associated is outside the System Control regulated charge. </w:t>
      </w:r>
    </w:p>
    <w:p w:rsidR="00D20652" w:rsidRPr="00D20652" w:rsidRDefault="0019190A" w:rsidP="00D20652">
      <w:pPr>
        <w:keepNext/>
        <w:numPr>
          <w:ilvl w:val="1"/>
          <w:numId w:val="0"/>
        </w:numPr>
        <w:tabs>
          <w:tab w:val="num" w:pos="576"/>
        </w:tabs>
        <w:spacing w:before="240" w:line="240" w:lineRule="auto"/>
        <w:ind w:left="576" w:hanging="576"/>
        <w:outlineLvl w:val="1"/>
        <w:rPr>
          <w:rFonts w:ascii="Tahoma" w:hAnsi="Tahoma"/>
          <w:b/>
          <w:lang w:val="en-AU" w:eastAsia="en-AU"/>
        </w:rPr>
      </w:pPr>
      <w:r>
        <w:rPr>
          <w:rFonts w:ascii="Tahoma" w:hAnsi="Tahoma"/>
          <w:b/>
          <w:lang w:val="en-AU" w:eastAsia="en-AU"/>
        </w:rPr>
        <w:t>2.3</w:t>
      </w:r>
      <w:r>
        <w:rPr>
          <w:rFonts w:ascii="Tahoma" w:hAnsi="Tahoma"/>
          <w:b/>
          <w:lang w:val="en-AU" w:eastAsia="en-AU"/>
        </w:rPr>
        <w:tab/>
      </w:r>
      <w:r w:rsidR="00D20652" w:rsidRPr="00D20652">
        <w:rPr>
          <w:rFonts w:ascii="Tahoma" w:hAnsi="Tahoma"/>
          <w:b/>
          <w:lang w:val="en-AU" w:eastAsia="en-AU"/>
        </w:rPr>
        <w:t>Local Retailer Definition</w:t>
      </w:r>
    </w:p>
    <w:p w:rsidR="00D20652" w:rsidRPr="00D20652" w:rsidRDefault="00D20652" w:rsidP="00D20652">
      <w:pPr>
        <w:spacing w:before="120" w:after="120" w:line="240" w:lineRule="auto"/>
        <w:rPr>
          <w:rFonts w:ascii="Tahoma" w:hAnsi="Tahoma"/>
          <w:sz w:val="24"/>
          <w:lang w:val="en-AU" w:eastAsia="en-AU"/>
        </w:rPr>
      </w:pPr>
      <w:r w:rsidRPr="00D20652">
        <w:rPr>
          <w:rFonts w:ascii="Tahoma" w:hAnsi="Tahoma"/>
          <w:sz w:val="24"/>
          <w:lang w:val="en-AU" w:eastAsia="en-AU"/>
        </w:rPr>
        <w:t xml:space="preserve">Power and Water has received a number of queries from retailers regarding the treatment of vacant installations and orphaned customers. This has highlighted a need for a ‘local retailer’ definition, similar to that in the NEM. </w:t>
      </w:r>
    </w:p>
    <w:p w:rsidR="00D20652" w:rsidRPr="00D20652" w:rsidRDefault="00D20652" w:rsidP="00D20652">
      <w:pPr>
        <w:spacing w:before="120" w:after="120" w:line="240" w:lineRule="auto"/>
        <w:rPr>
          <w:rFonts w:ascii="Tahoma" w:hAnsi="Tahoma"/>
          <w:sz w:val="24"/>
          <w:lang w:val="en-AU" w:eastAsia="en-AU"/>
        </w:rPr>
      </w:pPr>
      <w:r w:rsidRPr="00D20652">
        <w:rPr>
          <w:rFonts w:ascii="Tahoma" w:hAnsi="Tahoma"/>
          <w:sz w:val="24"/>
          <w:lang w:val="en-AU" w:eastAsia="en-AU"/>
        </w:rPr>
        <w:t xml:space="preserve">To clarify, a vacant installation is where electricity is consumed at a site which does not have a consumer assigned for example greenfield sites or where a customer has finalised their account and moved out. In most cases the fuse is pulled so there is no electricity supply, however in some instances the fuse is not pulled and electricity is consumed. </w:t>
      </w:r>
    </w:p>
    <w:p w:rsidR="00D20652" w:rsidRPr="00D20652" w:rsidRDefault="00D20652" w:rsidP="00D20652">
      <w:pPr>
        <w:spacing w:before="120" w:after="120" w:line="240" w:lineRule="auto"/>
        <w:rPr>
          <w:rFonts w:ascii="Tahoma" w:hAnsi="Tahoma"/>
          <w:sz w:val="24"/>
          <w:lang w:val="en-AU" w:eastAsia="en-AU"/>
        </w:rPr>
      </w:pPr>
      <w:r w:rsidRPr="00D20652">
        <w:rPr>
          <w:rFonts w:ascii="Tahoma" w:hAnsi="Tahoma"/>
          <w:sz w:val="24"/>
          <w:lang w:val="en-AU" w:eastAsia="en-AU"/>
        </w:rPr>
        <w:t xml:space="preserve">This issue has become apparent as under the I-NTEM’s settlement by difference calculation, Jacana Energy (Jacana) is automatically charged for this electricity consumption. Jacana should therefore be provided an opportunity to view the data to rectify the situation. The provision of this data to Jacana appears reasonable given the current market structure and the </w:t>
      </w:r>
      <w:r w:rsidRPr="00D20652">
        <w:rPr>
          <w:rFonts w:ascii="Tahoma" w:hAnsi="Tahoma"/>
          <w:sz w:val="24"/>
          <w:lang w:val="en-AU" w:eastAsia="en-AU"/>
        </w:rPr>
        <w:lastRenderedPageBreak/>
        <w:t xml:space="preserve">provisions in their licence to sell to out of contract customers. However, there is no provision in the Code that authorises Power and Water to provide this data. </w:t>
      </w:r>
    </w:p>
    <w:p w:rsidR="00D20652" w:rsidRPr="00D20652" w:rsidRDefault="00D20652" w:rsidP="00D20652">
      <w:pPr>
        <w:spacing w:before="120" w:after="120" w:line="240" w:lineRule="auto"/>
        <w:rPr>
          <w:rFonts w:ascii="Tahoma" w:hAnsi="Tahoma"/>
          <w:sz w:val="24"/>
          <w:lang w:val="en-AU" w:eastAsia="en-AU"/>
        </w:rPr>
      </w:pPr>
      <w:r w:rsidRPr="00D20652">
        <w:rPr>
          <w:rFonts w:ascii="Tahoma" w:hAnsi="Tahoma"/>
          <w:sz w:val="24"/>
          <w:lang w:val="en-AU" w:eastAsia="en-AU"/>
        </w:rPr>
        <w:t>In addition to the settlement by difference calculation, we have recently had a query regarding the terms and conditions in retailer/customer contracts. The query was regarding that on completion of their contract, should a customer not renew could they be disconnected under the Code?</w:t>
      </w:r>
    </w:p>
    <w:p w:rsidR="00D20652" w:rsidRPr="00D20652" w:rsidRDefault="00D20652" w:rsidP="00D20652">
      <w:pPr>
        <w:spacing w:before="120" w:after="120" w:line="240" w:lineRule="auto"/>
        <w:rPr>
          <w:rFonts w:ascii="Tahoma" w:hAnsi="Tahoma"/>
          <w:sz w:val="24"/>
          <w:lang w:val="en-AU" w:eastAsia="en-AU"/>
        </w:rPr>
      </w:pPr>
      <w:r w:rsidRPr="00D20652">
        <w:rPr>
          <w:rFonts w:ascii="Tahoma" w:hAnsi="Tahoma"/>
          <w:sz w:val="24"/>
          <w:lang w:val="en-AU" w:eastAsia="en-AU"/>
        </w:rPr>
        <w:t xml:space="preserve">Our interpretation of the intention of the regulatory design is that this customer would not be disconnected but would rather be treated as an orphaned customer and transferred to Jacana. Jacana’s obligation to sell to Out of Contract Customers is clearly identified in their licence, however Power and Water’s ability to transfer the customer to Jacana appears limited as ‘verifiable consent’ would be required, which may or may not be provided. </w:t>
      </w:r>
    </w:p>
    <w:p w:rsidR="00D20652" w:rsidRPr="00D20652" w:rsidRDefault="00D20652" w:rsidP="00D20652">
      <w:pPr>
        <w:spacing w:before="120" w:after="120" w:line="240" w:lineRule="auto"/>
        <w:rPr>
          <w:rFonts w:ascii="Tahoma" w:hAnsi="Tahoma"/>
          <w:sz w:val="24"/>
          <w:lang w:val="en-AU" w:eastAsia="en-AU"/>
        </w:rPr>
      </w:pPr>
      <w:r w:rsidRPr="00D20652">
        <w:rPr>
          <w:rFonts w:ascii="Tahoma" w:hAnsi="Tahoma"/>
          <w:sz w:val="24"/>
          <w:lang w:val="en-AU" w:eastAsia="en-AU"/>
        </w:rPr>
        <w:t>Power and Water requests that the Code be amended to incorporate appropriate direction on how to proceed in these circumstances or include a provision for Power and Water to publish procedures to detail this.</w:t>
      </w:r>
    </w:p>
    <w:p w:rsidR="00D20652" w:rsidRPr="00D20652" w:rsidRDefault="0019190A" w:rsidP="00D20652">
      <w:pPr>
        <w:keepNext/>
        <w:numPr>
          <w:ilvl w:val="1"/>
          <w:numId w:val="0"/>
        </w:numPr>
        <w:tabs>
          <w:tab w:val="num" w:pos="576"/>
        </w:tabs>
        <w:spacing w:before="240" w:line="240" w:lineRule="auto"/>
        <w:ind w:left="576" w:hanging="576"/>
        <w:outlineLvl w:val="1"/>
        <w:rPr>
          <w:rFonts w:ascii="Tahoma" w:hAnsi="Tahoma"/>
          <w:b/>
          <w:lang w:val="en-AU" w:eastAsia="en-AU"/>
        </w:rPr>
      </w:pPr>
      <w:r>
        <w:rPr>
          <w:rFonts w:ascii="Tahoma" w:hAnsi="Tahoma"/>
          <w:b/>
          <w:lang w:val="en-AU" w:eastAsia="en-AU"/>
        </w:rPr>
        <w:t>2.4</w:t>
      </w:r>
      <w:r>
        <w:rPr>
          <w:rFonts w:ascii="Tahoma" w:hAnsi="Tahoma"/>
          <w:b/>
          <w:lang w:val="en-AU" w:eastAsia="en-AU"/>
        </w:rPr>
        <w:tab/>
      </w:r>
      <w:r w:rsidR="00D20652" w:rsidRPr="00D20652">
        <w:rPr>
          <w:rFonts w:ascii="Tahoma" w:hAnsi="Tahoma"/>
          <w:b/>
          <w:lang w:val="en-AU" w:eastAsia="en-AU"/>
        </w:rPr>
        <w:t xml:space="preserve">Network access to customer information </w:t>
      </w:r>
    </w:p>
    <w:p w:rsidR="00D20652" w:rsidRPr="00D20652" w:rsidRDefault="00D20652" w:rsidP="00D20652">
      <w:pPr>
        <w:spacing w:before="120" w:after="120" w:line="240" w:lineRule="auto"/>
        <w:rPr>
          <w:rFonts w:ascii="Tahoma" w:hAnsi="Tahoma"/>
          <w:sz w:val="24"/>
          <w:lang w:val="en-AU" w:eastAsia="en-AU"/>
        </w:rPr>
      </w:pPr>
      <w:r w:rsidRPr="00D20652">
        <w:rPr>
          <w:rFonts w:ascii="Tahoma" w:hAnsi="Tahoma"/>
          <w:sz w:val="24"/>
          <w:lang w:val="en-AU" w:eastAsia="en-AU"/>
        </w:rPr>
        <w:t xml:space="preserve">Power Networks intends to contract with customers either directly or via a standard form contract. To create a contract, there must be certainty as to the parties to the contract and at a minimum, Power and Water will need customer contact details. In addition to contracting requirements, Networks also require customer information to facilitate historical data requests, outage notifications and guaranteed service level payments. It is recommended that an additional requirement be incorporated in Section 7 of the Code to outline retailers’ obligations to provide customer information to the Network Provider. </w:t>
      </w:r>
    </w:p>
    <w:p w:rsidR="00D20652" w:rsidRPr="00D20652" w:rsidRDefault="0019190A" w:rsidP="00D20652">
      <w:pPr>
        <w:keepNext/>
        <w:numPr>
          <w:ilvl w:val="1"/>
          <w:numId w:val="0"/>
        </w:numPr>
        <w:tabs>
          <w:tab w:val="num" w:pos="576"/>
        </w:tabs>
        <w:spacing w:before="240" w:line="240" w:lineRule="auto"/>
        <w:ind w:left="576" w:hanging="576"/>
        <w:outlineLvl w:val="1"/>
        <w:rPr>
          <w:rFonts w:ascii="Tahoma" w:hAnsi="Tahoma"/>
          <w:b/>
          <w:lang w:val="en-AU" w:eastAsia="en-AU"/>
        </w:rPr>
      </w:pPr>
      <w:r>
        <w:rPr>
          <w:rFonts w:ascii="Tahoma" w:hAnsi="Tahoma"/>
          <w:b/>
          <w:lang w:val="en-AU" w:eastAsia="en-AU"/>
        </w:rPr>
        <w:t>2.5</w:t>
      </w:r>
      <w:r>
        <w:rPr>
          <w:rFonts w:ascii="Tahoma" w:hAnsi="Tahoma"/>
          <w:b/>
          <w:lang w:val="en-AU" w:eastAsia="en-AU"/>
        </w:rPr>
        <w:tab/>
      </w:r>
      <w:r w:rsidR="00D20652" w:rsidRPr="00D20652">
        <w:rPr>
          <w:rFonts w:ascii="Tahoma" w:hAnsi="Tahoma"/>
          <w:b/>
          <w:lang w:val="en-AU" w:eastAsia="en-AU"/>
        </w:rPr>
        <w:t>Treatment of greenfield sites.</w:t>
      </w:r>
    </w:p>
    <w:p w:rsidR="00D20652" w:rsidRPr="00D20652" w:rsidRDefault="0019190A" w:rsidP="00D20652">
      <w:pPr>
        <w:keepNext/>
        <w:numPr>
          <w:ilvl w:val="2"/>
          <w:numId w:val="0"/>
        </w:numPr>
        <w:tabs>
          <w:tab w:val="num" w:pos="720"/>
        </w:tabs>
        <w:spacing w:before="240" w:line="240" w:lineRule="auto"/>
        <w:ind w:left="720" w:hanging="720"/>
        <w:outlineLvl w:val="2"/>
        <w:rPr>
          <w:rFonts w:ascii="Tahoma" w:hAnsi="Tahoma"/>
          <w:b/>
          <w:i/>
          <w:sz w:val="20"/>
          <w:lang w:val="en-AU" w:eastAsia="en-AU"/>
        </w:rPr>
      </w:pPr>
      <w:r>
        <w:rPr>
          <w:rFonts w:ascii="Tahoma" w:hAnsi="Tahoma"/>
          <w:b/>
          <w:i/>
          <w:sz w:val="20"/>
          <w:lang w:val="en-AU" w:eastAsia="en-AU"/>
        </w:rPr>
        <w:t>2.5.1</w:t>
      </w:r>
      <w:r>
        <w:rPr>
          <w:rFonts w:ascii="Tahoma" w:hAnsi="Tahoma"/>
          <w:b/>
          <w:i/>
          <w:sz w:val="20"/>
          <w:lang w:val="en-AU" w:eastAsia="en-AU"/>
        </w:rPr>
        <w:tab/>
      </w:r>
      <w:r w:rsidR="00D20652" w:rsidRPr="00D20652">
        <w:rPr>
          <w:rFonts w:ascii="Tahoma" w:hAnsi="Tahoma"/>
          <w:b/>
          <w:i/>
          <w:sz w:val="20"/>
          <w:lang w:val="en-AU" w:eastAsia="en-AU"/>
        </w:rPr>
        <w:t xml:space="preserve">Clarity on the connection process and Power and Water’s role in advising retailers of greenfield sites. </w:t>
      </w:r>
    </w:p>
    <w:p w:rsidR="00D20652" w:rsidRPr="00D20652" w:rsidRDefault="00D20652" w:rsidP="00D20652">
      <w:pPr>
        <w:spacing w:before="120" w:after="120" w:line="240" w:lineRule="auto"/>
        <w:rPr>
          <w:rFonts w:ascii="Tahoma" w:hAnsi="Tahoma"/>
          <w:sz w:val="24"/>
          <w:lang w:val="en-AU" w:eastAsia="en-AU"/>
        </w:rPr>
      </w:pPr>
      <w:r w:rsidRPr="00D20652">
        <w:rPr>
          <w:rFonts w:ascii="Tahoma" w:hAnsi="Tahoma"/>
          <w:sz w:val="24"/>
          <w:lang w:val="en-AU" w:eastAsia="en-AU"/>
        </w:rPr>
        <w:t xml:space="preserve">A number of queries have been received from retailers regarding notification of new greenfield sites. There is an expectation that all retailers should be notified of the connection of a new site. The Code currently places the onus on the retailer to identify a site either by address, UMI or meter ID to obtain standing data. </w:t>
      </w:r>
    </w:p>
    <w:p w:rsidR="00D20652" w:rsidRPr="00D20652" w:rsidRDefault="00D20652" w:rsidP="00D20652">
      <w:pPr>
        <w:spacing w:before="120" w:after="120" w:line="240" w:lineRule="auto"/>
        <w:rPr>
          <w:rFonts w:ascii="Tahoma" w:hAnsi="Tahoma"/>
          <w:sz w:val="24"/>
          <w:lang w:val="en-AU" w:eastAsia="en-AU"/>
        </w:rPr>
      </w:pPr>
      <w:r w:rsidRPr="00D20652">
        <w:rPr>
          <w:rFonts w:ascii="Tahoma" w:hAnsi="Tahoma"/>
          <w:sz w:val="24"/>
          <w:lang w:val="en-AU" w:eastAsia="en-AU"/>
        </w:rPr>
        <w:t xml:space="preserve">Power and Water does not have a view on whether this should be incorporated in the Code and is just bringing it to the Commission’s attention. </w:t>
      </w:r>
    </w:p>
    <w:p w:rsidR="00D20652" w:rsidRPr="00D20652" w:rsidRDefault="0019190A" w:rsidP="00D20652">
      <w:pPr>
        <w:keepNext/>
        <w:numPr>
          <w:ilvl w:val="2"/>
          <w:numId w:val="0"/>
        </w:numPr>
        <w:tabs>
          <w:tab w:val="num" w:pos="720"/>
        </w:tabs>
        <w:spacing w:before="240" w:line="240" w:lineRule="auto"/>
        <w:ind w:left="720" w:hanging="720"/>
        <w:outlineLvl w:val="2"/>
        <w:rPr>
          <w:rFonts w:ascii="Tahoma" w:hAnsi="Tahoma"/>
          <w:b/>
          <w:i/>
          <w:sz w:val="20"/>
          <w:lang w:val="en-AU" w:eastAsia="en-AU"/>
        </w:rPr>
      </w:pPr>
      <w:r>
        <w:rPr>
          <w:rFonts w:ascii="Tahoma" w:hAnsi="Tahoma"/>
          <w:b/>
          <w:i/>
          <w:sz w:val="20"/>
          <w:lang w:val="en-AU" w:eastAsia="en-AU"/>
        </w:rPr>
        <w:t>2.5.2</w:t>
      </w:r>
      <w:r>
        <w:rPr>
          <w:rFonts w:ascii="Tahoma" w:hAnsi="Tahoma"/>
          <w:b/>
          <w:i/>
          <w:sz w:val="20"/>
          <w:lang w:val="en-AU" w:eastAsia="en-AU"/>
        </w:rPr>
        <w:tab/>
      </w:r>
      <w:r w:rsidR="00D20652" w:rsidRPr="00D20652">
        <w:rPr>
          <w:rFonts w:ascii="Tahoma" w:hAnsi="Tahoma"/>
          <w:b/>
          <w:i/>
          <w:sz w:val="20"/>
          <w:lang w:val="en-AU" w:eastAsia="en-AU"/>
        </w:rPr>
        <w:t xml:space="preserve">Clarity on the process for a non-Jacana retailer signing up a greenfield site. </w:t>
      </w:r>
    </w:p>
    <w:p w:rsidR="00D20652" w:rsidRPr="00D20652" w:rsidRDefault="00D20652" w:rsidP="00D20652">
      <w:pPr>
        <w:spacing w:before="120" w:after="120" w:line="240" w:lineRule="auto"/>
        <w:rPr>
          <w:rFonts w:ascii="Tahoma" w:hAnsi="Tahoma"/>
          <w:sz w:val="24"/>
          <w:lang w:val="en-AU" w:eastAsia="en-AU"/>
        </w:rPr>
      </w:pPr>
      <w:r w:rsidRPr="00D20652">
        <w:rPr>
          <w:rFonts w:ascii="Tahoma" w:hAnsi="Tahoma"/>
          <w:sz w:val="24"/>
          <w:lang w:val="en-AU" w:eastAsia="en-AU"/>
        </w:rPr>
        <w:t xml:space="preserve">There has been some confusion regarding the application of section 8 of the Code to greenfield sites. There doesn’t appear to be any requirement under the Code to submit a transfer request or any form of notification when a retailer other than Jacana signs a customer prior to that customer’s connection to the network. This gap could also be interpreted to mean that </w:t>
      </w:r>
      <w:r w:rsidRPr="00D20652">
        <w:rPr>
          <w:rFonts w:ascii="Tahoma" w:hAnsi="Tahoma"/>
          <w:sz w:val="24"/>
          <w:lang w:val="en-AU" w:eastAsia="en-AU"/>
        </w:rPr>
        <w:lastRenderedPageBreak/>
        <w:t xml:space="preserve">there is no opportunity for a site to sign up initially with their nominated retailer. </w:t>
      </w:r>
    </w:p>
    <w:p w:rsidR="00D20652" w:rsidRPr="00D20652" w:rsidRDefault="00D20652" w:rsidP="00D20652">
      <w:pPr>
        <w:spacing w:before="120" w:after="120" w:line="240" w:lineRule="auto"/>
        <w:rPr>
          <w:rFonts w:ascii="Tahoma" w:hAnsi="Tahoma"/>
          <w:sz w:val="24"/>
          <w:lang w:val="en-AU" w:eastAsia="en-AU"/>
        </w:rPr>
      </w:pPr>
      <w:r w:rsidRPr="00D20652">
        <w:rPr>
          <w:rFonts w:ascii="Tahoma" w:hAnsi="Tahoma"/>
          <w:sz w:val="24"/>
          <w:lang w:val="en-AU" w:eastAsia="en-AU"/>
        </w:rPr>
        <w:t xml:space="preserve">If it is the intention to allow greenfield sites to sign up with their nominated retailer (other than Jacana), it would appear appropriate for the Code to specify requirements for the connections process and notification by retailers. </w:t>
      </w:r>
    </w:p>
    <w:p w:rsidR="00D20652" w:rsidRPr="00D20652" w:rsidRDefault="00D20652" w:rsidP="00D20652">
      <w:pPr>
        <w:spacing w:before="120" w:after="120" w:line="240" w:lineRule="auto"/>
        <w:rPr>
          <w:rFonts w:ascii="Tahoma" w:hAnsi="Tahoma"/>
          <w:sz w:val="24"/>
          <w:lang w:val="en-AU" w:eastAsia="en-AU"/>
        </w:rPr>
      </w:pPr>
      <w:r w:rsidRPr="00D20652">
        <w:rPr>
          <w:rFonts w:ascii="Tahoma" w:hAnsi="Tahoma"/>
          <w:sz w:val="24"/>
          <w:lang w:val="en-AU" w:eastAsia="en-AU"/>
        </w:rPr>
        <w:t xml:space="preserve">This issue extends to new customers at an existing site. Section 8 specifies that all transfer must occur at midnight on the last calendar day of a month. Should a customer purchase an existing site and wish to sign up with their nominated retailer, can this occur midmonth? The Code is silent on this and further clarification is required. </w:t>
      </w:r>
    </w:p>
    <w:p w:rsidR="00D20652" w:rsidRPr="00D20652" w:rsidRDefault="0019190A" w:rsidP="00D20652">
      <w:pPr>
        <w:keepNext/>
        <w:numPr>
          <w:ilvl w:val="1"/>
          <w:numId w:val="0"/>
        </w:numPr>
        <w:tabs>
          <w:tab w:val="num" w:pos="576"/>
        </w:tabs>
        <w:spacing w:before="240" w:line="240" w:lineRule="auto"/>
        <w:ind w:left="576" w:hanging="576"/>
        <w:outlineLvl w:val="1"/>
        <w:rPr>
          <w:rFonts w:ascii="Tahoma" w:hAnsi="Tahoma"/>
          <w:b/>
          <w:lang w:val="en-AU" w:eastAsia="en-AU"/>
        </w:rPr>
      </w:pPr>
      <w:r>
        <w:rPr>
          <w:rFonts w:ascii="Tahoma" w:hAnsi="Tahoma"/>
          <w:b/>
          <w:lang w:val="en-AU" w:eastAsia="en-AU"/>
        </w:rPr>
        <w:t>2.6</w:t>
      </w:r>
      <w:r>
        <w:rPr>
          <w:rFonts w:ascii="Tahoma" w:hAnsi="Tahoma"/>
          <w:b/>
          <w:lang w:val="en-AU" w:eastAsia="en-AU"/>
        </w:rPr>
        <w:tab/>
      </w:r>
      <w:r w:rsidR="00D20652" w:rsidRPr="00D20652">
        <w:rPr>
          <w:rFonts w:ascii="Tahoma" w:hAnsi="Tahoma"/>
          <w:b/>
          <w:lang w:val="en-AU" w:eastAsia="en-AU"/>
        </w:rPr>
        <w:t>Requirement for interval metering</w:t>
      </w:r>
    </w:p>
    <w:p w:rsidR="00D20652" w:rsidRPr="00D20652" w:rsidRDefault="00D20652" w:rsidP="00D20652">
      <w:pPr>
        <w:spacing w:before="120" w:after="120" w:line="240" w:lineRule="auto"/>
        <w:rPr>
          <w:rFonts w:ascii="Tahoma" w:hAnsi="Tahoma"/>
          <w:sz w:val="24"/>
          <w:lang w:val="en-AU" w:eastAsia="en-AU"/>
        </w:rPr>
      </w:pPr>
      <w:r w:rsidRPr="00D20652">
        <w:rPr>
          <w:rFonts w:ascii="Tahoma" w:hAnsi="Tahoma"/>
          <w:sz w:val="24"/>
          <w:lang w:val="en-AU" w:eastAsia="en-AU"/>
        </w:rPr>
        <w:t xml:space="preserve">Section 5 of the Code outlines the requirement for an interval meter to transfer a customer. There has been some confusion regarding this requirement and the definition of an interval meter. Power and Water seek to have the Code amended to clearly outline the requirement for a remotely communications enabled interval meter to transfer a customer. </w:t>
      </w:r>
    </w:p>
    <w:p w:rsidR="00D20652" w:rsidRPr="00D20652" w:rsidRDefault="00D20652" w:rsidP="00D20652">
      <w:pPr>
        <w:spacing w:before="120" w:after="120" w:line="240" w:lineRule="auto"/>
        <w:rPr>
          <w:rFonts w:ascii="Tahoma" w:hAnsi="Tahoma"/>
          <w:sz w:val="24"/>
          <w:lang w:val="en-AU" w:eastAsia="en-AU"/>
        </w:rPr>
      </w:pPr>
      <w:r w:rsidRPr="00D20652">
        <w:rPr>
          <w:rFonts w:ascii="Tahoma" w:hAnsi="Tahoma"/>
          <w:sz w:val="24"/>
          <w:lang w:val="en-AU" w:eastAsia="en-AU"/>
        </w:rPr>
        <w:t xml:space="preserve">Currently the network provider treats all non-communications enabled interval meters as accumulation meters and as such only records manual accumulation reads. The costs associated with remote communications enabling existing interval meters should be covered by the requesting retailer as they are above the standard control level of service. </w:t>
      </w:r>
    </w:p>
    <w:p w:rsidR="00D20652" w:rsidRPr="00D20652" w:rsidRDefault="00D20652" w:rsidP="00D20652">
      <w:pPr>
        <w:spacing w:before="120" w:after="120" w:line="240" w:lineRule="auto"/>
        <w:rPr>
          <w:rFonts w:ascii="Tahoma" w:hAnsi="Tahoma"/>
          <w:sz w:val="24"/>
          <w:lang w:val="en-AU" w:eastAsia="en-AU"/>
        </w:rPr>
      </w:pPr>
      <w:r w:rsidRPr="00D20652">
        <w:rPr>
          <w:rFonts w:ascii="Tahoma" w:hAnsi="Tahoma"/>
          <w:sz w:val="24"/>
          <w:lang w:val="en-AU" w:eastAsia="en-AU"/>
        </w:rPr>
        <w:t xml:space="preserve">Should a transfer occur with a meter that is not enabled for remote communications, the network provider would be unable to obtain the required interval data within the timeframes required for the Market Operator (ie within two business days of the end of the settlement period) or provide retail billing meter data. </w:t>
      </w:r>
    </w:p>
    <w:p w:rsidR="00D20652" w:rsidRPr="00D20652" w:rsidRDefault="0019190A" w:rsidP="00D20652">
      <w:pPr>
        <w:keepNext/>
        <w:numPr>
          <w:ilvl w:val="1"/>
          <w:numId w:val="0"/>
        </w:numPr>
        <w:tabs>
          <w:tab w:val="num" w:pos="576"/>
        </w:tabs>
        <w:spacing w:before="240" w:line="240" w:lineRule="auto"/>
        <w:ind w:left="576" w:hanging="576"/>
        <w:outlineLvl w:val="1"/>
        <w:rPr>
          <w:rFonts w:ascii="Tahoma" w:hAnsi="Tahoma"/>
          <w:b/>
          <w:lang w:val="en-AU" w:eastAsia="en-AU"/>
        </w:rPr>
      </w:pPr>
      <w:r>
        <w:rPr>
          <w:rFonts w:ascii="Tahoma" w:hAnsi="Tahoma"/>
          <w:b/>
          <w:lang w:val="en-AU" w:eastAsia="en-AU"/>
        </w:rPr>
        <w:t>2.7</w:t>
      </w:r>
      <w:r>
        <w:rPr>
          <w:rFonts w:ascii="Tahoma" w:hAnsi="Tahoma"/>
          <w:b/>
          <w:lang w:val="en-AU" w:eastAsia="en-AU"/>
        </w:rPr>
        <w:tab/>
      </w:r>
      <w:r w:rsidR="00D20652" w:rsidRPr="00D20652">
        <w:rPr>
          <w:rFonts w:ascii="Tahoma" w:hAnsi="Tahoma"/>
          <w:b/>
          <w:lang w:val="en-AU" w:eastAsia="en-AU"/>
        </w:rPr>
        <w:t xml:space="preserve">NMI Allocation Procedure </w:t>
      </w:r>
    </w:p>
    <w:p w:rsidR="00D20652" w:rsidRPr="00D20652" w:rsidRDefault="00D20652" w:rsidP="00D20652">
      <w:pPr>
        <w:spacing w:before="120" w:after="120" w:line="240" w:lineRule="auto"/>
        <w:rPr>
          <w:rFonts w:ascii="Tahoma" w:hAnsi="Tahoma"/>
          <w:sz w:val="24"/>
          <w:lang w:val="en-AU" w:eastAsia="en-AU"/>
        </w:rPr>
      </w:pPr>
      <w:r w:rsidRPr="00D20652">
        <w:rPr>
          <w:rFonts w:ascii="Tahoma" w:hAnsi="Tahoma"/>
          <w:sz w:val="24"/>
          <w:lang w:val="en-AU" w:eastAsia="en-AU"/>
        </w:rPr>
        <w:t xml:space="preserve">The Market Operator has established a National Meter Identifier Allocation Procedure which is currently available for public consultation. It would appear appropriate that the Code reference this procedure and provide the Market Operator authority to publish and determine the methodology. </w:t>
      </w:r>
    </w:p>
    <w:p w:rsidR="00D20652" w:rsidRPr="00D20652" w:rsidRDefault="00D20652" w:rsidP="00D20652">
      <w:pPr>
        <w:spacing w:before="120" w:after="120" w:line="240" w:lineRule="auto"/>
        <w:rPr>
          <w:rFonts w:ascii="Tahoma" w:hAnsi="Tahoma"/>
          <w:sz w:val="24"/>
          <w:lang w:val="en-AU" w:eastAsia="en-AU"/>
        </w:rPr>
      </w:pPr>
      <w:r w:rsidRPr="00D20652">
        <w:rPr>
          <w:rFonts w:ascii="Tahoma" w:hAnsi="Tahoma"/>
          <w:sz w:val="24"/>
          <w:lang w:val="en-AU" w:eastAsia="en-AU"/>
        </w:rPr>
        <w:t>To ensure a smooth transition to the use of NMIs, Power and Water recommend that the Code be amended to require the publication of the NMI on retail customer bills within 3 months of the completion of the formal transition from unique meter identifiers (UMI) to NMIs by the Market Operator.</w:t>
      </w:r>
    </w:p>
    <w:p w:rsidR="00D20652" w:rsidRPr="00D20652" w:rsidRDefault="0019190A" w:rsidP="00D20652">
      <w:pPr>
        <w:keepNext/>
        <w:numPr>
          <w:ilvl w:val="1"/>
          <w:numId w:val="0"/>
        </w:numPr>
        <w:tabs>
          <w:tab w:val="num" w:pos="576"/>
        </w:tabs>
        <w:spacing w:before="240" w:line="240" w:lineRule="auto"/>
        <w:ind w:left="576" w:hanging="576"/>
        <w:outlineLvl w:val="1"/>
        <w:rPr>
          <w:rFonts w:ascii="Tahoma" w:hAnsi="Tahoma"/>
          <w:b/>
          <w:lang w:val="en-AU" w:eastAsia="en-AU"/>
        </w:rPr>
      </w:pPr>
      <w:r>
        <w:rPr>
          <w:rFonts w:ascii="Tahoma" w:hAnsi="Tahoma"/>
          <w:b/>
          <w:lang w:val="en-AU" w:eastAsia="en-AU"/>
        </w:rPr>
        <w:t>2.8</w:t>
      </w:r>
      <w:r>
        <w:rPr>
          <w:rFonts w:ascii="Tahoma" w:hAnsi="Tahoma"/>
          <w:b/>
          <w:lang w:val="en-AU" w:eastAsia="en-AU"/>
        </w:rPr>
        <w:tab/>
      </w:r>
      <w:r w:rsidR="00D20652" w:rsidRPr="00D20652">
        <w:rPr>
          <w:rFonts w:ascii="Tahoma" w:hAnsi="Tahoma"/>
          <w:b/>
          <w:lang w:val="en-AU" w:eastAsia="en-AU"/>
        </w:rPr>
        <w:t>Removal of requirement for the Commission’s approval of charges</w:t>
      </w:r>
    </w:p>
    <w:p w:rsidR="00D20652" w:rsidRPr="00D20652" w:rsidRDefault="00D20652" w:rsidP="00D20652">
      <w:pPr>
        <w:spacing w:before="120" w:after="120" w:line="240" w:lineRule="auto"/>
        <w:rPr>
          <w:rFonts w:ascii="Tahoma" w:hAnsi="Tahoma"/>
          <w:sz w:val="24"/>
          <w:lang w:val="en-AU" w:eastAsia="en-AU"/>
        </w:rPr>
      </w:pPr>
      <w:r w:rsidRPr="00D20652">
        <w:rPr>
          <w:rFonts w:ascii="Tahoma" w:hAnsi="Tahoma"/>
          <w:sz w:val="24"/>
          <w:lang w:val="en-AU" w:eastAsia="en-AU"/>
        </w:rPr>
        <w:t xml:space="preserve">Clauses 6.3.7, 7.1.5 (b) and 7.1.6 of the Code require the Commission’s approval of Alternative Control Service (ACS) charges. It appears that the inclusion of this requirement in the Code was a result of the Commission’s historical role in approving ACS charges under the Network Price </w:t>
      </w:r>
      <w:r w:rsidRPr="00D20652">
        <w:rPr>
          <w:rFonts w:ascii="Tahoma" w:hAnsi="Tahoma"/>
          <w:sz w:val="24"/>
          <w:lang w:val="en-AU" w:eastAsia="en-AU"/>
        </w:rPr>
        <w:lastRenderedPageBreak/>
        <w:t xml:space="preserve">Determination. With the removal of this requirement Power and Water recommend that these clauses also be removed from the Code. </w:t>
      </w:r>
    </w:p>
    <w:p w:rsidR="00D20652" w:rsidRPr="00D20652" w:rsidRDefault="0019190A" w:rsidP="00D20652">
      <w:pPr>
        <w:keepNext/>
        <w:numPr>
          <w:ilvl w:val="1"/>
          <w:numId w:val="0"/>
        </w:numPr>
        <w:tabs>
          <w:tab w:val="num" w:pos="576"/>
        </w:tabs>
        <w:spacing w:before="240" w:line="240" w:lineRule="auto"/>
        <w:ind w:left="576" w:hanging="576"/>
        <w:outlineLvl w:val="1"/>
        <w:rPr>
          <w:rFonts w:ascii="Tahoma" w:hAnsi="Tahoma"/>
          <w:b/>
          <w:lang w:val="en-AU" w:eastAsia="en-AU"/>
        </w:rPr>
      </w:pPr>
      <w:r>
        <w:rPr>
          <w:rFonts w:ascii="Tahoma" w:hAnsi="Tahoma"/>
          <w:b/>
          <w:lang w:val="en-AU" w:eastAsia="en-AU"/>
        </w:rPr>
        <w:t>2.9</w:t>
      </w:r>
      <w:r>
        <w:rPr>
          <w:rFonts w:ascii="Tahoma" w:hAnsi="Tahoma"/>
          <w:b/>
          <w:lang w:val="en-AU" w:eastAsia="en-AU"/>
        </w:rPr>
        <w:tab/>
      </w:r>
      <w:r w:rsidR="00D20652" w:rsidRPr="00D20652">
        <w:rPr>
          <w:rFonts w:ascii="Tahoma" w:hAnsi="Tahoma"/>
          <w:b/>
          <w:lang w:val="en-AU" w:eastAsia="en-AU"/>
        </w:rPr>
        <w:t>Customer Transfer Notification Timeframes</w:t>
      </w:r>
    </w:p>
    <w:p w:rsidR="00D20652" w:rsidRPr="00D20652" w:rsidRDefault="00D20652" w:rsidP="00D20652">
      <w:pPr>
        <w:spacing w:before="120" w:after="120" w:line="240" w:lineRule="auto"/>
        <w:rPr>
          <w:rFonts w:ascii="Tahoma" w:hAnsi="Tahoma"/>
          <w:sz w:val="24"/>
          <w:lang w:val="en-AU" w:eastAsia="en-AU"/>
        </w:rPr>
      </w:pPr>
      <w:r w:rsidRPr="00D20652">
        <w:rPr>
          <w:rFonts w:ascii="Tahoma" w:hAnsi="Tahoma"/>
          <w:sz w:val="24"/>
          <w:lang w:val="en-AU" w:eastAsia="en-AU"/>
        </w:rPr>
        <w:t xml:space="preserve">Clause 8.2.9 (b) of the Code outlines the submission timeframes for customer transfer request forms prior to the end of the month. Currently these are 10 business days for urban areas and 15 business days for non-urban areas. Concern regarding the length of timeframes has been raised by a number of retailers, who wish to see a reduction in the requirements. </w:t>
      </w:r>
    </w:p>
    <w:p w:rsidR="00D20652" w:rsidRPr="00D20652" w:rsidRDefault="00D20652" w:rsidP="00D20652">
      <w:pPr>
        <w:spacing w:before="120" w:after="120" w:line="240" w:lineRule="auto"/>
        <w:rPr>
          <w:rFonts w:ascii="Tahoma" w:hAnsi="Tahoma"/>
          <w:sz w:val="24"/>
          <w:lang w:val="en-AU" w:eastAsia="en-AU"/>
        </w:rPr>
      </w:pPr>
      <w:r w:rsidRPr="00D20652">
        <w:rPr>
          <w:rFonts w:ascii="Tahoma" w:hAnsi="Tahoma"/>
          <w:sz w:val="24"/>
          <w:lang w:val="en-AU" w:eastAsia="en-AU"/>
        </w:rPr>
        <w:t xml:space="preserve">These timeframes are currently in excess of Power and Water’s processing requirements and could be reduced to 5 business days prior to month end for both categories should no other requirements be introduced to the transfer process. </w:t>
      </w:r>
    </w:p>
    <w:p w:rsidR="00D20652" w:rsidRPr="00D20652" w:rsidRDefault="0019190A" w:rsidP="00D20652">
      <w:pPr>
        <w:keepNext/>
        <w:tabs>
          <w:tab w:val="num" w:pos="432"/>
        </w:tabs>
        <w:spacing w:before="240" w:line="240" w:lineRule="auto"/>
        <w:ind w:left="432" w:hanging="432"/>
        <w:outlineLvl w:val="0"/>
        <w:rPr>
          <w:rFonts w:ascii="Tahoma" w:hAnsi="Tahoma"/>
          <w:b/>
          <w:kern w:val="32"/>
          <w:lang w:val="en-AU" w:eastAsia="en-AU"/>
        </w:rPr>
      </w:pPr>
      <w:r>
        <w:rPr>
          <w:rFonts w:ascii="Tahoma" w:hAnsi="Tahoma"/>
          <w:b/>
          <w:kern w:val="32"/>
          <w:lang w:val="en-AU" w:eastAsia="en-AU"/>
        </w:rPr>
        <w:t>3</w:t>
      </w:r>
      <w:r>
        <w:rPr>
          <w:rFonts w:ascii="Tahoma" w:hAnsi="Tahoma"/>
          <w:b/>
          <w:kern w:val="32"/>
          <w:lang w:val="en-AU" w:eastAsia="en-AU"/>
        </w:rPr>
        <w:tab/>
      </w:r>
      <w:r w:rsidR="00D20652" w:rsidRPr="00D20652">
        <w:rPr>
          <w:rFonts w:ascii="Tahoma" w:hAnsi="Tahoma"/>
          <w:b/>
          <w:kern w:val="32"/>
          <w:lang w:val="en-AU" w:eastAsia="en-AU"/>
        </w:rPr>
        <w:t>CONCLUSION</w:t>
      </w:r>
    </w:p>
    <w:p w:rsidR="00D20652" w:rsidRPr="00D20652" w:rsidRDefault="00D20652" w:rsidP="00D20652">
      <w:pPr>
        <w:spacing w:before="120" w:after="120" w:line="240" w:lineRule="auto"/>
        <w:rPr>
          <w:rFonts w:ascii="Tahoma" w:hAnsi="Tahoma"/>
          <w:sz w:val="24"/>
          <w:lang w:val="en-AU" w:eastAsia="en-AU"/>
        </w:rPr>
      </w:pPr>
      <w:r w:rsidRPr="00D20652">
        <w:rPr>
          <w:rFonts w:ascii="Tahoma" w:hAnsi="Tahoma"/>
          <w:sz w:val="24"/>
          <w:lang w:val="en-AU" w:eastAsia="en-AU"/>
        </w:rPr>
        <w:t xml:space="preserve">Power and Water acknowledge that this submission does not address all amendments and that further changes will be required as the wholesale market and regulatory reform programs progress. However, Power and Water believe that the issues raised in this submission require addressing in the short term and cannot be delayed until the completion of the reform program. </w:t>
      </w:r>
    </w:p>
    <w:p w:rsidR="00D20652" w:rsidRPr="00D20652" w:rsidRDefault="00D20652" w:rsidP="00D20652">
      <w:pPr>
        <w:spacing w:before="120" w:after="120" w:line="240" w:lineRule="auto"/>
        <w:rPr>
          <w:rFonts w:ascii="Tahoma" w:hAnsi="Tahoma"/>
          <w:sz w:val="24"/>
          <w:lang w:val="en-AU" w:eastAsia="en-AU"/>
        </w:rPr>
      </w:pPr>
      <w:r w:rsidRPr="00D20652">
        <w:rPr>
          <w:rFonts w:ascii="Tahoma" w:hAnsi="Tahoma"/>
          <w:sz w:val="24"/>
          <w:lang w:val="en-AU" w:eastAsia="en-AU"/>
        </w:rPr>
        <w:t xml:space="preserve">Power and Water seeks the Commission’s consideration of the above issues and will provide further background and details as required to facilitate a review of the Code. </w:t>
      </w:r>
    </w:p>
    <w:p w:rsidR="00EA2083" w:rsidRPr="00EA2083" w:rsidRDefault="00EA2083" w:rsidP="00D034CA"/>
    <w:sectPr w:rsidR="00EA2083" w:rsidRPr="00EA2083" w:rsidSect="00CE0866">
      <w:headerReference w:type="default" r:id="rId21"/>
      <w:footerReference w:type="default" r:id="rId22"/>
      <w:pgSz w:w="11906" w:h="16838"/>
      <w:pgMar w:top="1440" w:right="1800" w:bottom="1440" w:left="180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15A9" w:rsidRDefault="005D15A9">
      <w:r>
        <w:separator/>
      </w:r>
    </w:p>
    <w:p w:rsidR="005D15A9" w:rsidRDefault="005D15A9"/>
  </w:endnote>
  <w:endnote w:type="continuationSeparator" w:id="0">
    <w:p w:rsidR="005D15A9" w:rsidRDefault="005D15A9">
      <w:r>
        <w:continuationSeparator/>
      </w:r>
    </w:p>
    <w:p w:rsidR="005D15A9" w:rsidRDefault="005D15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6F66" w:rsidRPr="00EA0992" w:rsidRDefault="00F56F66" w:rsidP="00EA0992">
    <w:pPr>
      <w:pStyle w:val="Footer"/>
      <w:pBdr>
        <w:top w:val="single" w:sz="4" w:space="1" w:color="auto"/>
      </w:pBdr>
      <w:tabs>
        <w:tab w:val="clear" w:pos="4320"/>
        <w:tab w:val="clear" w:pos="8640"/>
        <w:tab w:val="right" w:pos="8505"/>
      </w:tabs>
      <w:rPr>
        <w:rFonts w:cs="Arial"/>
        <w:szCs w:val="18"/>
      </w:rPr>
    </w:pPr>
    <w:r w:rsidRPr="00EA0992">
      <w:rPr>
        <w:rFonts w:cs="Arial"/>
        <w:szCs w:val="18"/>
      </w:rPr>
      <w:fldChar w:fldCharType="begin"/>
    </w:r>
    <w:r w:rsidRPr="00EA0992">
      <w:rPr>
        <w:rFonts w:cs="Arial"/>
        <w:szCs w:val="18"/>
      </w:rPr>
      <w:instrText xml:space="preserve"> FILENAME </w:instrText>
    </w:r>
    <w:r w:rsidRPr="00EA0992">
      <w:rPr>
        <w:rFonts w:cs="Arial"/>
        <w:szCs w:val="18"/>
      </w:rPr>
      <w:fldChar w:fldCharType="separate"/>
    </w:r>
    <w:r>
      <w:rPr>
        <w:rFonts w:cs="Arial"/>
        <w:noProof/>
        <w:szCs w:val="18"/>
      </w:rPr>
      <w:t>BB edits_Application to Amend the ERS Code - Consultation Paper (Final Draft)</w:t>
    </w:r>
    <w:r w:rsidRPr="00EA0992">
      <w:rPr>
        <w:rFonts w:cs="Arial"/>
        <w:szCs w:val="18"/>
      </w:rPr>
      <w:fldChar w:fldCharType="end"/>
    </w:r>
    <w:r w:rsidRPr="00EA0992">
      <w:rPr>
        <w:rFonts w:cs="Arial"/>
        <w:szCs w:val="18"/>
      </w:rPr>
      <w:tab/>
    </w:r>
    <w:r w:rsidRPr="00EA0992">
      <w:rPr>
        <w:rFonts w:cs="Arial"/>
        <w:szCs w:val="18"/>
      </w:rPr>
      <w:fldChar w:fldCharType="begin"/>
    </w:r>
    <w:r w:rsidRPr="00EA0992">
      <w:rPr>
        <w:rFonts w:cs="Arial"/>
        <w:szCs w:val="18"/>
      </w:rPr>
      <w:instrText xml:space="preserve"> DATE  \@ "MMMM yyyy" </w:instrText>
    </w:r>
    <w:r w:rsidRPr="00EA0992">
      <w:rPr>
        <w:rFonts w:cs="Arial"/>
        <w:szCs w:val="18"/>
      </w:rPr>
      <w:fldChar w:fldCharType="separate"/>
    </w:r>
    <w:r w:rsidR="0013464F">
      <w:rPr>
        <w:rFonts w:cs="Arial"/>
        <w:noProof/>
        <w:szCs w:val="18"/>
      </w:rPr>
      <w:t>July 2016</w:t>
    </w:r>
    <w:r w:rsidRPr="00EA0992">
      <w:rPr>
        <w:rFonts w:cs="Arial"/>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page" w:horzAnchor="page" w:tblpXSpec="center" w:tblpY="14176"/>
      <w:tblOverlap w:val="never"/>
      <w:tblW w:w="8640" w:type="dxa"/>
      <w:tblCellMar>
        <w:left w:w="86" w:type="dxa"/>
        <w:right w:w="86" w:type="dxa"/>
      </w:tblCellMar>
      <w:tblLook w:val="0000" w:firstRow="0" w:lastRow="0" w:firstColumn="0" w:lastColumn="0" w:noHBand="0" w:noVBand="0"/>
    </w:tblPr>
    <w:tblGrid>
      <w:gridCol w:w="3234"/>
      <w:gridCol w:w="5406"/>
    </w:tblGrid>
    <w:tr w:rsidR="00F56F66" w:rsidRPr="00CD0BDF" w:rsidTr="00E630D5">
      <w:trPr>
        <w:trHeight w:val="848"/>
      </w:trPr>
      <w:tc>
        <w:tcPr>
          <w:tcW w:w="3234" w:type="dxa"/>
          <w:vAlign w:val="center"/>
        </w:tcPr>
        <w:p w:rsidR="00F56F66" w:rsidRPr="00CD0BDF" w:rsidRDefault="00F56F66" w:rsidP="00E630D5">
          <w:pPr>
            <w:pStyle w:val="CompanyInformation"/>
            <w:rPr>
              <w:rFonts w:cs="Arial"/>
            </w:rPr>
          </w:pPr>
          <w:r>
            <w:rPr>
              <w:rFonts w:cs="Arial"/>
              <w:noProof/>
              <w:lang w:val="en-AU" w:eastAsia="en-AU"/>
            </w:rPr>
            <w:drawing>
              <wp:inline distT="0" distB="0" distL="0" distR="0" wp14:anchorId="11932CFB" wp14:editId="56314EC2">
                <wp:extent cx="1943100" cy="1028700"/>
                <wp:effectExtent l="0" t="0" r="0" b="0"/>
                <wp:docPr id="11" name="Picture 11" descr="UC_recoloured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C_recoloured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1028700"/>
                        </a:xfrm>
                        <a:prstGeom prst="rect">
                          <a:avLst/>
                        </a:prstGeom>
                        <a:noFill/>
                        <a:ln>
                          <a:noFill/>
                        </a:ln>
                      </pic:spPr>
                    </pic:pic>
                  </a:graphicData>
                </a:graphic>
              </wp:inline>
            </w:drawing>
          </w:r>
        </w:p>
      </w:tc>
      <w:tc>
        <w:tcPr>
          <w:tcW w:w="5406" w:type="dxa"/>
          <w:vAlign w:val="bottom"/>
        </w:tcPr>
        <w:p w:rsidR="00F56F66" w:rsidRPr="00BD2B44" w:rsidRDefault="00F56F66" w:rsidP="00E630D5">
          <w:pPr>
            <w:pStyle w:val="UtilComHeaderInfo"/>
          </w:pPr>
          <w:r>
            <w:t>19 The Mall</w:t>
          </w:r>
          <w:r w:rsidRPr="00BD2B44">
            <w:t xml:space="preserve"> DARWIN NT 0800</w:t>
          </w:r>
        </w:p>
        <w:p w:rsidR="00F56F66" w:rsidRDefault="00F56F66" w:rsidP="00E630D5">
          <w:pPr>
            <w:pStyle w:val="UtilComHeaderInfo"/>
          </w:pPr>
          <w:r w:rsidRPr="00DB50C0">
            <w:t xml:space="preserve">Postal Address </w:t>
          </w:r>
          <w:r>
            <w:t xml:space="preserve">GPO Box 915 </w:t>
          </w:r>
          <w:r w:rsidRPr="00BD2B44">
            <w:t>DARWIN NT 0801</w:t>
          </w:r>
        </w:p>
        <w:p w:rsidR="00F56F66" w:rsidRPr="00EA20C9" w:rsidRDefault="00F56F66" w:rsidP="00E630D5">
          <w:pPr>
            <w:pStyle w:val="UtilComHeaderInfo"/>
            <w:rPr>
              <w:lang w:val="fr-FR"/>
            </w:rPr>
          </w:pPr>
          <w:r w:rsidRPr="00EA20C9">
            <w:rPr>
              <w:lang w:val="fr-FR"/>
            </w:rPr>
            <w:t>Email: utilities.commission@nt.gov.au</w:t>
          </w:r>
        </w:p>
        <w:p w:rsidR="00F56F66" w:rsidRPr="00CD0BDF" w:rsidRDefault="00F56F66" w:rsidP="00E630D5">
          <w:pPr>
            <w:pStyle w:val="UtilComHeaderInfo"/>
            <w:rPr>
              <w:rFonts w:cs="Arial"/>
            </w:rPr>
          </w:pPr>
          <w:r>
            <w:t xml:space="preserve">Website: </w:t>
          </w:r>
          <w:r w:rsidRPr="00CD0BDF">
            <w:t>www.utilicom.nt.gov.au</w:t>
          </w:r>
        </w:p>
      </w:tc>
    </w:tr>
  </w:tbl>
  <w:p w:rsidR="00F56F66" w:rsidRDefault="00F56F66" w:rsidP="003C101A">
    <w:pPr>
      <w:pStyle w:val="Footer"/>
      <w:pBdr>
        <w:top w:val="single" w:sz="4" w:space="1" w:color="99CCFF"/>
      </w:pBdr>
      <w:spacing w:line="280" w:lineRule="atLea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6F66" w:rsidRPr="00F02DC6" w:rsidRDefault="00F56F66" w:rsidP="00B67063">
    <w:pPr>
      <w:pStyle w:val="Footer"/>
      <w:pBdr>
        <w:top w:val="single" w:sz="4" w:space="1" w:color="99CCFF"/>
      </w:pBdr>
      <w:tabs>
        <w:tab w:val="clear" w:pos="4320"/>
        <w:tab w:val="clear" w:pos="8640"/>
        <w:tab w:val="right" w:pos="9072"/>
      </w:tabs>
      <w:spacing w:line="280" w:lineRule="exact"/>
      <w:rPr>
        <w:rFonts w:cs="Arial"/>
        <w:szCs w:val="18"/>
      </w:rPr>
    </w:pPr>
    <w:r>
      <w:t>Application to Amend the Electricity Retail Supply Code – Consultation Paper</w:t>
    </w:r>
    <w:r w:rsidRPr="00EA0992">
      <w:rPr>
        <w:rFonts w:cs="Arial"/>
        <w:szCs w:val="18"/>
      </w:rPr>
      <w:tab/>
    </w:r>
    <w:r w:rsidRPr="00EA0992">
      <w:rPr>
        <w:rFonts w:cs="Arial"/>
        <w:szCs w:val="18"/>
      </w:rPr>
      <w:fldChar w:fldCharType="begin"/>
    </w:r>
    <w:r w:rsidRPr="00EA0992">
      <w:rPr>
        <w:rFonts w:cs="Arial"/>
        <w:szCs w:val="18"/>
      </w:rPr>
      <w:instrText xml:space="preserve"> DATE  \@ "MMMM yyyy" </w:instrText>
    </w:r>
    <w:r w:rsidRPr="00EA0992">
      <w:rPr>
        <w:rFonts w:cs="Arial"/>
        <w:szCs w:val="18"/>
      </w:rPr>
      <w:fldChar w:fldCharType="separate"/>
    </w:r>
    <w:r w:rsidR="0013464F">
      <w:rPr>
        <w:rFonts w:cs="Arial"/>
        <w:noProof/>
        <w:szCs w:val="18"/>
      </w:rPr>
      <w:t>July 2016</w:t>
    </w:r>
    <w:r w:rsidRPr="00EA0992">
      <w:rPr>
        <w:rFonts w:cs="Arial"/>
        <w:szCs w:val="1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27DD" w:rsidRDefault="00316EEA">
    <w:pPr>
      <w:pStyle w:val="Footer"/>
    </w:pPr>
    <w:r>
      <w:t>Proposed Review of the Electricity Retail Supply Code</w:t>
    </w:r>
    <w:r>
      <w:tab/>
    </w:r>
    <w:r>
      <w:rPr>
        <w:snapToGrid w:val="0"/>
      </w:rPr>
      <w:t xml:space="preserve">Page </w:t>
    </w:r>
    <w:r>
      <w:rPr>
        <w:snapToGrid w:val="0"/>
      </w:rPr>
      <w:fldChar w:fldCharType="begin"/>
    </w:r>
    <w:r>
      <w:rPr>
        <w:snapToGrid w:val="0"/>
      </w:rPr>
      <w:instrText xml:space="preserve"> PAGE </w:instrText>
    </w:r>
    <w:r>
      <w:rPr>
        <w:snapToGrid w:val="0"/>
      </w:rPr>
      <w:fldChar w:fldCharType="separate"/>
    </w:r>
    <w:r w:rsidR="0013464F">
      <w:rPr>
        <w:noProof/>
        <w:snapToGrid w:val="0"/>
      </w:rPr>
      <w:t>6</w:t>
    </w:r>
    <w:r>
      <w:rPr>
        <w:snapToGrid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15A9" w:rsidRDefault="005D15A9" w:rsidP="00975540">
      <w:pPr>
        <w:spacing w:before="0" w:after="0" w:line="240" w:lineRule="auto"/>
      </w:pPr>
    </w:p>
  </w:footnote>
  <w:footnote w:type="continuationSeparator" w:id="0">
    <w:p w:rsidR="005D15A9" w:rsidRDefault="005D15A9">
      <w:r>
        <w:continuationSeparator/>
      </w:r>
    </w:p>
    <w:p w:rsidR="005D15A9" w:rsidRDefault="005D15A9"/>
  </w:footnote>
  <w:footnote w:id="1">
    <w:p w:rsidR="00F56F66" w:rsidRPr="0020796F" w:rsidRDefault="00F56F66" w:rsidP="00FC17CC">
      <w:pPr>
        <w:pStyle w:val="FootnoteText"/>
        <w:spacing w:before="0" w:after="0" w:line="240" w:lineRule="auto"/>
        <w:ind w:left="284" w:hanging="284"/>
        <w:rPr>
          <w:lang w:val="en-AU"/>
        </w:rPr>
      </w:pPr>
      <w:r>
        <w:rPr>
          <w:rStyle w:val="FootnoteReference"/>
        </w:rPr>
        <w:footnoteRef/>
      </w:r>
      <w:r>
        <w:t xml:space="preserve"> </w:t>
      </w:r>
      <w:r>
        <w:tab/>
      </w:r>
      <w:r w:rsidRPr="00C64446">
        <w:rPr>
          <w:sz w:val="18"/>
          <w:lang w:val="en-AU"/>
        </w:rPr>
        <w:t xml:space="preserve">S 24 </w:t>
      </w:r>
      <w:r w:rsidRPr="00C64446">
        <w:rPr>
          <w:i/>
          <w:sz w:val="18"/>
          <w:lang w:val="en-AU"/>
        </w:rPr>
        <w:t>Utilities Commission Act</w:t>
      </w:r>
      <w:r w:rsidRPr="00C64446">
        <w:rPr>
          <w:sz w:val="18"/>
          <w:lang w:val="en-AU"/>
        </w:rPr>
        <w:t>.</w:t>
      </w:r>
    </w:p>
  </w:footnote>
  <w:footnote w:id="2">
    <w:p w:rsidR="00F56F66" w:rsidRPr="00B34A64" w:rsidRDefault="00F56F66" w:rsidP="00FC17CC">
      <w:pPr>
        <w:pStyle w:val="FootnoteText"/>
        <w:spacing w:before="0" w:after="0" w:line="240" w:lineRule="auto"/>
        <w:ind w:left="284" w:hanging="284"/>
        <w:rPr>
          <w:lang w:val="en-AU"/>
        </w:rPr>
      </w:pPr>
      <w:r>
        <w:rPr>
          <w:rStyle w:val="FootnoteReference"/>
        </w:rPr>
        <w:footnoteRef/>
      </w:r>
      <w:r>
        <w:t xml:space="preserve"> </w:t>
      </w:r>
      <w:r>
        <w:tab/>
      </w:r>
      <w:r w:rsidRPr="00C64446">
        <w:rPr>
          <w:sz w:val="18"/>
          <w:lang w:val="en-AU"/>
        </w:rPr>
        <w:t>Ibid.</w:t>
      </w:r>
    </w:p>
  </w:footnote>
  <w:footnote w:id="3">
    <w:p w:rsidR="00F56F66" w:rsidRPr="00B34A64" w:rsidRDefault="00F56F66" w:rsidP="00FC17CC">
      <w:pPr>
        <w:pStyle w:val="FootnoteText"/>
        <w:spacing w:before="0" w:after="0" w:line="240" w:lineRule="auto"/>
        <w:ind w:left="284" w:hanging="284"/>
        <w:rPr>
          <w:lang w:val="en-AU"/>
        </w:rPr>
      </w:pPr>
      <w:r>
        <w:rPr>
          <w:rStyle w:val="FootnoteReference"/>
        </w:rPr>
        <w:footnoteRef/>
      </w:r>
      <w:r>
        <w:t xml:space="preserve"> </w:t>
      </w:r>
      <w:r>
        <w:tab/>
      </w:r>
      <w:r w:rsidRPr="00C64446">
        <w:rPr>
          <w:sz w:val="18"/>
          <w:lang w:val="en-AU"/>
        </w:rPr>
        <w:t>Utilities Commission, Electricity Retail Supply Code Consultation Paper, July 2011, page 1.</w:t>
      </w:r>
    </w:p>
  </w:footnote>
  <w:footnote w:id="4">
    <w:p w:rsidR="00F56F66" w:rsidRPr="00DF580B" w:rsidRDefault="00F56F66" w:rsidP="00FC17CC">
      <w:pPr>
        <w:pStyle w:val="FootnoteText"/>
        <w:spacing w:before="0" w:after="0" w:line="240" w:lineRule="auto"/>
        <w:ind w:left="284" w:hanging="284"/>
        <w:rPr>
          <w:lang w:val="en-AU"/>
        </w:rPr>
      </w:pPr>
      <w:r>
        <w:rPr>
          <w:rStyle w:val="FootnoteReference"/>
        </w:rPr>
        <w:footnoteRef/>
      </w:r>
      <w:r>
        <w:t xml:space="preserve"> </w:t>
      </w:r>
      <w:r>
        <w:tab/>
      </w:r>
      <w:r w:rsidRPr="00C64446">
        <w:rPr>
          <w:sz w:val="18"/>
          <w:lang w:val="en-AU"/>
        </w:rPr>
        <w:t xml:space="preserve">An electricity entity may make a request for the Commission to vary or revoke parts of the Code under clause 2.2.1 of the </w:t>
      </w:r>
      <w:r w:rsidRPr="00140575">
        <w:rPr>
          <w:sz w:val="18"/>
          <w:lang w:val="en-AU"/>
        </w:rPr>
        <w:t>Code.</w:t>
      </w:r>
    </w:p>
  </w:footnote>
  <w:footnote w:id="5">
    <w:p w:rsidR="00F56F66" w:rsidRPr="00AA258F" w:rsidRDefault="00F56F66" w:rsidP="00A9660C">
      <w:pPr>
        <w:pStyle w:val="FootnoteText"/>
        <w:spacing w:before="0" w:after="0" w:line="240" w:lineRule="auto"/>
        <w:ind w:left="284" w:hanging="284"/>
        <w:rPr>
          <w:lang w:val="en-AU"/>
        </w:rPr>
      </w:pPr>
      <w:r>
        <w:rPr>
          <w:rStyle w:val="FootnoteReference"/>
        </w:rPr>
        <w:footnoteRef/>
      </w:r>
      <w:r>
        <w:t xml:space="preserve"> </w:t>
      </w:r>
      <w:r>
        <w:tab/>
      </w:r>
      <w:r>
        <w:rPr>
          <w:sz w:val="18"/>
          <w:lang w:val="en-AU"/>
        </w:rPr>
        <w:t xml:space="preserve">Section </w:t>
      </w:r>
      <w:r w:rsidRPr="00C64446">
        <w:rPr>
          <w:sz w:val="18"/>
          <w:lang w:val="en-AU"/>
        </w:rPr>
        <w:t xml:space="preserve">24(9) </w:t>
      </w:r>
      <w:r w:rsidRPr="00C64446">
        <w:rPr>
          <w:i/>
          <w:sz w:val="18"/>
          <w:lang w:val="en-AU"/>
        </w:rPr>
        <w:t>Utilities Commission Act</w:t>
      </w:r>
      <w:r w:rsidRPr="00C64446">
        <w:rPr>
          <w:sz w:val="18"/>
          <w:lang w:val="en-AU"/>
        </w:rPr>
        <w:t>.</w:t>
      </w:r>
    </w:p>
  </w:footnote>
  <w:footnote w:id="6">
    <w:p w:rsidR="00F56F66" w:rsidRPr="005837AB" w:rsidRDefault="00F56F66" w:rsidP="00FC17CC">
      <w:pPr>
        <w:pStyle w:val="FootnoteText"/>
        <w:spacing w:before="0" w:after="0" w:line="240" w:lineRule="auto"/>
        <w:ind w:left="284" w:hanging="284"/>
        <w:rPr>
          <w:lang w:val="en-AU"/>
        </w:rPr>
      </w:pPr>
      <w:r>
        <w:rPr>
          <w:rStyle w:val="FootnoteReference"/>
        </w:rPr>
        <w:footnoteRef/>
      </w:r>
      <w:r>
        <w:t xml:space="preserve"> </w:t>
      </w:r>
      <w:r>
        <w:tab/>
      </w:r>
      <w:r w:rsidRPr="001242B5">
        <w:rPr>
          <w:sz w:val="18"/>
          <w:lang w:val="en-AU"/>
        </w:rPr>
        <w:t xml:space="preserve">A public version </w:t>
      </w:r>
      <w:r>
        <w:rPr>
          <w:sz w:val="18"/>
          <w:lang w:val="en-AU"/>
        </w:rPr>
        <w:t>of PWC</w:t>
      </w:r>
      <w:r w:rsidRPr="00C64446">
        <w:rPr>
          <w:sz w:val="18"/>
          <w:lang w:val="en-AU"/>
        </w:rPr>
        <w:t>’s request</w:t>
      </w:r>
      <w:r>
        <w:rPr>
          <w:sz w:val="18"/>
          <w:lang w:val="en-AU"/>
        </w:rPr>
        <w:t xml:space="preserve"> </w:t>
      </w:r>
      <w:r w:rsidRPr="00C64446">
        <w:rPr>
          <w:sz w:val="18"/>
          <w:lang w:val="en-AU"/>
        </w:rPr>
        <w:t>is found in Appendix A and is discussed in Chapter 2 of this Consultation</w:t>
      </w:r>
      <w:r>
        <w:rPr>
          <w:sz w:val="18"/>
          <w:lang w:val="en-AU"/>
        </w:rPr>
        <w:t> </w:t>
      </w:r>
      <w:r w:rsidRPr="00C64446">
        <w:rPr>
          <w:sz w:val="18"/>
          <w:lang w:val="en-AU"/>
        </w:rPr>
        <w:t>Paper.</w:t>
      </w:r>
    </w:p>
  </w:footnote>
  <w:footnote w:id="7">
    <w:p w:rsidR="00F56F66" w:rsidRPr="00BD7A41" w:rsidRDefault="00F56F66" w:rsidP="003700CC">
      <w:pPr>
        <w:pStyle w:val="CommentText"/>
        <w:tabs>
          <w:tab w:val="left" w:pos="426"/>
        </w:tabs>
        <w:spacing w:before="0" w:after="0" w:line="240" w:lineRule="auto"/>
        <w:ind w:left="426" w:hanging="426"/>
      </w:pPr>
      <w:r>
        <w:rPr>
          <w:rStyle w:val="FootnoteReference"/>
        </w:rPr>
        <w:footnoteRef/>
      </w:r>
      <w:r>
        <w:t xml:space="preserve"> </w:t>
      </w:r>
      <w:r>
        <w:tab/>
      </w:r>
      <w:r w:rsidRPr="00BD7A41">
        <w:rPr>
          <w:sz w:val="18"/>
        </w:rPr>
        <w:t>Customers using &gt;4GWh were contestable from 1 April 2000, 3-4GWh from 1 October 2000 and 2-3GWh from 1 April 2001</w:t>
      </w:r>
      <w:r>
        <w:rPr>
          <w:sz w:val="18"/>
        </w:rPr>
        <w:t xml:space="preserve">. </w:t>
      </w:r>
    </w:p>
  </w:footnote>
  <w:footnote w:id="8">
    <w:p w:rsidR="00F56F66" w:rsidRPr="009E1F4E" w:rsidRDefault="00F56F66" w:rsidP="00975540">
      <w:pPr>
        <w:pStyle w:val="FootnoteText"/>
        <w:tabs>
          <w:tab w:val="left" w:pos="284"/>
          <w:tab w:val="left" w:pos="426"/>
        </w:tabs>
        <w:spacing w:before="0" w:after="0" w:line="240" w:lineRule="auto"/>
        <w:rPr>
          <w:lang w:val="en-AU"/>
        </w:rPr>
      </w:pPr>
      <w:r>
        <w:rPr>
          <w:rStyle w:val="FootnoteReference"/>
        </w:rPr>
        <w:footnoteRef/>
      </w:r>
      <w:r>
        <w:t xml:space="preserve"> </w:t>
      </w:r>
      <w:r>
        <w:tab/>
      </w:r>
      <w:r>
        <w:tab/>
      </w:r>
      <w:r w:rsidRPr="00C64446">
        <w:rPr>
          <w:sz w:val="18"/>
          <w:lang w:val="en-AU"/>
        </w:rPr>
        <w:t>Section 5(2)</w:t>
      </w:r>
      <w:r>
        <w:rPr>
          <w:sz w:val="18"/>
          <w:lang w:val="en-AU"/>
        </w:rPr>
        <w:t>,</w:t>
      </w:r>
      <w:r w:rsidRPr="00C64446">
        <w:rPr>
          <w:sz w:val="18"/>
          <w:lang w:val="en-AU"/>
        </w:rPr>
        <w:t xml:space="preserve"> </w:t>
      </w:r>
      <w:r w:rsidRPr="00C64446">
        <w:rPr>
          <w:i/>
          <w:sz w:val="18"/>
          <w:lang w:val="en-AU"/>
        </w:rPr>
        <w:t>Utilities Commission Act</w:t>
      </w:r>
      <w:r w:rsidRPr="00C64446">
        <w:rPr>
          <w:sz w:val="18"/>
          <w:lang w:val="en-AU"/>
        </w:rPr>
        <w:t>.</w:t>
      </w:r>
    </w:p>
  </w:footnote>
  <w:footnote w:id="9">
    <w:p w:rsidR="00F56F66" w:rsidRPr="00B8607B" w:rsidRDefault="00F56F66" w:rsidP="00975540">
      <w:pPr>
        <w:pStyle w:val="FootnoteText"/>
        <w:tabs>
          <w:tab w:val="left" w:pos="426"/>
        </w:tabs>
        <w:spacing w:before="0" w:after="0" w:line="240" w:lineRule="auto"/>
      </w:pPr>
      <w:r>
        <w:rPr>
          <w:rStyle w:val="FootnoteReference"/>
        </w:rPr>
        <w:footnoteRef/>
      </w:r>
      <w:r>
        <w:t xml:space="preserve"> </w:t>
      </w:r>
      <w:r>
        <w:tab/>
      </w:r>
      <w:r w:rsidRPr="00B8607B">
        <w:rPr>
          <w:sz w:val="18"/>
          <w:szCs w:val="18"/>
        </w:rPr>
        <w:t>National Electricity Rules, Rule 7.2</w:t>
      </w:r>
      <w:r>
        <w:t xml:space="preserve"> </w:t>
      </w:r>
    </w:p>
  </w:footnote>
  <w:footnote w:id="10">
    <w:p w:rsidR="00F56F66" w:rsidRPr="00B8607B" w:rsidRDefault="00F56F66" w:rsidP="00975540">
      <w:pPr>
        <w:pStyle w:val="FootnoteText"/>
        <w:tabs>
          <w:tab w:val="left" w:pos="426"/>
        </w:tabs>
        <w:spacing w:before="0" w:after="0" w:line="240" w:lineRule="auto"/>
      </w:pPr>
      <w:r>
        <w:rPr>
          <w:rStyle w:val="FootnoteReference"/>
        </w:rPr>
        <w:footnoteRef/>
      </w:r>
      <w:r>
        <w:t xml:space="preserve"> </w:t>
      </w:r>
      <w:r>
        <w:tab/>
      </w:r>
      <w:r w:rsidRPr="00B8607B">
        <w:rPr>
          <w:sz w:val="18"/>
          <w:szCs w:val="18"/>
        </w:rPr>
        <w:t>National Electricity Rules, Rule 7.5A.3 NMI Standing Data</w:t>
      </w:r>
      <w:r>
        <w:t xml:space="preserve"> </w:t>
      </w:r>
    </w:p>
  </w:footnote>
  <w:footnote w:id="11">
    <w:p w:rsidR="00F56F66" w:rsidRPr="00ED0398" w:rsidRDefault="00F56F66" w:rsidP="00975540">
      <w:pPr>
        <w:pStyle w:val="FootnoteText"/>
        <w:tabs>
          <w:tab w:val="left" w:pos="426"/>
        </w:tabs>
        <w:spacing w:before="0" w:after="0" w:line="240" w:lineRule="auto"/>
        <w:ind w:left="426" w:hanging="426"/>
        <w:rPr>
          <w:lang w:val="en-AU"/>
        </w:rPr>
      </w:pPr>
      <w:r>
        <w:rPr>
          <w:rStyle w:val="FootnoteReference"/>
        </w:rPr>
        <w:footnoteRef/>
      </w:r>
      <w:r>
        <w:t xml:space="preserve"> </w:t>
      </w:r>
      <w:r>
        <w:tab/>
      </w:r>
      <w:r w:rsidRPr="009021E8">
        <w:rPr>
          <w:sz w:val="18"/>
          <w:szCs w:val="18"/>
        </w:rPr>
        <w:t xml:space="preserve">National Meter </w:t>
      </w:r>
      <w:r>
        <w:rPr>
          <w:sz w:val="18"/>
          <w:szCs w:val="18"/>
        </w:rPr>
        <w:t>Identifier Allocation P</w:t>
      </w:r>
      <w:r w:rsidRPr="009021E8">
        <w:rPr>
          <w:sz w:val="18"/>
          <w:szCs w:val="18"/>
        </w:rPr>
        <w:t>rocedure, Power and Water Corporation April 2016: https://www.powerwater.com.au/networks_and_infrastructure/market_operator/MarketOperatorConsultationPapers</w:t>
      </w:r>
    </w:p>
  </w:footnote>
  <w:footnote w:id="12">
    <w:p w:rsidR="00F56F66" w:rsidRPr="00AE3444" w:rsidRDefault="00F56F66" w:rsidP="00CE0866">
      <w:pPr>
        <w:pStyle w:val="FootnoteText"/>
        <w:tabs>
          <w:tab w:val="left" w:pos="426"/>
        </w:tabs>
        <w:spacing w:before="0" w:after="0" w:line="240" w:lineRule="auto"/>
        <w:ind w:left="426" w:hanging="426"/>
        <w:rPr>
          <w:lang w:val="en-AU"/>
        </w:rPr>
      </w:pPr>
      <w:r>
        <w:rPr>
          <w:rStyle w:val="FootnoteReference"/>
        </w:rPr>
        <w:footnoteRef/>
      </w:r>
      <w:r>
        <w:t xml:space="preserve"> </w:t>
      </w:r>
      <w:r w:rsidR="00AE1CC7">
        <w:tab/>
      </w:r>
      <w:r w:rsidRPr="00AE3444">
        <w:rPr>
          <w:sz w:val="18"/>
          <w:szCs w:val="18"/>
        </w:rPr>
        <w:t xml:space="preserve">Guide to MSATS Web Portal, April 2013, AEMO - </w:t>
      </w:r>
      <w:hyperlink r:id="rId1" w:history="1">
        <w:r w:rsidRPr="00F24847">
          <w:rPr>
            <w:rStyle w:val="Hyperlink"/>
            <w:color w:val="000000" w:themeColor="text1"/>
            <w:sz w:val="18"/>
            <w:szCs w:val="18"/>
            <w:u w:val="none"/>
          </w:rPr>
          <w:t>http://www.aemo.com.au/Electricity/Policies-and-Procedures/Market-Settlement-and-Transfer-Solutions/MSATS-Participant-User-Interface-Guides</w:t>
        </w:r>
      </w:hyperlink>
      <w:r w:rsidRPr="00F24847">
        <w:rPr>
          <w:color w:val="000000" w:themeColor="text1"/>
        </w:rPr>
        <w:t xml:space="preserve"> </w:t>
      </w:r>
    </w:p>
  </w:footnote>
  <w:footnote w:id="13">
    <w:p w:rsidR="00F56F66" w:rsidRPr="00141212" w:rsidRDefault="00F56F66" w:rsidP="00975540">
      <w:pPr>
        <w:pStyle w:val="FootnoteText"/>
        <w:tabs>
          <w:tab w:val="left" w:pos="426"/>
        </w:tabs>
        <w:spacing w:before="0" w:after="0" w:line="240" w:lineRule="auto"/>
        <w:ind w:left="426" w:hanging="426"/>
        <w:rPr>
          <w:lang w:val="en-AU"/>
        </w:rPr>
      </w:pPr>
      <w:r>
        <w:rPr>
          <w:rStyle w:val="FootnoteReference"/>
        </w:rPr>
        <w:footnoteRef/>
      </w:r>
      <w:r>
        <w:t xml:space="preserve"> </w:t>
      </w:r>
      <w:r>
        <w:tab/>
      </w:r>
      <w:r w:rsidRPr="00F24847">
        <w:rPr>
          <w:color w:val="000000" w:themeColor="text1"/>
          <w:sz w:val="18"/>
          <w:szCs w:val="18"/>
        </w:rPr>
        <w:t xml:space="preserve">National Meter Identifier Allocation Procedure, Power and Water Corporation, April 2016 </w:t>
      </w:r>
      <w:hyperlink r:id="rId2" w:history="1">
        <w:r w:rsidRPr="00F24847">
          <w:rPr>
            <w:rStyle w:val="Hyperlink"/>
            <w:color w:val="000000" w:themeColor="text1"/>
            <w:sz w:val="18"/>
            <w:szCs w:val="18"/>
            <w:u w:val="none"/>
          </w:rPr>
          <w:t>https://www.powerwater.com.au/networks_and_infrastructure/market_operator/MarketOperatorConsultationPapers</w:t>
        </w:r>
      </w:hyperlink>
      <w:r w:rsidRPr="00F24847">
        <w:rPr>
          <w:color w:val="000000" w:themeColor="text1"/>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6F66" w:rsidRDefault="00F56F66" w:rsidP="00EA0992">
    <w:pPr>
      <w:pStyle w:val="Header"/>
      <w:pBdr>
        <w:bottom w:val="single" w:sz="4" w:space="1" w:color="auto"/>
      </w:pBdr>
      <w:jc w:val="center"/>
    </w:pPr>
    <w:r>
      <w:fldChar w:fldCharType="begin"/>
    </w:r>
    <w:r>
      <w:instrText xml:space="preserve"> PAGE </w:instrText>
    </w:r>
    <w:r>
      <w:fldChar w:fldCharType="separate"/>
    </w:r>
    <w:r>
      <w:rPr>
        <w:noProof/>
      </w:rPr>
      <w:t>ii</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6F66" w:rsidRPr="00404679" w:rsidRDefault="00F56F66" w:rsidP="00404679">
    <w:pPr>
      <w:pBdr>
        <w:bottom w:val="single" w:sz="4" w:space="1" w:color="99CCFF"/>
      </w:pBdr>
      <w:jc w:val="center"/>
      <w:rPr>
        <w:sz w:val="18"/>
        <w:szCs w:val="18"/>
      </w:rPr>
    </w:pPr>
    <w:r w:rsidRPr="003C101A">
      <w:rPr>
        <w:sz w:val="18"/>
        <w:szCs w:val="18"/>
      </w:rPr>
      <w:fldChar w:fldCharType="begin"/>
    </w:r>
    <w:r w:rsidRPr="003C101A">
      <w:rPr>
        <w:sz w:val="18"/>
        <w:szCs w:val="18"/>
      </w:rPr>
      <w:instrText xml:space="preserve"> PAGE </w:instrText>
    </w:r>
    <w:r w:rsidRPr="003C101A">
      <w:rPr>
        <w:sz w:val="18"/>
        <w:szCs w:val="18"/>
      </w:rPr>
      <w:fldChar w:fldCharType="separate"/>
    </w:r>
    <w:r w:rsidR="0013464F">
      <w:rPr>
        <w:noProof/>
        <w:sz w:val="18"/>
        <w:szCs w:val="18"/>
      </w:rPr>
      <w:t>16</w:t>
    </w:r>
    <w:r w:rsidRPr="003C101A">
      <w:rPr>
        <w:sz w:val="18"/>
        <w:szCs w:val="18"/>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6F66" w:rsidRDefault="00F56F66">
    <w:pPr>
      <w:pStyle w:val="Header"/>
      <w:jc w:val="center"/>
    </w:pPr>
  </w:p>
  <w:p w:rsidR="00F56F66" w:rsidRPr="003C101A" w:rsidRDefault="00F56F66" w:rsidP="003C101A">
    <w:pPr>
      <w:pStyle w:val="Header"/>
      <w:pBdr>
        <w:bottom w:val="single" w:sz="4" w:space="1" w:color="99CCFF"/>
      </w:pBdr>
      <w:rPr>
        <w:sz w:val="18"/>
        <w:szCs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6F66" w:rsidRDefault="00F56F66"/>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6F66" w:rsidRPr="00404679" w:rsidRDefault="00F56F66" w:rsidP="00404679">
    <w:pPr>
      <w:pBdr>
        <w:bottom w:val="single" w:sz="4" w:space="1" w:color="99CCFF"/>
      </w:pBdr>
      <w:jc w:val="center"/>
      <w:rPr>
        <w:sz w:val="18"/>
        <w:szCs w:val="18"/>
      </w:rPr>
    </w:pPr>
    <w:r w:rsidRPr="003C101A">
      <w:rPr>
        <w:sz w:val="18"/>
        <w:szCs w:val="18"/>
      </w:rPr>
      <w:fldChar w:fldCharType="begin"/>
    </w:r>
    <w:r w:rsidRPr="003C101A">
      <w:rPr>
        <w:sz w:val="18"/>
        <w:szCs w:val="18"/>
      </w:rPr>
      <w:instrText xml:space="preserve"> PAGE </w:instrText>
    </w:r>
    <w:r w:rsidRPr="003C101A">
      <w:rPr>
        <w:sz w:val="18"/>
        <w:szCs w:val="18"/>
      </w:rPr>
      <w:fldChar w:fldCharType="separate"/>
    </w:r>
    <w:r w:rsidR="0013464F">
      <w:rPr>
        <w:noProof/>
        <w:sz w:val="18"/>
        <w:szCs w:val="18"/>
      </w:rPr>
      <w:t>17</w:t>
    </w:r>
    <w:r w:rsidRPr="003C101A">
      <w:rPr>
        <w:sz w:val="18"/>
        <w:szCs w:val="18"/>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2558" w:rsidRDefault="0013464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C626B22"/>
    <w:lvl w:ilvl="0">
      <w:start w:val="1"/>
      <w:numFmt w:val="decimal"/>
      <w:lvlText w:val="%1."/>
      <w:lvlJc w:val="left"/>
      <w:pPr>
        <w:tabs>
          <w:tab w:val="num" w:pos="1492"/>
        </w:tabs>
        <w:ind w:left="1492" w:hanging="360"/>
      </w:pPr>
    </w:lvl>
  </w:abstractNum>
  <w:abstractNum w:abstractNumId="1">
    <w:nsid w:val="FFFFFF7D"/>
    <w:multiLevelType w:val="singleLevel"/>
    <w:tmpl w:val="A4804664"/>
    <w:lvl w:ilvl="0">
      <w:start w:val="1"/>
      <w:numFmt w:val="decimal"/>
      <w:lvlText w:val="%1."/>
      <w:lvlJc w:val="left"/>
      <w:pPr>
        <w:tabs>
          <w:tab w:val="num" w:pos="1209"/>
        </w:tabs>
        <w:ind w:left="1209" w:hanging="360"/>
      </w:pPr>
    </w:lvl>
  </w:abstractNum>
  <w:abstractNum w:abstractNumId="2">
    <w:nsid w:val="FFFFFF7E"/>
    <w:multiLevelType w:val="singleLevel"/>
    <w:tmpl w:val="7FE4D276"/>
    <w:lvl w:ilvl="0">
      <w:start w:val="1"/>
      <w:numFmt w:val="decimal"/>
      <w:lvlText w:val="%1."/>
      <w:lvlJc w:val="left"/>
      <w:pPr>
        <w:tabs>
          <w:tab w:val="num" w:pos="926"/>
        </w:tabs>
        <w:ind w:left="926" w:hanging="360"/>
      </w:pPr>
    </w:lvl>
  </w:abstractNum>
  <w:abstractNum w:abstractNumId="3">
    <w:nsid w:val="FFFFFF7F"/>
    <w:multiLevelType w:val="singleLevel"/>
    <w:tmpl w:val="B9DEECD0"/>
    <w:lvl w:ilvl="0">
      <w:start w:val="1"/>
      <w:numFmt w:val="decimal"/>
      <w:lvlText w:val="%1."/>
      <w:lvlJc w:val="left"/>
      <w:pPr>
        <w:tabs>
          <w:tab w:val="num" w:pos="643"/>
        </w:tabs>
        <w:ind w:left="643" w:hanging="360"/>
      </w:pPr>
    </w:lvl>
  </w:abstractNum>
  <w:abstractNum w:abstractNumId="4">
    <w:nsid w:val="FFFFFF80"/>
    <w:multiLevelType w:val="singleLevel"/>
    <w:tmpl w:val="E7DA2EC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696973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92822A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9E67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FEFEDAB4"/>
    <w:lvl w:ilvl="0">
      <w:start w:val="1"/>
      <w:numFmt w:val="decimal"/>
      <w:lvlText w:val="%1."/>
      <w:lvlJc w:val="left"/>
      <w:pPr>
        <w:tabs>
          <w:tab w:val="num" w:pos="360"/>
        </w:tabs>
        <w:ind w:left="360" w:hanging="360"/>
      </w:pPr>
    </w:lvl>
  </w:abstractNum>
  <w:abstractNum w:abstractNumId="9">
    <w:nsid w:val="FFFFFF89"/>
    <w:multiLevelType w:val="singleLevel"/>
    <w:tmpl w:val="59D0E100"/>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A698C5B2"/>
    <w:lvl w:ilvl="0">
      <w:numFmt w:val="decimal"/>
      <w:pStyle w:val="Caption"/>
      <w:lvlText w:val="*"/>
      <w:lvlJc w:val="left"/>
    </w:lvl>
  </w:abstractNum>
  <w:abstractNum w:abstractNumId="11">
    <w:nsid w:val="256F447D"/>
    <w:multiLevelType w:val="hybridMultilevel"/>
    <w:tmpl w:val="47D4FE5C"/>
    <w:lvl w:ilvl="0" w:tplc="0C090017">
      <w:start w:val="1"/>
      <w:numFmt w:val="lowerLetter"/>
      <w:lvlText w:val="%1)"/>
      <w:lvlJc w:val="left"/>
      <w:pPr>
        <w:ind w:left="936" w:hanging="360"/>
      </w:pPr>
    </w:lvl>
    <w:lvl w:ilvl="1" w:tplc="0C090019">
      <w:start w:val="1"/>
      <w:numFmt w:val="lowerLetter"/>
      <w:lvlText w:val="%2."/>
      <w:lvlJc w:val="left"/>
      <w:pPr>
        <w:ind w:left="1656" w:hanging="360"/>
      </w:pPr>
    </w:lvl>
    <w:lvl w:ilvl="2" w:tplc="0C09001B" w:tentative="1">
      <w:start w:val="1"/>
      <w:numFmt w:val="lowerRoman"/>
      <w:lvlText w:val="%3."/>
      <w:lvlJc w:val="right"/>
      <w:pPr>
        <w:ind w:left="2376" w:hanging="180"/>
      </w:pPr>
    </w:lvl>
    <w:lvl w:ilvl="3" w:tplc="0C09000F" w:tentative="1">
      <w:start w:val="1"/>
      <w:numFmt w:val="decimal"/>
      <w:lvlText w:val="%4."/>
      <w:lvlJc w:val="left"/>
      <w:pPr>
        <w:ind w:left="3096" w:hanging="360"/>
      </w:pPr>
    </w:lvl>
    <w:lvl w:ilvl="4" w:tplc="0C090019" w:tentative="1">
      <w:start w:val="1"/>
      <w:numFmt w:val="lowerLetter"/>
      <w:lvlText w:val="%5."/>
      <w:lvlJc w:val="left"/>
      <w:pPr>
        <w:ind w:left="3816" w:hanging="360"/>
      </w:pPr>
    </w:lvl>
    <w:lvl w:ilvl="5" w:tplc="0C09001B" w:tentative="1">
      <w:start w:val="1"/>
      <w:numFmt w:val="lowerRoman"/>
      <w:lvlText w:val="%6."/>
      <w:lvlJc w:val="right"/>
      <w:pPr>
        <w:ind w:left="4536" w:hanging="180"/>
      </w:pPr>
    </w:lvl>
    <w:lvl w:ilvl="6" w:tplc="0C09000F" w:tentative="1">
      <w:start w:val="1"/>
      <w:numFmt w:val="decimal"/>
      <w:lvlText w:val="%7."/>
      <w:lvlJc w:val="left"/>
      <w:pPr>
        <w:ind w:left="5256" w:hanging="360"/>
      </w:pPr>
    </w:lvl>
    <w:lvl w:ilvl="7" w:tplc="0C090019" w:tentative="1">
      <w:start w:val="1"/>
      <w:numFmt w:val="lowerLetter"/>
      <w:lvlText w:val="%8."/>
      <w:lvlJc w:val="left"/>
      <w:pPr>
        <w:ind w:left="5976" w:hanging="360"/>
      </w:pPr>
    </w:lvl>
    <w:lvl w:ilvl="8" w:tplc="0C09001B" w:tentative="1">
      <w:start w:val="1"/>
      <w:numFmt w:val="lowerRoman"/>
      <w:lvlText w:val="%9."/>
      <w:lvlJc w:val="right"/>
      <w:pPr>
        <w:ind w:left="6696" w:hanging="180"/>
      </w:pPr>
    </w:lvl>
  </w:abstractNum>
  <w:abstractNum w:abstractNumId="12">
    <w:nsid w:val="25E87DBC"/>
    <w:multiLevelType w:val="multilevel"/>
    <w:tmpl w:val="A2F6611E"/>
    <w:lvl w:ilvl="0">
      <w:start w:val="2"/>
      <w:numFmt w:val="decimal"/>
      <w:lvlText w:val="%1"/>
      <w:lvlJc w:val="left"/>
      <w:pPr>
        <w:tabs>
          <w:tab w:val="num" w:pos="450"/>
        </w:tabs>
        <w:ind w:left="450" w:hanging="450"/>
      </w:pPr>
      <w:rPr>
        <w:rFonts w:hint="default"/>
      </w:rPr>
    </w:lvl>
    <w:lvl w:ilvl="1">
      <w:start w:val="1"/>
      <w:numFmt w:val="decimal"/>
      <w:pStyle w:val="UtilComNumberItem2"/>
      <w:lvlText w:val="2.%2"/>
      <w:lvlJc w:val="left"/>
      <w:pPr>
        <w:tabs>
          <w:tab w:val="num" w:pos="690"/>
        </w:tabs>
        <w:ind w:left="690" w:hanging="450"/>
      </w:pPr>
      <w:rPr>
        <w:rFonts w:hint="default"/>
        <w:b w:val="0"/>
      </w:rPr>
    </w:lvl>
    <w:lvl w:ilvl="2">
      <w:start w:val="1"/>
      <w:numFmt w:val="decimal"/>
      <w:lvlText w:val="2.%2.%3"/>
      <w:lvlJc w:val="left"/>
      <w:pPr>
        <w:tabs>
          <w:tab w:val="num" w:pos="864"/>
        </w:tabs>
        <w:ind w:left="864" w:hanging="720"/>
      </w:pPr>
      <w:rPr>
        <w:rFonts w:hint="default"/>
      </w:rPr>
    </w:lvl>
    <w:lvl w:ilvl="3">
      <w:start w:val="1"/>
      <w:numFmt w:val="decimal"/>
      <w:lvlText w:val="%1.%2.%3.%4"/>
      <w:lvlJc w:val="left"/>
      <w:pPr>
        <w:tabs>
          <w:tab w:val="num" w:pos="936"/>
        </w:tabs>
        <w:ind w:left="936" w:hanging="720"/>
      </w:pPr>
      <w:rPr>
        <w:rFonts w:hint="default"/>
      </w:rPr>
    </w:lvl>
    <w:lvl w:ilvl="4">
      <w:start w:val="1"/>
      <w:numFmt w:val="decimal"/>
      <w:lvlText w:val="%1.%2.%3.%4.%5"/>
      <w:lvlJc w:val="left"/>
      <w:pPr>
        <w:tabs>
          <w:tab w:val="num" w:pos="1368"/>
        </w:tabs>
        <w:ind w:left="1368"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72"/>
        </w:tabs>
        <w:ind w:left="1872" w:hanging="1440"/>
      </w:pPr>
      <w:rPr>
        <w:rFonts w:hint="default"/>
      </w:rPr>
    </w:lvl>
    <w:lvl w:ilvl="7">
      <w:start w:val="1"/>
      <w:numFmt w:val="decimal"/>
      <w:lvlText w:val="%1.%2.%3.%4.%5.%6.%7.%8"/>
      <w:lvlJc w:val="left"/>
      <w:pPr>
        <w:tabs>
          <w:tab w:val="num" w:pos="1944"/>
        </w:tabs>
        <w:ind w:left="1944" w:hanging="1440"/>
      </w:pPr>
      <w:rPr>
        <w:rFonts w:hint="default"/>
      </w:rPr>
    </w:lvl>
    <w:lvl w:ilvl="8">
      <w:start w:val="1"/>
      <w:numFmt w:val="decimal"/>
      <w:lvlText w:val="%1.%2.%3.%4.%5.%6.%7.%8.%9"/>
      <w:lvlJc w:val="left"/>
      <w:pPr>
        <w:tabs>
          <w:tab w:val="num" w:pos="2016"/>
        </w:tabs>
        <w:ind w:left="2016" w:hanging="1440"/>
      </w:pPr>
      <w:rPr>
        <w:rFonts w:hint="default"/>
      </w:rPr>
    </w:lvl>
  </w:abstractNum>
  <w:abstractNum w:abstractNumId="13">
    <w:nsid w:val="35C63C8B"/>
    <w:multiLevelType w:val="multilevel"/>
    <w:tmpl w:val="DDA8F40E"/>
    <w:lvl w:ilvl="0">
      <w:start w:val="1"/>
      <w:numFmt w:val="decimal"/>
      <w:lvlText w:val="5.%1"/>
      <w:lvlJc w:val="left"/>
      <w:pPr>
        <w:tabs>
          <w:tab w:val="num" w:pos="2559"/>
        </w:tabs>
        <w:ind w:left="2559" w:hanging="432"/>
      </w:pPr>
      <w:rPr>
        <w:rFonts w:hint="default"/>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nsid w:val="37434017"/>
    <w:multiLevelType w:val="hybridMultilevel"/>
    <w:tmpl w:val="E4FEA99A"/>
    <w:lvl w:ilvl="0" w:tplc="869A47DE">
      <w:start w:val="1"/>
      <w:numFmt w:val="decimal"/>
      <w:lvlText w:val="3.%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399A17E4"/>
    <w:multiLevelType w:val="hybridMultilevel"/>
    <w:tmpl w:val="700E66A4"/>
    <w:lvl w:ilvl="0" w:tplc="F570775E">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41686883"/>
    <w:multiLevelType w:val="multilevel"/>
    <w:tmpl w:val="B9629EE2"/>
    <w:lvl w:ilvl="0">
      <w:start w:val="1"/>
      <w:numFmt w:val="bullet"/>
      <w:pStyle w:val="UtilComBulletText"/>
      <w:lvlText w:val=""/>
      <w:lvlJc w:val="left"/>
      <w:pPr>
        <w:tabs>
          <w:tab w:val="num" w:pos="964"/>
        </w:tabs>
        <w:ind w:left="964" w:hanging="397"/>
      </w:pPr>
      <w:rPr>
        <w:rFonts w:ascii="Symbol" w:hAnsi="Symbol" w:hint="default"/>
        <w:color w:val="auto"/>
      </w:rPr>
    </w:lvl>
    <w:lvl w:ilvl="1">
      <w:start w:val="1"/>
      <w:numFmt w:val="bullet"/>
      <w:lvlText w:val=""/>
      <w:lvlJc w:val="left"/>
      <w:pPr>
        <w:tabs>
          <w:tab w:val="num" w:pos="563"/>
        </w:tabs>
        <w:ind w:left="563" w:hanging="491"/>
      </w:pPr>
      <w:rPr>
        <w:rFonts w:ascii="Symbol" w:hAnsi="Symbol" w:hint="default"/>
        <w:color w:val="auto"/>
      </w:rPr>
    </w:lvl>
    <w:lvl w:ilvl="2">
      <w:start w:val="1"/>
      <w:numFmt w:val="decimal"/>
      <w:lvlText w:val="%1.%2.%3"/>
      <w:lvlJc w:val="left"/>
      <w:pPr>
        <w:tabs>
          <w:tab w:val="num" w:pos="864"/>
        </w:tabs>
        <w:ind w:left="864" w:hanging="720"/>
      </w:pPr>
      <w:rPr>
        <w:rFonts w:hint="default"/>
      </w:rPr>
    </w:lvl>
    <w:lvl w:ilvl="3">
      <w:start w:val="1"/>
      <w:numFmt w:val="decimal"/>
      <w:lvlText w:val="%1.%2.%3.%4"/>
      <w:lvlJc w:val="left"/>
      <w:pPr>
        <w:tabs>
          <w:tab w:val="num" w:pos="936"/>
        </w:tabs>
        <w:ind w:left="936" w:hanging="720"/>
      </w:pPr>
      <w:rPr>
        <w:rFonts w:hint="default"/>
      </w:rPr>
    </w:lvl>
    <w:lvl w:ilvl="4">
      <w:start w:val="1"/>
      <w:numFmt w:val="decimal"/>
      <w:lvlText w:val="%1.%2.%3.%4.%5"/>
      <w:lvlJc w:val="left"/>
      <w:pPr>
        <w:tabs>
          <w:tab w:val="num" w:pos="1368"/>
        </w:tabs>
        <w:ind w:left="1368"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72"/>
        </w:tabs>
        <w:ind w:left="1872" w:hanging="1440"/>
      </w:pPr>
      <w:rPr>
        <w:rFonts w:hint="default"/>
      </w:rPr>
    </w:lvl>
    <w:lvl w:ilvl="7">
      <w:start w:val="1"/>
      <w:numFmt w:val="decimal"/>
      <w:lvlText w:val="%1.%2.%3.%4.%5.%6.%7.%8"/>
      <w:lvlJc w:val="left"/>
      <w:pPr>
        <w:tabs>
          <w:tab w:val="num" w:pos="1944"/>
        </w:tabs>
        <w:ind w:left="1944" w:hanging="1440"/>
      </w:pPr>
      <w:rPr>
        <w:rFonts w:hint="default"/>
      </w:rPr>
    </w:lvl>
    <w:lvl w:ilvl="8">
      <w:start w:val="1"/>
      <w:numFmt w:val="decimal"/>
      <w:lvlText w:val="%1.%2.%3.%4.%5.%6.%7.%8.%9"/>
      <w:lvlJc w:val="left"/>
      <w:pPr>
        <w:tabs>
          <w:tab w:val="num" w:pos="2016"/>
        </w:tabs>
        <w:ind w:left="2016" w:hanging="1440"/>
      </w:pPr>
      <w:rPr>
        <w:rFonts w:hint="default"/>
      </w:rPr>
    </w:lvl>
  </w:abstractNum>
  <w:abstractNum w:abstractNumId="17">
    <w:nsid w:val="4BAE0F9A"/>
    <w:multiLevelType w:val="hybridMultilevel"/>
    <w:tmpl w:val="4CE0A166"/>
    <w:lvl w:ilvl="0" w:tplc="6AC8E17E">
      <w:start w:val="1"/>
      <w:numFmt w:val="decimal"/>
      <w:lvlText w:val="4.%1"/>
      <w:lvlJc w:val="left"/>
      <w:pPr>
        <w:ind w:left="502"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4E0B4648"/>
    <w:multiLevelType w:val="hybridMultilevel"/>
    <w:tmpl w:val="DC3EB2F0"/>
    <w:lvl w:ilvl="0" w:tplc="0C090001">
      <w:start w:val="1"/>
      <w:numFmt w:val="bullet"/>
      <w:lvlText w:val=""/>
      <w:lvlJc w:val="left"/>
      <w:pPr>
        <w:ind w:left="927" w:hanging="360"/>
      </w:pPr>
      <w:rPr>
        <w:rFonts w:ascii="Symbol" w:hAnsi="Symbol"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9">
    <w:nsid w:val="4E2809FC"/>
    <w:multiLevelType w:val="hybridMultilevel"/>
    <w:tmpl w:val="7B1C42D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nsid w:val="4FF06A0D"/>
    <w:multiLevelType w:val="hybridMultilevel"/>
    <w:tmpl w:val="639CB8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5AE834C7"/>
    <w:multiLevelType w:val="multilevel"/>
    <w:tmpl w:val="5F5EFDF4"/>
    <w:lvl w:ilvl="0">
      <w:start w:val="2"/>
      <w:numFmt w:val="none"/>
      <w:lvlText w:val=""/>
      <w:lvlJc w:val="left"/>
      <w:pPr>
        <w:tabs>
          <w:tab w:val="num" w:pos="450"/>
        </w:tabs>
        <w:ind w:left="450" w:hanging="450"/>
      </w:pPr>
      <w:rPr>
        <w:rFonts w:hint="default"/>
      </w:rPr>
    </w:lvl>
    <w:lvl w:ilvl="1">
      <w:start w:val="1"/>
      <w:numFmt w:val="decimal"/>
      <w:pStyle w:val="31UtilComNumber"/>
      <w:lvlText w:val="3.%2"/>
      <w:lvlJc w:val="left"/>
      <w:pPr>
        <w:tabs>
          <w:tab w:val="num" w:pos="690"/>
        </w:tabs>
        <w:ind w:left="690" w:hanging="450"/>
      </w:pPr>
      <w:rPr>
        <w:rFonts w:hint="default"/>
        <w:b w:val="0"/>
      </w:rPr>
    </w:lvl>
    <w:lvl w:ilvl="2">
      <w:start w:val="1"/>
      <w:numFmt w:val="decimal"/>
      <w:lvlText w:val="2.%2.%3"/>
      <w:lvlJc w:val="left"/>
      <w:pPr>
        <w:tabs>
          <w:tab w:val="num" w:pos="864"/>
        </w:tabs>
        <w:ind w:left="864" w:hanging="720"/>
      </w:pPr>
      <w:rPr>
        <w:rFonts w:hint="default"/>
      </w:rPr>
    </w:lvl>
    <w:lvl w:ilvl="3">
      <w:start w:val="1"/>
      <w:numFmt w:val="decimal"/>
      <w:lvlText w:val="%1.%2.%3.%4"/>
      <w:lvlJc w:val="left"/>
      <w:pPr>
        <w:tabs>
          <w:tab w:val="num" w:pos="936"/>
        </w:tabs>
        <w:ind w:left="936" w:hanging="720"/>
      </w:pPr>
      <w:rPr>
        <w:rFonts w:hint="default"/>
      </w:rPr>
    </w:lvl>
    <w:lvl w:ilvl="4">
      <w:start w:val="1"/>
      <w:numFmt w:val="decimal"/>
      <w:lvlText w:val="%1.%2.%3.%4.%5"/>
      <w:lvlJc w:val="left"/>
      <w:pPr>
        <w:tabs>
          <w:tab w:val="num" w:pos="1368"/>
        </w:tabs>
        <w:ind w:left="1368"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72"/>
        </w:tabs>
        <w:ind w:left="1872" w:hanging="1440"/>
      </w:pPr>
      <w:rPr>
        <w:rFonts w:hint="default"/>
      </w:rPr>
    </w:lvl>
    <w:lvl w:ilvl="7">
      <w:start w:val="1"/>
      <w:numFmt w:val="decimal"/>
      <w:lvlText w:val="%1.%2.%3.%4.%5.%6.%7.%8"/>
      <w:lvlJc w:val="left"/>
      <w:pPr>
        <w:tabs>
          <w:tab w:val="num" w:pos="1944"/>
        </w:tabs>
        <w:ind w:left="1944" w:hanging="1440"/>
      </w:pPr>
      <w:rPr>
        <w:rFonts w:hint="default"/>
      </w:rPr>
    </w:lvl>
    <w:lvl w:ilvl="8">
      <w:start w:val="1"/>
      <w:numFmt w:val="decimal"/>
      <w:lvlText w:val="%1.%2.%3.%4.%5.%6.%7.%8.%9"/>
      <w:lvlJc w:val="left"/>
      <w:pPr>
        <w:tabs>
          <w:tab w:val="num" w:pos="2016"/>
        </w:tabs>
        <w:ind w:left="2016" w:hanging="1440"/>
      </w:pPr>
      <w:rPr>
        <w:rFonts w:hint="default"/>
      </w:rPr>
    </w:lvl>
  </w:abstractNum>
  <w:abstractNum w:abstractNumId="22">
    <w:nsid w:val="5C46382E"/>
    <w:multiLevelType w:val="hybridMultilevel"/>
    <w:tmpl w:val="F092C2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5CC6651F"/>
    <w:multiLevelType w:val="multilevel"/>
    <w:tmpl w:val="815E7E88"/>
    <w:lvl w:ilvl="0">
      <w:start w:val="1"/>
      <w:numFmt w:val="decimal"/>
      <w:pStyle w:val="NumberLevel1"/>
      <w:lvlText w:val="Chapter %1"/>
      <w:lvlJc w:val="left"/>
      <w:pPr>
        <w:tabs>
          <w:tab w:val="num" w:pos="5961"/>
        </w:tabs>
        <w:ind w:left="5961" w:hanging="432"/>
      </w:pPr>
      <w:rPr>
        <w:rFonts w:hint="default"/>
        <w:color w:val="808080"/>
      </w:rPr>
    </w:lvl>
    <w:lvl w:ilvl="1">
      <w:start w:val="1"/>
      <w:numFmt w:val="decimal"/>
      <w:pStyle w:val="NumberLevel2"/>
      <w:lvlText w:val="%1.%2"/>
      <w:lvlJc w:val="left"/>
      <w:pPr>
        <w:tabs>
          <w:tab w:val="num" w:pos="576"/>
        </w:tabs>
        <w:ind w:left="576" w:hanging="576"/>
      </w:pPr>
      <w:rPr>
        <w:rFonts w:hint="default"/>
        <w:b w:val="0"/>
      </w:rPr>
    </w:lvl>
    <w:lvl w:ilvl="2">
      <w:start w:val="1"/>
      <w:numFmt w:val="decimal"/>
      <w:pStyle w:val="NumberLevel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nsid w:val="5DE43A1B"/>
    <w:multiLevelType w:val="hybridMultilevel"/>
    <w:tmpl w:val="CCC680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662F6073"/>
    <w:multiLevelType w:val="hybridMultilevel"/>
    <w:tmpl w:val="CBE83F8A"/>
    <w:lvl w:ilvl="0" w:tplc="F03853D6">
      <w:start w:val="1"/>
      <w:numFmt w:val="decimal"/>
      <w:lvlText w:val="2.%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6AAD2CAA"/>
    <w:multiLevelType w:val="hybridMultilevel"/>
    <w:tmpl w:val="6AE68480"/>
    <w:lvl w:ilvl="0" w:tplc="AA04DD3C">
      <w:start w:val="1"/>
      <w:numFmt w:val="decimal"/>
      <w:lvlText w:val="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nsid w:val="6DC85453"/>
    <w:multiLevelType w:val="hybridMultilevel"/>
    <w:tmpl w:val="6978B6F2"/>
    <w:lvl w:ilvl="0" w:tplc="A24A9DE4">
      <w:start w:val="1"/>
      <w:numFmt w:val="bullet"/>
      <w:pStyle w:val="BulletedLis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ED94817"/>
    <w:multiLevelType w:val="hybridMultilevel"/>
    <w:tmpl w:val="C40EED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72893F36"/>
    <w:multiLevelType w:val="multilevel"/>
    <w:tmpl w:val="1FB019F0"/>
    <w:lvl w:ilvl="0">
      <w:start w:val="4"/>
      <w:numFmt w:val="decimal"/>
      <w:lvlText w:val="%1.1"/>
      <w:lvlJc w:val="left"/>
      <w:pPr>
        <w:tabs>
          <w:tab w:val="num" w:pos="450"/>
        </w:tabs>
        <w:ind w:left="450" w:hanging="450"/>
      </w:pPr>
      <w:rPr>
        <w:rFonts w:hint="default"/>
      </w:rPr>
    </w:lvl>
    <w:lvl w:ilvl="1">
      <w:start w:val="1"/>
      <w:numFmt w:val="decimal"/>
      <w:pStyle w:val="UtilComNumberedText"/>
      <w:lvlText w:val="%24.1"/>
      <w:lvlJc w:val="left"/>
      <w:pPr>
        <w:tabs>
          <w:tab w:val="num" w:pos="522"/>
        </w:tabs>
        <w:ind w:left="522" w:hanging="450"/>
      </w:pPr>
      <w:rPr>
        <w:rFonts w:hint="default"/>
        <w:b w:val="0"/>
      </w:rPr>
    </w:lvl>
    <w:lvl w:ilvl="2">
      <w:start w:val="1"/>
      <w:numFmt w:val="decimal"/>
      <w:lvlText w:val="%1.%2.%3"/>
      <w:lvlJc w:val="left"/>
      <w:pPr>
        <w:tabs>
          <w:tab w:val="num" w:pos="864"/>
        </w:tabs>
        <w:ind w:left="864" w:hanging="720"/>
      </w:pPr>
      <w:rPr>
        <w:rFonts w:hint="default"/>
      </w:rPr>
    </w:lvl>
    <w:lvl w:ilvl="3">
      <w:start w:val="1"/>
      <w:numFmt w:val="decimal"/>
      <w:lvlText w:val="%1.%2.%3.%4"/>
      <w:lvlJc w:val="left"/>
      <w:pPr>
        <w:tabs>
          <w:tab w:val="num" w:pos="936"/>
        </w:tabs>
        <w:ind w:left="936" w:hanging="720"/>
      </w:pPr>
      <w:rPr>
        <w:rFonts w:hint="default"/>
      </w:rPr>
    </w:lvl>
    <w:lvl w:ilvl="4">
      <w:start w:val="1"/>
      <w:numFmt w:val="decimal"/>
      <w:lvlText w:val="%1.%2.%3.%4.%5"/>
      <w:lvlJc w:val="left"/>
      <w:pPr>
        <w:tabs>
          <w:tab w:val="num" w:pos="1368"/>
        </w:tabs>
        <w:ind w:left="1368"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72"/>
        </w:tabs>
        <w:ind w:left="1872" w:hanging="1440"/>
      </w:pPr>
      <w:rPr>
        <w:rFonts w:hint="default"/>
      </w:rPr>
    </w:lvl>
    <w:lvl w:ilvl="7">
      <w:start w:val="1"/>
      <w:numFmt w:val="decimal"/>
      <w:lvlText w:val="%1.%2.%3.%4.%5.%6.%7.%8"/>
      <w:lvlJc w:val="left"/>
      <w:pPr>
        <w:tabs>
          <w:tab w:val="num" w:pos="1944"/>
        </w:tabs>
        <w:ind w:left="1944" w:hanging="1440"/>
      </w:pPr>
      <w:rPr>
        <w:rFonts w:hint="default"/>
      </w:rPr>
    </w:lvl>
    <w:lvl w:ilvl="8">
      <w:start w:val="1"/>
      <w:numFmt w:val="decimal"/>
      <w:lvlText w:val="%1.%2.%3.%4.%5.%6.%7.%8.%9"/>
      <w:lvlJc w:val="left"/>
      <w:pPr>
        <w:tabs>
          <w:tab w:val="num" w:pos="2016"/>
        </w:tabs>
        <w:ind w:left="2016" w:hanging="1440"/>
      </w:pPr>
      <w:rPr>
        <w:rFonts w:hint="default"/>
      </w:rPr>
    </w:lvl>
  </w:abstractNum>
  <w:abstractNum w:abstractNumId="30">
    <w:nsid w:val="777B7CD7"/>
    <w:multiLevelType w:val="hybridMultilevel"/>
    <w:tmpl w:val="33CA31DA"/>
    <w:lvl w:ilvl="0" w:tplc="3E5A74C6">
      <w:start w:val="1"/>
      <w:numFmt w:val="lowerLetter"/>
      <w:pStyle w:val="UtilComLetterNumbering"/>
      <w:lvlText w:val="%1)"/>
      <w:lvlJc w:val="left"/>
      <w:pPr>
        <w:tabs>
          <w:tab w:val="num" w:pos="964"/>
        </w:tabs>
        <w:ind w:left="964" w:hanging="397"/>
      </w:pPr>
      <w:rPr>
        <w:rFonts w:hint="default"/>
      </w:rPr>
    </w:lvl>
    <w:lvl w:ilvl="1" w:tplc="0C090019" w:tentative="1">
      <w:start w:val="1"/>
      <w:numFmt w:val="lowerLetter"/>
      <w:lvlText w:val="%2."/>
      <w:lvlJc w:val="left"/>
      <w:pPr>
        <w:tabs>
          <w:tab w:val="num" w:pos="2007"/>
        </w:tabs>
        <w:ind w:left="2007" w:hanging="360"/>
      </w:pPr>
    </w:lvl>
    <w:lvl w:ilvl="2" w:tplc="0C09001B" w:tentative="1">
      <w:start w:val="1"/>
      <w:numFmt w:val="lowerRoman"/>
      <w:lvlText w:val="%3."/>
      <w:lvlJc w:val="right"/>
      <w:pPr>
        <w:tabs>
          <w:tab w:val="num" w:pos="2727"/>
        </w:tabs>
        <w:ind w:left="2727" w:hanging="180"/>
      </w:pPr>
    </w:lvl>
    <w:lvl w:ilvl="3" w:tplc="0C09000F" w:tentative="1">
      <w:start w:val="1"/>
      <w:numFmt w:val="decimal"/>
      <w:lvlText w:val="%4."/>
      <w:lvlJc w:val="left"/>
      <w:pPr>
        <w:tabs>
          <w:tab w:val="num" w:pos="3447"/>
        </w:tabs>
        <w:ind w:left="3447" w:hanging="360"/>
      </w:pPr>
    </w:lvl>
    <w:lvl w:ilvl="4" w:tplc="0C090019" w:tentative="1">
      <w:start w:val="1"/>
      <w:numFmt w:val="lowerLetter"/>
      <w:lvlText w:val="%5."/>
      <w:lvlJc w:val="left"/>
      <w:pPr>
        <w:tabs>
          <w:tab w:val="num" w:pos="4167"/>
        </w:tabs>
        <w:ind w:left="4167" w:hanging="360"/>
      </w:pPr>
    </w:lvl>
    <w:lvl w:ilvl="5" w:tplc="0C09001B" w:tentative="1">
      <w:start w:val="1"/>
      <w:numFmt w:val="lowerRoman"/>
      <w:lvlText w:val="%6."/>
      <w:lvlJc w:val="right"/>
      <w:pPr>
        <w:tabs>
          <w:tab w:val="num" w:pos="4887"/>
        </w:tabs>
        <w:ind w:left="4887" w:hanging="180"/>
      </w:pPr>
    </w:lvl>
    <w:lvl w:ilvl="6" w:tplc="0C09000F" w:tentative="1">
      <w:start w:val="1"/>
      <w:numFmt w:val="decimal"/>
      <w:lvlText w:val="%7."/>
      <w:lvlJc w:val="left"/>
      <w:pPr>
        <w:tabs>
          <w:tab w:val="num" w:pos="5607"/>
        </w:tabs>
        <w:ind w:left="5607" w:hanging="360"/>
      </w:pPr>
    </w:lvl>
    <w:lvl w:ilvl="7" w:tplc="0C090019" w:tentative="1">
      <w:start w:val="1"/>
      <w:numFmt w:val="lowerLetter"/>
      <w:lvlText w:val="%8."/>
      <w:lvlJc w:val="left"/>
      <w:pPr>
        <w:tabs>
          <w:tab w:val="num" w:pos="6327"/>
        </w:tabs>
        <w:ind w:left="6327" w:hanging="360"/>
      </w:pPr>
    </w:lvl>
    <w:lvl w:ilvl="8" w:tplc="0C09001B" w:tentative="1">
      <w:start w:val="1"/>
      <w:numFmt w:val="lowerRoman"/>
      <w:lvlText w:val="%9."/>
      <w:lvlJc w:val="right"/>
      <w:pPr>
        <w:tabs>
          <w:tab w:val="num" w:pos="7047"/>
        </w:tabs>
        <w:ind w:left="7047" w:hanging="180"/>
      </w:pPr>
    </w:lvl>
  </w:abstractNum>
  <w:num w:numId="1">
    <w:abstractNumId w:val="10"/>
    <w:lvlOverride w:ilvl="0">
      <w:lvl w:ilvl="0">
        <w:start w:val="1"/>
        <w:numFmt w:val="bullet"/>
        <w:pStyle w:val="Caption"/>
        <w:lvlText w:val=""/>
        <w:legacy w:legacy="1" w:legacySpace="0" w:legacyIndent="120"/>
        <w:lvlJc w:val="left"/>
        <w:pPr>
          <w:ind w:left="1920" w:hanging="120"/>
        </w:pPr>
        <w:rPr>
          <w:rFonts w:ascii="Symbol" w:hAnsi="Symbol" w:hint="default"/>
          <w:sz w:val="18"/>
        </w:rPr>
      </w:lvl>
    </w:lvlOverride>
  </w:num>
  <w:num w:numId="2">
    <w:abstractNumId w:val="27"/>
  </w:num>
  <w:num w:numId="3">
    <w:abstractNumId w:val="16"/>
  </w:num>
  <w:num w:numId="4">
    <w:abstractNumId w:val="12"/>
  </w:num>
  <w:num w:numId="5">
    <w:abstractNumId w:val="21"/>
  </w:num>
  <w:num w:numId="6">
    <w:abstractNumId w:val="29"/>
  </w:num>
  <w:num w:numId="7">
    <w:abstractNumId w:val="23"/>
  </w:num>
  <w:num w:numId="8">
    <w:abstractNumId w:val="30"/>
  </w:num>
  <w:num w:numId="9">
    <w:abstractNumId w:val="28"/>
  </w:num>
  <w:num w:numId="10">
    <w:abstractNumId w:val="20"/>
  </w:num>
  <w:num w:numId="11">
    <w:abstractNumId w:val="19"/>
  </w:num>
  <w:num w:numId="12">
    <w:abstractNumId w:val="24"/>
  </w:num>
  <w:num w:numId="13">
    <w:abstractNumId w:val="11"/>
  </w:num>
  <w:num w:numId="14">
    <w:abstractNumId w:val="26"/>
  </w:num>
  <w:num w:numId="15">
    <w:abstractNumId w:val="25"/>
  </w:num>
  <w:num w:numId="16">
    <w:abstractNumId w:val="14"/>
  </w:num>
  <w:num w:numId="17">
    <w:abstractNumId w:val="17"/>
  </w:num>
  <w:num w:numId="18">
    <w:abstractNumId w:val="13"/>
  </w:num>
  <w:num w:numId="19">
    <w:abstractNumId w:val="15"/>
  </w:num>
  <w:num w:numId="20">
    <w:abstractNumId w:val="18"/>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2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ctiveWritingStyle w:appName="MSWord" w:lang="en-US" w:vendorID="8" w:dllVersion="513" w:checkStyle="1"/>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ocumentProtection w:edit="readOnly" w:enforcement="1" w:cryptProviderType="rsaFull" w:cryptAlgorithmClass="hash" w:cryptAlgorithmType="typeAny" w:cryptAlgorithmSid="4" w:cryptSpinCount="100000" w:hash="rdB52yOOkM0LPCHu0QYR2oCYpG8=" w:salt="uwxC1lK9GrJVq8GK+VxpgQ=="/>
  <w:defaultTabStop w:val="720"/>
  <w:drawingGridHorizontalSpacing w:val="187"/>
  <w:drawingGridVerticalSpacing w:val="187"/>
  <w:doNotUseMarginsForDrawingGridOrigin/>
  <w:drawingGridHorizontalOrigin w:val="1699"/>
  <w:drawingGridVerticalOrigin w:val="1987"/>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2161"/>
    <w:rsid w:val="00001918"/>
    <w:rsid w:val="00003042"/>
    <w:rsid w:val="0000451A"/>
    <w:rsid w:val="00004C26"/>
    <w:rsid w:val="000050EC"/>
    <w:rsid w:val="000053B4"/>
    <w:rsid w:val="00005BEC"/>
    <w:rsid w:val="00006860"/>
    <w:rsid w:val="00006C39"/>
    <w:rsid w:val="000075E6"/>
    <w:rsid w:val="00010A62"/>
    <w:rsid w:val="00011768"/>
    <w:rsid w:val="00011A05"/>
    <w:rsid w:val="00011E5C"/>
    <w:rsid w:val="00012248"/>
    <w:rsid w:val="000130B5"/>
    <w:rsid w:val="00014DC9"/>
    <w:rsid w:val="00016488"/>
    <w:rsid w:val="000171C1"/>
    <w:rsid w:val="00017595"/>
    <w:rsid w:val="00017C3D"/>
    <w:rsid w:val="0002125F"/>
    <w:rsid w:val="00021626"/>
    <w:rsid w:val="00021F28"/>
    <w:rsid w:val="00022FE5"/>
    <w:rsid w:val="00023213"/>
    <w:rsid w:val="0002366D"/>
    <w:rsid w:val="00023DF4"/>
    <w:rsid w:val="000245F8"/>
    <w:rsid w:val="0002508E"/>
    <w:rsid w:val="000261C7"/>
    <w:rsid w:val="00026250"/>
    <w:rsid w:val="0002762B"/>
    <w:rsid w:val="00030A12"/>
    <w:rsid w:val="0003105E"/>
    <w:rsid w:val="000326A4"/>
    <w:rsid w:val="00032D74"/>
    <w:rsid w:val="000355AD"/>
    <w:rsid w:val="00035890"/>
    <w:rsid w:val="000358CF"/>
    <w:rsid w:val="00036A31"/>
    <w:rsid w:val="00036BC6"/>
    <w:rsid w:val="00036F89"/>
    <w:rsid w:val="00037C09"/>
    <w:rsid w:val="00040555"/>
    <w:rsid w:val="00041BF0"/>
    <w:rsid w:val="00042084"/>
    <w:rsid w:val="000421B4"/>
    <w:rsid w:val="00042BB2"/>
    <w:rsid w:val="00043771"/>
    <w:rsid w:val="000437BB"/>
    <w:rsid w:val="0004391A"/>
    <w:rsid w:val="00043B58"/>
    <w:rsid w:val="00043D52"/>
    <w:rsid w:val="00044375"/>
    <w:rsid w:val="00044425"/>
    <w:rsid w:val="000451E3"/>
    <w:rsid w:val="00045390"/>
    <w:rsid w:val="0004580A"/>
    <w:rsid w:val="00045976"/>
    <w:rsid w:val="000474D1"/>
    <w:rsid w:val="00050BF2"/>
    <w:rsid w:val="0005203A"/>
    <w:rsid w:val="00052956"/>
    <w:rsid w:val="0005357C"/>
    <w:rsid w:val="00053806"/>
    <w:rsid w:val="00053964"/>
    <w:rsid w:val="000541D9"/>
    <w:rsid w:val="00061186"/>
    <w:rsid w:val="000614EA"/>
    <w:rsid w:val="00061C30"/>
    <w:rsid w:val="00061FFA"/>
    <w:rsid w:val="0006259A"/>
    <w:rsid w:val="00062B04"/>
    <w:rsid w:val="000643D2"/>
    <w:rsid w:val="000643EB"/>
    <w:rsid w:val="000662C7"/>
    <w:rsid w:val="000673A9"/>
    <w:rsid w:val="00070791"/>
    <w:rsid w:val="0007396E"/>
    <w:rsid w:val="0007538C"/>
    <w:rsid w:val="0007641A"/>
    <w:rsid w:val="00076D9B"/>
    <w:rsid w:val="00077590"/>
    <w:rsid w:val="00077B8F"/>
    <w:rsid w:val="00077E05"/>
    <w:rsid w:val="00081B93"/>
    <w:rsid w:val="00082636"/>
    <w:rsid w:val="00082DE1"/>
    <w:rsid w:val="00083491"/>
    <w:rsid w:val="0008607E"/>
    <w:rsid w:val="0008641C"/>
    <w:rsid w:val="00086787"/>
    <w:rsid w:val="00090FAF"/>
    <w:rsid w:val="00091257"/>
    <w:rsid w:val="00091C84"/>
    <w:rsid w:val="00093827"/>
    <w:rsid w:val="00095D92"/>
    <w:rsid w:val="00096449"/>
    <w:rsid w:val="000967CF"/>
    <w:rsid w:val="00097899"/>
    <w:rsid w:val="000979B7"/>
    <w:rsid w:val="000A1178"/>
    <w:rsid w:val="000A1199"/>
    <w:rsid w:val="000A11C6"/>
    <w:rsid w:val="000A196C"/>
    <w:rsid w:val="000A2E7F"/>
    <w:rsid w:val="000A3096"/>
    <w:rsid w:val="000A31DA"/>
    <w:rsid w:val="000A49EB"/>
    <w:rsid w:val="000A4AE0"/>
    <w:rsid w:val="000A4DDF"/>
    <w:rsid w:val="000A6415"/>
    <w:rsid w:val="000A6EF8"/>
    <w:rsid w:val="000A7C4E"/>
    <w:rsid w:val="000B056D"/>
    <w:rsid w:val="000B1011"/>
    <w:rsid w:val="000B1D3F"/>
    <w:rsid w:val="000B21F0"/>
    <w:rsid w:val="000B248D"/>
    <w:rsid w:val="000B2A11"/>
    <w:rsid w:val="000B2ACA"/>
    <w:rsid w:val="000B306A"/>
    <w:rsid w:val="000B30C8"/>
    <w:rsid w:val="000B3D96"/>
    <w:rsid w:val="000B3EE6"/>
    <w:rsid w:val="000C02AC"/>
    <w:rsid w:val="000C089E"/>
    <w:rsid w:val="000C3579"/>
    <w:rsid w:val="000C3AB1"/>
    <w:rsid w:val="000C4E60"/>
    <w:rsid w:val="000C55C6"/>
    <w:rsid w:val="000C61F7"/>
    <w:rsid w:val="000C640D"/>
    <w:rsid w:val="000C6AEC"/>
    <w:rsid w:val="000C772C"/>
    <w:rsid w:val="000C7B21"/>
    <w:rsid w:val="000C7D5A"/>
    <w:rsid w:val="000D0DE3"/>
    <w:rsid w:val="000D39D5"/>
    <w:rsid w:val="000D4B0E"/>
    <w:rsid w:val="000D55D4"/>
    <w:rsid w:val="000D57DD"/>
    <w:rsid w:val="000D66E4"/>
    <w:rsid w:val="000D787A"/>
    <w:rsid w:val="000D79CB"/>
    <w:rsid w:val="000E121A"/>
    <w:rsid w:val="000E1886"/>
    <w:rsid w:val="000E2375"/>
    <w:rsid w:val="000E2429"/>
    <w:rsid w:val="000E2921"/>
    <w:rsid w:val="000E2B5D"/>
    <w:rsid w:val="000E37CA"/>
    <w:rsid w:val="000E3E0A"/>
    <w:rsid w:val="000E423B"/>
    <w:rsid w:val="000E4ADC"/>
    <w:rsid w:val="000E4FB0"/>
    <w:rsid w:val="000E5259"/>
    <w:rsid w:val="000E5A14"/>
    <w:rsid w:val="000E7BA8"/>
    <w:rsid w:val="000F00D4"/>
    <w:rsid w:val="000F1C8F"/>
    <w:rsid w:val="000F505E"/>
    <w:rsid w:val="000F5802"/>
    <w:rsid w:val="000F6EB5"/>
    <w:rsid w:val="000F786D"/>
    <w:rsid w:val="00101002"/>
    <w:rsid w:val="001012FA"/>
    <w:rsid w:val="00101C2E"/>
    <w:rsid w:val="00101F48"/>
    <w:rsid w:val="001023E6"/>
    <w:rsid w:val="001030ED"/>
    <w:rsid w:val="001035B1"/>
    <w:rsid w:val="00103AB8"/>
    <w:rsid w:val="0010480A"/>
    <w:rsid w:val="001048BF"/>
    <w:rsid w:val="00104A33"/>
    <w:rsid w:val="00104E0B"/>
    <w:rsid w:val="00104F6F"/>
    <w:rsid w:val="00105116"/>
    <w:rsid w:val="00105D38"/>
    <w:rsid w:val="0010761C"/>
    <w:rsid w:val="0011031A"/>
    <w:rsid w:val="001109FC"/>
    <w:rsid w:val="0011123C"/>
    <w:rsid w:val="001120E9"/>
    <w:rsid w:val="001123AE"/>
    <w:rsid w:val="0011295E"/>
    <w:rsid w:val="00112DA4"/>
    <w:rsid w:val="0011328D"/>
    <w:rsid w:val="001140AD"/>
    <w:rsid w:val="00114344"/>
    <w:rsid w:val="001151E2"/>
    <w:rsid w:val="00115972"/>
    <w:rsid w:val="0012038E"/>
    <w:rsid w:val="00120DF6"/>
    <w:rsid w:val="0012130E"/>
    <w:rsid w:val="00121C22"/>
    <w:rsid w:val="001221C4"/>
    <w:rsid w:val="00123042"/>
    <w:rsid w:val="00123519"/>
    <w:rsid w:val="001242B5"/>
    <w:rsid w:val="00126A91"/>
    <w:rsid w:val="00127A28"/>
    <w:rsid w:val="00127B06"/>
    <w:rsid w:val="00127B14"/>
    <w:rsid w:val="00127CD8"/>
    <w:rsid w:val="001309E9"/>
    <w:rsid w:val="00130E19"/>
    <w:rsid w:val="001323ED"/>
    <w:rsid w:val="00132808"/>
    <w:rsid w:val="0013305D"/>
    <w:rsid w:val="001337A0"/>
    <w:rsid w:val="001341D9"/>
    <w:rsid w:val="0013464F"/>
    <w:rsid w:val="00134C3F"/>
    <w:rsid w:val="00134C5C"/>
    <w:rsid w:val="00134FB7"/>
    <w:rsid w:val="001365AC"/>
    <w:rsid w:val="001379F2"/>
    <w:rsid w:val="00137A6F"/>
    <w:rsid w:val="00140575"/>
    <w:rsid w:val="00140948"/>
    <w:rsid w:val="00140C67"/>
    <w:rsid w:val="00141212"/>
    <w:rsid w:val="001416EC"/>
    <w:rsid w:val="001420C9"/>
    <w:rsid w:val="001421FA"/>
    <w:rsid w:val="001426E2"/>
    <w:rsid w:val="00142E7E"/>
    <w:rsid w:val="00143444"/>
    <w:rsid w:val="00143C49"/>
    <w:rsid w:val="001465BE"/>
    <w:rsid w:val="00150A75"/>
    <w:rsid w:val="00151D3A"/>
    <w:rsid w:val="00152365"/>
    <w:rsid w:val="00153119"/>
    <w:rsid w:val="001534C1"/>
    <w:rsid w:val="001536C9"/>
    <w:rsid w:val="00153910"/>
    <w:rsid w:val="0015575C"/>
    <w:rsid w:val="001558D6"/>
    <w:rsid w:val="00156009"/>
    <w:rsid w:val="0015679A"/>
    <w:rsid w:val="001569C4"/>
    <w:rsid w:val="00156C5D"/>
    <w:rsid w:val="00157DFB"/>
    <w:rsid w:val="001624B5"/>
    <w:rsid w:val="001629A0"/>
    <w:rsid w:val="00163F8D"/>
    <w:rsid w:val="00165463"/>
    <w:rsid w:val="00165741"/>
    <w:rsid w:val="001657BF"/>
    <w:rsid w:val="001670F8"/>
    <w:rsid w:val="00167187"/>
    <w:rsid w:val="00170D4E"/>
    <w:rsid w:val="001713CD"/>
    <w:rsid w:val="0017166F"/>
    <w:rsid w:val="0017215C"/>
    <w:rsid w:val="00172AD9"/>
    <w:rsid w:val="0017332E"/>
    <w:rsid w:val="0017388D"/>
    <w:rsid w:val="00175606"/>
    <w:rsid w:val="0018096B"/>
    <w:rsid w:val="00180C37"/>
    <w:rsid w:val="00180FCB"/>
    <w:rsid w:val="00181158"/>
    <w:rsid w:val="00182929"/>
    <w:rsid w:val="00183522"/>
    <w:rsid w:val="001835CA"/>
    <w:rsid w:val="00185A6F"/>
    <w:rsid w:val="001874B9"/>
    <w:rsid w:val="001879C1"/>
    <w:rsid w:val="00187E8F"/>
    <w:rsid w:val="00187FC7"/>
    <w:rsid w:val="0019088A"/>
    <w:rsid w:val="00190A4D"/>
    <w:rsid w:val="00190F5A"/>
    <w:rsid w:val="00190FC1"/>
    <w:rsid w:val="0019190A"/>
    <w:rsid w:val="0019331C"/>
    <w:rsid w:val="00193355"/>
    <w:rsid w:val="00193F1B"/>
    <w:rsid w:val="00195231"/>
    <w:rsid w:val="0019544E"/>
    <w:rsid w:val="001957B2"/>
    <w:rsid w:val="001964C8"/>
    <w:rsid w:val="00196B14"/>
    <w:rsid w:val="00196DC9"/>
    <w:rsid w:val="001975FE"/>
    <w:rsid w:val="001A02AA"/>
    <w:rsid w:val="001A0C07"/>
    <w:rsid w:val="001A47A8"/>
    <w:rsid w:val="001A6DD0"/>
    <w:rsid w:val="001B05F7"/>
    <w:rsid w:val="001B17A7"/>
    <w:rsid w:val="001B4710"/>
    <w:rsid w:val="001B4E23"/>
    <w:rsid w:val="001B5507"/>
    <w:rsid w:val="001B712C"/>
    <w:rsid w:val="001B7DA4"/>
    <w:rsid w:val="001B7FB9"/>
    <w:rsid w:val="001C099A"/>
    <w:rsid w:val="001C226A"/>
    <w:rsid w:val="001C3DA2"/>
    <w:rsid w:val="001C4708"/>
    <w:rsid w:val="001C47D7"/>
    <w:rsid w:val="001C4CEE"/>
    <w:rsid w:val="001C5ABD"/>
    <w:rsid w:val="001C623B"/>
    <w:rsid w:val="001C692B"/>
    <w:rsid w:val="001C7BFE"/>
    <w:rsid w:val="001D093B"/>
    <w:rsid w:val="001D0AA9"/>
    <w:rsid w:val="001D1663"/>
    <w:rsid w:val="001D21BB"/>
    <w:rsid w:val="001D21E9"/>
    <w:rsid w:val="001D27B9"/>
    <w:rsid w:val="001D4657"/>
    <w:rsid w:val="001D53E7"/>
    <w:rsid w:val="001D5912"/>
    <w:rsid w:val="001D639A"/>
    <w:rsid w:val="001D6588"/>
    <w:rsid w:val="001D68E1"/>
    <w:rsid w:val="001D6AD0"/>
    <w:rsid w:val="001D6E73"/>
    <w:rsid w:val="001D795C"/>
    <w:rsid w:val="001E09F4"/>
    <w:rsid w:val="001E2CC0"/>
    <w:rsid w:val="001E44BD"/>
    <w:rsid w:val="001E528B"/>
    <w:rsid w:val="001E6176"/>
    <w:rsid w:val="001E6237"/>
    <w:rsid w:val="001E7639"/>
    <w:rsid w:val="001F08CC"/>
    <w:rsid w:val="001F1688"/>
    <w:rsid w:val="001F1C53"/>
    <w:rsid w:val="001F1D93"/>
    <w:rsid w:val="001F1F3B"/>
    <w:rsid w:val="001F3033"/>
    <w:rsid w:val="001F354C"/>
    <w:rsid w:val="001F3EBA"/>
    <w:rsid w:val="001F4094"/>
    <w:rsid w:val="001F4325"/>
    <w:rsid w:val="001F52AA"/>
    <w:rsid w:val="001F5DEB"/>
    <w:rsid w:val="001F6B6B"/>
    <w:rsid w:val="001F7657"/>
    <w:rsid w:val="00200357"/>
    <w:rsid w:val="00201412"/>
    <w:rsid w:val="00202671"/>
    <w:rsid w:val="00202C73"/>
    <w:rsid w:val="0020312B"/>
    <w:rsid w:val="002037D8"/>
    <w:rsid w:val="002040DE"/>
    <w:rsid w:val="00205A5F"/>
    <w:rsid w:val="00205A90"/>
    <w:rsid w:val="00205E7F"/>
    <w:rsid w:val="00206C79"/>
    <w:rsid w:val="0020796F"/>
    <w:rsid w:val="00207AF6"/>
    <w:rsid w:val="0021053B"/>
    <w:rsid w:val="00210CF9"/>
    <w:rsid w:val="002121C1"/>
    <w:rsid w:val="00212EDA"/>
    <w:rsid w:val="00213020"/>
    <w:rsid w:val="00213067"/>
    <w:rsid w:val="00213280"/>
    <w:rsid w:val="002132F1"/>
    <w:rsid w:val="0021339A"/>
    <w:rsid w:val="00213CB8"/>
    <w:rsid w:val="00216A33"/>
    <w:rsid w:val="0021730D"/>
    <w:rsid w:val="00220D5B"/>
    <w:rsid w:val="002213D0"/>
    <w:rsid w:val="00222139"/>
    <w:rsid w:val="00222270"/>
    <w:rsid w:val="002229EC"/>
    <w:rsid w:val="00223FB6"/>
    <w:rsid w:val="002242E9"/>
    <w:rsid w:val="00225207"/>
    <w:rsid w:val="00225CFD"/>
    <w:rsid w:val="002275E3"/>
    <w:rsid w:val="002321C2"/>
    <w:rsid w:val="00232556"/>
    <w:rsid w:val="0023296C"/>
    <w:rsid w:val="00232C40"/>
    <w:rsid w:val="00232CEE"/>
    <w:rsid w:val="0023342F"/>
    <w:rsid w:val="002337D7"/>
    <w:rsid w:val="00233838"/>
    <w:rsid w:val="00233F5B"/>
    <w:rsid w:val="002345D6"/>
    <w:rsid w:val="002346E9"/>
    <w:rsid w:val="00234B7B"/>
    <w:rsid w:val="00236B03"/>
    <w:rsid w:val="00236C95"/>
    <w:rsid w:val="00240934"/>
    <w:rsid w:val="00241CA8"/>
    <w:rsid w:val="00241FBD"/>
    <w:rsid w:val="002424CA"/>
    <w:rsid w:val="002425B4"/>
    <w:rsid w:val="002441D6"/>
    <w:rsid w:val="0024461A"/>
    <w:rsid w:val="0024568F"/>
    <w:rsid w:val="00245F02"/>
    <w:rsid w:val="0024611B"/>
    <w:rsid w:val="00246594"/>
    <w:rsid w:val="00246CD8"/>
    <w:rsid w:val="00246E33"/>
    <w:rsid w:val="00247481"/>
    <w:rsid w:val="00250E16"/>
    <w:rsid w:val="00250E59"/>
    <w:rsid w:val="002541CC"/>
    <w:rsid w:val="002541EB"/>
    <w:rsid w:val="00254D59"/>
    <w:rsid w:val="00255396"/>
    <w:rsid w:val="00255802"/>
    <w:rsid w:val="00256B2E"/>
    <w:rsid w:val="00256EB3"/>
    <w:rsid w:val="00257A4B"/>
    <w:rsid w:val="00257B7A"/>
    <w:rsid w:val="00257F7E"/>
    <w:rsid w:val="0026116D"/>
    <w:rsid w:val="00261AF8"/>
    <w:rsid w:val="00262D52"/>
    <w:rsid w:val="00263C70"/>
    <w:rsid w:val="00264D8A"/>
    <w:rsid w:val="00265F55"/>
    <w:rsid w:val="00267082"/>
    <w:rsid w:val="0026726B"/>
    <w:rsid w:val="0027016F"/>
    <w:rsid w:val="002701D5"/>
    <w:rsid w:val="00271340"/>
    <w:rsid w:val="00273AD1"/>
    <w:rsid w:val="00273E8B"/>
    <w:rsid w:val="00275A41"/>
    <w:rsid w:val="002764A0"/>
    <w:rsid w:val="0027728F"/>
    <w:rsid w:val="00281C89"/>
    <w:rsid w:val="00281FCB"/>
    <w:rsid w:val="00282BF9"/>
    <w:rsid w:val="00282DB0"/>
    <w:rsid w:val="00282F82"/>
    <w:rsid w:val="002832E0"/>
    <w:rsid w:val="0028474A"/>
    <w:rsid w:val="00284F4E"/>
    <w:rsid w:val="00285679"/>
    <w:rsid w:val="002858E0"/>
    <w:rsid w:val="00286448"/>
    <w:rsid w:val="0028761F"/>
    <w:rsid w:val="00291B34"/>
    <w:rsid w:val="00291CC5"/>
    <w:rsid w:val="00295082"/>
    <w:rsid w:val="0029570E"/>
    <w:rsid w:val="00295BBA"/>
    <w:rsid w:val="002975A5"/>
    <w:rsid w:val="002A0ADE"/>
    <w:rsid w:val="002A1501"/>
    <w:rsid w:val="002A290A"/>
    <w:rsid w:val="002A36C1"/>
    <w:rsid w:val="002A3CD0"/>
    <w:rsid w:val="002A3CEF"/>
    <w:rsid w:val="002A5DD4"/>
    <w:rsid w:val="002A6196"/>
    <w:rsid w:val="002A7297"/>
    <w:rsid w:val="002B0074"/>
    <w:rsid w:val="002B03A7"/>
    <w:rsid w:val="002B090B"/>
    <w:rsid w:val="002B103D"/>
    <w:rsid w:val="002B107B"/>
    <w:rsid w:val="002B1256"/>
    <w:rsid w:val="002B2707"/>
    <w:rsid w:val="002B3211"/>
    <w:rsid w:val="002B3838"/>
    <w:rsid w:val="002B39F1"/>
    <w:rsid w:val="002B3B05"/>
    <w:rsid w:val="002B3C60"/>
    <w:rsid w:val="002B4C70"/>
    <w:rsid w:val="002B6546"/>
    <w:rsid w:val="002B7EE5"/>
    <w:rsid w:val="002C0109"/>
    <w:rsid w:val="002C02F4"/>
    <w:rsid w:val="002C175E"/>
    <w:rsid w:val="002C1E90"/>
    <w:rsid w:val="002C25FB"/>
    <w:rsid w:val="002C2E6E"/>
    <w:rsid w:val="002C32E7"/>
    <w:rsid w:val="002C3586"/>
    <w:rsid w:val="002C6482"/>
    <w:rsid w:val="002C66C1"/>
    <w:rsid w:val="002C69CD"/>
    <w:rsid w:val="002D03D3"/>
    <w:rsid w:val="002D2F24"/>
    <w:rsid w:val="002D2FB5"/>
    <w:rsid w:val="002D33E1"/>
    <w:rsid w:val="002D3BCB"/>
    <w:rsid w:val="002D402D"/>
    <w:rsid w:val="002D4043"/>
    <w:rsid w:val="002D429F"/>
    <w:rsid w:val="002D5215"/>
    <w:rsid w:val="002D5729"/>
    <w:rsid w:val="002D58C1"/>
    <w:rsid w:val="002E1B61"/>
    <w:rsid w:val="002E1FF1"/>
    <w:rsid w:val="002E2003"/>
    <w:rsid w:val="002E21B7"/>
    <w:rsid w:val="002E2A82"/>
    <w:rsid w:val="002E3A5C"/>
    <w:rsid w:val="002E51BA"/>
    <w:rsid w:val="002E54D3"/>
    <w:rsid w:val="002E5FED"/>
    <w:rsid w:val="002E6950"/>
    <w:rsid w:val="002E6DF9"/>
    <w:rsid w:val="002E6EC5"/>
    <w:rsid w:val="002F0231"/>
    <w:rsid w:val="002F0310"/>
    <w:rsid w:val="002F0354"/>
    <w:rsid w:val="002F053A"/>
    <w:rsid w:val="002F167D"/>
    <w:rsid w:val="002F21A0"/>
    <w:rsid w:val="002F5E26"/>
    <w:rsid w:val="002F6CF5"/>
    <w:rsid w:val="003011C1"/>
    <w:rsid w:val="00301860"/>
    <w:rsid w:val="0030236B"/>
    <w:rsid w:val="00302869"/>
    <w:rsid w:val="00302A97"/>
    <w:rsid w:val="00304281"/>
    <w:rsid w:val="0030467A"/>
    <w:rsid w:val="00306749"/>
    <w:rsid w:val="00307508"/>
    <w:rsid w:val="003102CA"/>
    <w:rsid w:val="00311249"/>
    <w:rsid w:val="003123E4"/>
    <w:rsid w:val="003144D8"/>
    <w:rsid w:val="00315BE6"/>
    <w:rsid w:val="0031615D"/>
    <w:rsid w:val="003162A8"/>
    <w:rsid w:val="00316C4C"/>
    <w:rsid w:val="00316EEA"/>
    <w:rsid w:val="00316FBD"/>
    <w:rsid w:val="0031738C"/>
    <w:rsid w:val="00317E62"/>
    <w:rsid w:val="00317FA8"/>
    <w:rsid w:val="00321273"/>
    <w:rsid w:val="00322929"/>
    <w:rsid w:val="0032471B"/>
    <w:rsid w:val="00327B17"/>
    <w:rsid w:val="0033035F"/>
    <w:rsid w:val="00331AA6"/>
    <w:rsid w:val="00331C0E"/>
    <w:rsid w:val="003321C0"/>
    <w:rsid w:val="003321D7"/>
    <w:rsid w:val="00332406"/>
    <w:rsid w:val="00332DE0"/>
    <w:rsid w:val="00335192"/>
    <w:rsid w:val="00335577"/>
    <w:rsid w:val="003358DD"/>
    <w:rsid w:val="00336120"/>
    <w:rsid w:val="00336244"/>
    <w:rsid w:val="00336469"/>
    <w:rsid w:val="0033751A"/>
    <w:rsid w:val="00340708"/>
    <w:rsid w:val="003428BC"/>
    <w:rsid w:val="003429D6"/>
    <w:rsid w:val="00343005"/>
    <w:rsid w:val="0034567D"/>
    <w:rsid w:val="00345716"/>
    <w:rsid w:val="003457BD"/>
    <w:rsid w:val="00345C47"/>
    <w:rsid w:val="00346736"/>
    <w:rsid w:val="00346F6E"/>
    <w:rsid w:val="003470C7"/>
    <w:rsid w:val="003473C4"/>
    <w:rsid w:val="0034742A"/>
    <w:rsid w:val="003479AA"/>
    <w:rsid w:val="00347ACC"/>
    <w:rsid w:val="00350B8D"/>
    <w:rsid w:val="003514E8"/>
    <w:rsid w:val="003518B8"/>
    <w:rsid w:val="00352757"/>
    <w:rsid w:val="00352A94"/>
    <w:rsid w:val="00352E9C"/>
    <w:rsid w:val="00353A29"/>
    <w:rsid w:val="0035414C"/>
    <w:rsid w:val="003541D3"/>
    <w:rsid w:val="00354EDA"/>
    <w:rsid w:val="003552F2"/>
    <w:rsid w:val="00356212"/>
    <w:rsid w:val="00357332"/>
    <w:rsid w:val="00357830"/>
    <w:rsid w:val="00360BD5"/>
    <w:rsid w:val="00361062"/>
    <w:rsid w:val="00361111"/>
    <w:rsid w:val="00362335"/>
    <w:rsid w:val="0036358B"/>
    <w:rsid w:val="00364DEE"/>
    <w:rsid w:val="00365CBE"/>
    <w:rsid w:val="0036638D"/>
    <w:rsid w:val="003669CB"/>
    <w:rsid w:val="0036765E"/>
    <w:rsid w:val="003677B3"/>
    <w:rsid w:val="00367CE7"/>
    <w:rsid w:val="003700CC"/>
    <w:rsid w:val="0037068E"/>
    <w:rsid w:val="00371351"/>
    <w:rsid w:val="00372946"/>
    <w:rsid w:val="00373060"/>
    <w:rsid w:val="003730F2"/>
    <w:rsid w:val="00373A75"/>
    <w:rsid w:val="00374C1B"/>
    <w:rsid w:val="00376BF8"/>
    <w:rsid w:val="00377A92"/>
    <w:rsid w:val="003803D9"/>
    <w:rsid w:val="00380A50"/>
    <w:rsid w:val="00381CC9"/>
    <w:rsid w:val="0038270F"/>
    <w:rsid w:val="00382777"/>
    <w:rsid w:val="003832B8"/>
    <w:rsid w:val="003835AD"/>
    <w:rsid w:val="0038574E"/>
    <w:rsid w:val="003858A2"/>
    <w:rsid w:val="00386E1C"/>
    <w:rsid w:val="00387401"/>
    <w:rsid w:val="00387541"/>
    <w:rsid w:val="003878EE"/>
    <w:rsid w:val="003927FE"/>
    <w:rsid w:val="003930C6"/>
    <w:rsid w:val="003932A1"/>
    <w:rsid w:val="00393F5C"/>
    <w:rsid w:val="00395AEF"/>
    <w:rsid w:val="0039737E"/>
    <w:rsid w:val="0039773A"/>
    <w:rsid w:val="00397F63"/>
    <w:rsid w:val="003A01F2"/>
    <w:rsid w:val="003A0398"/>
    <w:rsid w:val="003A0E40"/>
    <w:rsid w:val="003A2CE0"/>
    <w:rsid w:val="003A4865"/>
    <w:rsid w:val="003A49E5"/>
    <w:rsid w:val="003A5F9A"/>
    <w:rsid w:val="003B0559"/>
    <w:rsid w:val="003B0A25"/>
    <w:rsid w:val="003B152F"/>
    <w:rsid w:val="003B2048"/>
    <w:rsid w:val="003B3315"/>
    <w:rsid w:val="003B42CB"/>
    <w:rsid w:val="003B4DF8"/>
    <w:rsid w:val="003B5345"/>
    <w:rsid w:val="003B5E5B"/>
    <w:rsid w:val="003B64A5"/>
    <w:rsid w:val="003B6A73"/>
    <w:rsid w:val="003B6B63"/>
    <w:rsid w:val="003B6E64"/>
    <w:rsid w:val="003B7A49"/>
    <w:rsid w:val="003C0FD0"/>
    <w:rsid w:val="003C101A"/>
    <w:rsid w:val="003C15A5"/>
    <w:rsid w:val="003C25A9"/>
    <w:rsid w:val="003C276B"/>
    <w:rsid w:val="003C4457"/>
    <w:rsid w:val="003C46A4"/>
    <w:rsid w:val="003C553A"/>
    <w:rsid w:val="003C5C00"/>
    <w:rsid w:val="003D05DC"/>
    <w:rsid w:val="003D0A51"/>
    <w:rsid w:val="003D1068"/>
    <w:rsid w:val="003D1AEB"/>
    <w:rsid w:val="003D2939"/>
    <w:rsid w:val="003D548B"/>
    <w:rsid w:val="003D7345"/>
    <w:rsid w:val="003D7E71"/>
    <w:rsid w:val="003E0704"/>
    <w:rsid w:val="003E07C3"/>
    <w:rsid w:val="003E1368"/>
    <w:rsid w:val="003E14A4"/>
    <w:rsid w:val="003E1823"/>
    <w:rsid w:val="003E3AA9"/>
    <w:rsid w:val="003E3C87"/>
    <w:rsid w:val="003E6309"/>
    <w:rsid w:val="003E6521"/>
    <w:rsid w:val="003E6FB0"/>
    <w:rsid w:val="003E7522"/>
    <w:rsid w:val="003E771F"/>
    <w:rsid w:val="003F1C2C"/>
    <w:rsid w:val="003F1D36"/>
    <w:rsid w:val="003F2A1A"/>
    <w:rsid w:val="003F5FAC"/>
    <w:rsid w:val="003F66D9"/>
    <w:rsid w:val="003F6759"/>
    <w:rsid w:val="003F6A11"/>
    <w:rsid w:val="003F7333"/>
    <w:rsid w:val="0040101D"/>
    <w:rsid w:val="00401212"/>
    <w:rsid w:val="00401734"/>
    <w:rsid w:val="00402352"/>
    <w:rsid w:val="00402C31"/>
    <w:rsid w:val="0040347A"/>
    <w:rsid w:val="00403C4D"/>
    <w:rsid w:val="00404203"/>
    <w:rsid w:val="00404679"/>
    <w:rsid w:val="00406C55"/>
    <w:rsid w:val="00407081"/>
    <w:rsid w:val="00410408"/>
    <w:rsid w:val="004112BC"/>
    <w:rsid w:val="00411AD5"/>
    <w:rsid w:val="004124C9"/>
    <w:rsid w:val="00412859"/>
    <w:rsid w:val="00412885"/>
    <w:rsid w:val="00413A76"/>
    <w:rsid w:val="004143D8"/>
    <w:rsid w:val="00414915"/>
    <w:rsid w:val="00416073"/>
    <w:rsid w:val="004165AD"/>
    <w:rsid w:val="004201A3"/>
    <w:rsid w:val="0042033D"/>
    <w:rsid w:val="00420A09"/>
    <w:rsid w:val="00420FA2"/>
    <w:rsid w:val="004218B9"/>
    <w:rsid w:val="00421951"/>
    <w:rsid w:val="00422036"/>
    <w:rsid w:val="00422681"/>
    <w:rsid w:val="004255E8"/>
    <w:rsid w:val="00425D38"/>
    <w:rsid w:val="004304F9"/>
    <w:rsid w:val="004319B4"/>
    <w:rsid w:val="00434D05"/>
    <w:rsid w:val="0043503C"/>
    <w:rsid w:val="00435315"/>
    <w:rsid w:val="00436B06"/>
    <w:rsid w:val="004375A8"/>
    <w:rsid w:val="0043761D"/>
    <w:rsid w:val="004377C1"/>
    <w:rsid w:val="00440B6C"/>
    <w:rsid w:val="00440BD2"/>
    <w:rsid w:val="0044119B"/>
    <w:rsid w:val="00441ED3"/>
    <w:rsid w:val="004439C5"/>
    <w:rsid w:val="00443E5E"/>
    <w:rsid w:val="00443FE3"/>
    <w:rsid w:val="004443AE"/>
    <w:rsid w:val="0044503C"/>
    <w:rsid w:val="00450B88"/>
    <w:rsid w:val="00450F93"/>
    <w:rsid w:val="00451444"/>
    <w:rsid w:val="00451914"/>
    <w:rsid w:val="00451FCE"/>
    <w:rsid w:val="0045284E"/>
    <w:rsid w:val="00453C45"/>
    <w:rsid w:val="00454317"/>
    <w:rsid w:val="0045460D"/>
    <w:rsid w:val="004568C4"/>
    <w:rsid w:val="00456E46"/>
    <w:rsid w:val="00457A43"/>
    <w:rsid w:val="00457FDC"/>
    <w:rsid w:val="0046092C"/>
    <w:rsid w:val="00462597"/>
    <w:rsid w:val="00463998"/>
    <w:rsid w:val="00463DD9"/>
    <w:rsid w:val="00464283"/>
    <w:rsid w:val="0046459B"/>
    <w:rsid w:val="00465C53"/>
    <w:rsid w:val="00465E03"/>
    <w:rsid w:val="00467196"/>
    <w:rsid w:val="00467FEF"/>
    <w:rsid w:val="0047019C"/>
    <w:rsid w:val="004702F5"/>
    <w:rsid w:val="004707B0"/>
    <w:rsid w:val="0047126B"/>
    <w:rsid w:val="00471AD5"/>
    <w:rsid w:val="004725E3"/>
    <w:rsid w:val="00472F44"/>
    <w:rsid w:val="00474546"/>
    <w:rsid w:val="00474F4B"/>
    <w:rsid w:val="00477D32"/>
    <w:rsid w:val="004801D8"/>
    <w:rsid w:val="00480551"/>
    <w:rsid w:val="00480F04"/>
    <w:rsid w:val="00481B6E"/>
    <w:rsid w:val="004822F7"/>
    <w:rsid w:val="00484430"/>
    <w:rsid w:val="0048603B"/>
    <w:rsid w:val="00486873"/>
    <w:rsid w:val="00487157"/>
    <w:rsid w:val="00487CBE"/>
    <w:rsid w:val="00490832"/>
    <w:rsid w:val="004911FA"/>
    <w:rsid w:val="00491224"/>
    <w:rsid w:val="00491FD4"/>
    <w:rsid w:val="00493139"/>
    <w:rsid w:val="00493EF3"/>
    <w:rsid w:val="00493F49"/>
    <w:rsid w:val="004943AB"/>
    <w:rsid w:val="00494B5E"/>
    <w:rsid w:val="00495259"/>
    <w:rsid w:val="00495393"/>
    <w:rsid w:val="00495550"/>
    <w:rsid w:val="00495E1F"/>
    <w:rsid w:val="00496071"/>
    <w:rsid w:val="00496541"/>
    <w:rsid w:val="004972B6"/>
    <w:rsid w:val="004974A7"/>
    <w:rsid w:val="004975BE"/>
    <w:rsid w:val="00497C5C"/>
    <w:rsid w:val="004A04A1"/>
    <w:rsid w:val="004A2D52"/>
    <w:rsid w:val="004A3151"/>
    <w:rsid w:val="004A34AA"/>
    <w:rsid w:val="004A35E5"/>
    <w:rsid w:val="004A4A0F"/>
    <w:rsid w:val="004A6B3F"/>
    <w:rsid w:val="004A79EC"/>
    <w:rsid w:val="004B0472"/>
    <w:rsid w:val="004B1185"/>
    <w:rsid w:val="004B12AA"/>
    <w:rsid w:val="004B24C4"/>
    <w:rsid w:val="004B2514"/>
    <w:rsid w:val="004B327B"/>
    <w:rsid w:val="004B3306"/>
    <w:rsid w:val="004B5562"/>
    <w:rsid w:val="004B5F04"/>
    <w:rsid w:val="004B6490"/>
    <w:rsid w:val="004B6B12"/>
    <w:rsid w:val="004B7518"/>
    <w:rsid w:val="004B7869"/>
    <w:rsid w:val="004C02F1"/>
    <w:rsid w:val="004C0751"/>
    <w:rsid w:val="004C0CB0"/>
    <w:rsid w:val="004C0F39"/>
    <w:rsid w:val="004C116A"/>
    <w:rsid w:val="004C31F5"/>
    <w:rsid w:val="004C333C"/>
    <w:rsid w:val="004C33AA"/>
    <w:rsid w:val="004C3472"/>
    <w:rsid w:val="004C4011"/>
    <w:rsid w:val="004C45BC"/>
    <w:rsid w:val="004C47F6"/>
    <w:rsid w:val="004C73AA"/>
    <w:rsid w:val="004D05BA"/>
    <w:rsid w:val="004D228C"/>
    <w:rsid w:val="004D388C"/>
    <w:rsid w:val="004D4131"/>
    <w:rsid w:val="004D45E5"/>
    <w:rsid w:val="004D4675"/>
    <w:rsid w:val="004D478C"/>
    <w:rsid w:val="004D52BF"/>
    <w:rsid w:val="004D7B38"/>
    <w:rsid w:val="004E04AA"/>
    <w:rsid w:val="004E1DC1"/>
    <w:rsid w:val="004E1E8A"/>
    <w:rsid w:val="004E3D73"/>
    <w:rsid w:val="004E41AE"/>
    <w:rsid w:val="004E46AB"/>
    <w:rsid w:val="004E4CEC"/>
    <w:rsid w:val="004E4FF0"/>
    <w:rsid w:val="004E5B9A"/>
    <w:rsid w:val="004E7574"/>
    <w:rsid w:val="004F11DC"/>
    <w:rsid w:val="004F3AE0"/>
    <w:rsid w:val="004F5669"/>
    <w:rsid w:val="004F56BB"/>
    <w:rsid w:val="004F769A"/>
    <w:rsid w:val="004F78D2"/>
    <w:rsid w:val="004F7932"/>
    <w:rsid w:val="004F7F06"/>
    <w:rsid w:val="00500A83"/>
    <w:rsid w:val="00500DE5"/>
    <w:rsid w:val="00501E24"/>
    <w:rsid w:val="005026F5"/>
    <w:rsid w:val="0050586C"/>
    <w:rsid w:val="005062E9"/>
    <w:rsid w:val="00510945"/>
    <w:rsid w:val="00510A1A"/>
    <w:rsid w:val="00510A4D"/>
    <w:rsid w:val="005117AB"/>
    <w:rsid w:val="005127BD"/>
    <w:rsid w:val="00514711"/>
    <w:rsid w:val="005147C0"/>
    <w:rsid w:val="00515A2F"/>
    <w:rsid w:val="00515E39"/>
    <w:rsid w:val="00517C2B"/>
    <w:rsid w:val="00517E79"/>
    <w:rsid w:val="005201F6"/>
    <w:rsid w:val="00520EB5"/>
    <w:rsid w:val="00521C4E"/>
    <w:rsid w:val="00523F19"/>
    <w:rsid w:val="005249EB"/>
    <w:rsid w:val="005251D2"/>
    <w:rsid w:val="005257FE"/>
    <w:rsid w:val="00526641"/>
    <w:rsid w:val="005276E8"/>
    <w:rsid w:val="005309BE"/>
    <w:rsid w:val="00532D87"/>
    <w:rsid w:val="00533101"/>
    <w:rsid w:val="00533E96"/>
    <w:rsid w:val="00535DC7"/>
    <w:rsid w:val="00536B36"/>
    <w:rsid w:val="0053797A"/>
    <w:rsid w:val="00537D39"/>
    <w:rsid w:val="00540595"/>
    <w:rsid w:val="005413C0"/>
    <w:rsid w:val="00541917"/>
    <w:rsid w:val="00541F0C"/>
    <w:rsid w:val="0054367D"/>
    <w:rsid w:val="0054414B"/>
    <w:rsid w:val="0054437F"/>
    <w:rsid w:val="0054519A"/>
    <w:rsid w:val="00545627"/>
    <w:rsid w:val="00545A2D"/>
    <w:rsid w:val="00546AC4"/>
    <w:rsid w:val="00546CB2"/>
    <w:rsid w:val="005472B7"/>
    <w:rsid w:val="005477A7"/>
    <w:rsid w:val="00547E81"/>
    <w:rsid w:val="00550546"/>
    <w:rsid w:val="00551341"/>
    <w:rsid w:val="005516CC"/>
    <w:rsid w:val="00551A2A"/>
    <w:rsid w:val="005520A6"/>
    <w:rsid w:val="00552C59"/>
    <w:rsid w:val="00553F1D"/>
    <w:rsid w:val="00554B22"/>
    <w:rsid w:val="005555E5"/>
    <w:rsid w:val="00560904"/>
    <w:rsid w:val="00560EDE"/>
    <w:rsid w:val="00561A9F"/>
    <w:rsid w:val="005627C8"/>
    <w:rsid w:val="005634A8"/>
    <w:rsid w:val="00564468"/>
    <w:rsid w:val="005652EC"/>
    <w:rsid w:val="00565B5F"/>
    <w:rsid w:val="005665B7"/>
    <w:rsid w:val="00567B14"/>
    <w:rsid w:val="0057042C"/>
    <w:rsid w:val="00570633"/>
    <w:rsid w:val="00570696"/>
    <w:rsid w:val="005706C1"/>
    <w:rsid w:val="00570B80"/>
    <w:rsid w:val="00570D08"/>
    <w:rsid w:val="00571CBD"/>
    <w:rsid w:val="005724E7"/>
    <w:rsid w:val="00572550"/>
    <w:rsid w:val="00572A76"/>
    <w:rsid w:val="00572EF9"/>
    <w:rsid w:val="00573C81"/>
    <w:rsid w:val="00573CCB"/>
    <w:rsid w:val="0057450F"/>
    <w:rsid w:val="00574AEB"/>
    <w:rsid w:val="00574BD7"/>
    <w:rsid w:val="0057630C"/>
    <w:rsid w:val="00580104"/>
    <w:rsid w:val="00581120"/>
    <w:rsid w:val="005814C1"/>
    <w:rsid w:val="00582AB5"/>
    <w:rsid w:val="00583496"/>
    <w:rsid w:val="005834A7"/>
    <w:rsid w:val="005837AB"/>
    <w:rsid w:val="00583859"/>
    <w:rsid w:val="0058390D"/>
    <w:rsid w:val="005848E9"/>
    <w:rsid w:val="00584950"/>
    <w:rsid w:val="00584EBF"/>
    <w:rsid w:val="005859CB"/>
    <w:rsid w:val="0058660B"/>
    <w:rsid w:val="00587DD1"/>
    <w:rsid w:val="00587DF9"/>
    <w:rsid w:val="00587E1B"/>
    <w:rsid w:val="0059009B"/>
    <w:rsid w:val="00590234"/>
    <w:rsid w:val="0059099B"/>
    <w:rsid w:val="0059243D"/>
    <w:rsid w:val="0059333F"/>
    <w:rsid w:val="00594376"/>
    <w:rsid w:val="00594CDF"/>
    <w:rsid w:val="00595505"/>
    <w:rsid w:val="005955BC"/>
    <w:rsid w:val="005961D7"/>
    <w:rsid w:val="005A13ED"/>
    <w:rsid w:val="005A153C"/>
    <w:rsid w:val="005A1681"/>
    <w:rsid w:val="005A17B1"/>
    <w:rsid w:val="005A25DA"/>
    <w:rsid w:val="005A2683"/>
    <w:rsid w:val="005A2C05"/>
    <w:rsid w:val="005A3C02"/>
    <w:rsid w:val="005A3FD6"/>
    <w:rsid w:val="005A4A1C"/>
    <w:rsid w:val="005A4B75"/>
    <w:rsid w:val="005A51CB"/>
    <w:rsid w:val="005A7294"/>
    <w:rsid w:val="005A7445"/>
    <w:rsid w:val="005B057D"/>
    <w:rsid w:val="005B1B41"/>
    <w:rsid w:val="005B1DD7"/>
    <w:rsid w:val="005B1E6B"/>
    <w:rsid w:val="005B3D6B"/>
    <w:rsid w:val="005B41CA"/>
    <w:rsid w:val="005B4B53"/>
    <w:rsid w:val="005B4FE1"/>
    <w:rsid w:val="005B501D"/>
    <w:rsid w:val="005B512B"/>
    <w:rsid w:val="005B66BE"/>
    <w:rsid w:val="005B6974"/>
    <w:rsid w:val="005B7906"/>
    <w:rsid w:val="005C08DE"/>
    <w:rsid w:val="005C1CC6"/>
    <w:rsid w:val="005C2701"/>
    <w:rsid w:val="005C2830"/>
    <w:rsid w:val="005C2D25"/>
    <w:rsid w:val="005C40A3"/>
    <w:rsid w:val="005C40DE"/>
    <w:rsid w:val="005C50CB"/>
    <w:rsid w:val="005C78DC"/>
    <w:rsid w:val="005C7C11"/>
    <w:rsid w:val="005D0A23"/>
    <w:rsid w:val="005D1271"/>
    <w:rsid w:val="005D15A9"/>
    <w:rsid w:val="005D2560"/>
    <w:rsid w:val="005D3347"/>
    <w:rsid w:val="005D4CD8"/>
    <w:rsid w:val="005D4DEF"/>
    <w:rsid w:val="005D503C"/>
    <w:rsid w:val="005D5B3D"/>
    <w:rsid w:val="005D5BB7"/>
    <w:rsid w:val="005D612B"/>
    <w:rsid w:val="005D6B10"/>
    <w:rsid w:val="005D6BF3"/>
    <w:rsid w:val="005D74C1"/>
    <w:rsid w:val="005E052A"/>
    <w:rsid w:val="005E21D2"/>
    <w:rsid w:val="005E3C3A"/>
    <w:rsid w:val="005E4093"/>
    <w:rsid w:val="005E5148"/>
    <w:rsid w:val="005E53BC"/>
    <w:rsid w:val="005E5916"/>
    <w:rsid w:val="005E6949"/>
    <w:rsid w:val="005F15D9"/>
    <w:rsid w:val="005F2DB1"/>
    <w:rsid w:val="005F334F"/>
    <w:rsid w:val="005F359B"/>
    <w:rsid w:val="005F3DFA"/>
    <w:rsid w:val="005F49F1"/>
    <w:rsid w:val="005F5D79"/>
    <w:rsid w:val="005F734E"/>
    <w:rsid w:val="005F7377"/>
    <w:rsid w:val="005F7E0E"/>
    <w:rsid w:val="005F7F14"/>
    <w:rsid w:val="00600275"/>
    <w:rsid w:val="00600D8D"/>
    <w:rsid w:val="00601064"/>
    <w:rsid w:val="00601B76"/>
    <w:rsid w:val="006026A3"/>
    <w:rsid w:val="00602BCF"/>
    <w:rsid w:val="00603A7C"/>
    <w:rsid w:val="0060458E"/>
    <w:rsid w:val="00604911"/>
    <w:rsid w:val="0060508E"/>
    <w:rsid w:val="006059EC"/>
    <w:rsid w:val="006060A5"/>
    <w:rsid w:val="006063BF"/>
    <w:rsid w:val="006063EA"/>
    <w:rsid w:val="00606F32"/>
    <w:rsid w:val="00607013"/>
    <w:rsid w:val="00607ABF"/>
    <w:rsid w:val="00610D08"/>
    <w:rsid w:val="00613A48"/>
    <w:rsid w:val="00614484"/>
    <w:rsid w:val="00614791"/>
    <w:rsid w:val="0061550E"/>
    <w:rsid w:val="0061635B"/>
    <w:rsid w:val="00616C9B"/>
    <w:rsid w:val="00616F21"/>
    <w:rsid w:val="00617A98"/>
    <w:rsid w:val="00617C81"/>
    <w:rsid w:val="00620F08"/>
    <w:rsid w:val="00621542"/>
    <w:rsid w:val="00621BF9"/>
    <w:rsid w:val="00624ABF"/>
    <w:rsid w:val="00630372"/>
    <w:rsid w:val="006304D5"/>
    <w:rsid w:val="00631204"/>
    <w:rsid w:val="00631FCE"/>
    <w:rsid w:val="0063308D"/>
    <w:rsid w:val="00633935"/>
    <w:rsid w:val="00634776"/>
    <w:rsid w:val="00634EE0"/>
    <w:rsid w:val="006357E7"/>
    <w:rsid w:val="006359BD"/>
    <w:rsid w:val="00635F3D"/>
    <w:rsid w:val="006369F5"/>
    <w:rsid w:val="00637B05"/>
    <w:rsid w:val="00640185"/>
    <w:rsid w:val="006404BF"/>
    <w:rsid w:val="006405B4"/>
    <w:rsid w:val="00642457"/>
    <w:rsid w:val="0064273B"/>
    <w:rsid w:val="006431D5"/>
    <w:rsid w:val="0064394C"/>
    <w:rsid w:val="00644AF2"/>
    <w:rsid w:val="00645D31"/>
    <w:rsid w:val="00645FDF"/>
    <w:rsid w:val="00647A23"/>
    <w:rsid w:val="00650248"/>
    <w:rsid w:val="00651735"/>
    <w:rsid w:val="006535E3"/>
    <w:rsid w:val="00653962"/>
    <w:rsid w:val="00653CB7"/>
    <w:rsid w:val="006547E4"/>
    <w:rsid w:val="006566BD"/>
    <w:rsid w:val="006578B8"/>
    <w:rsid w:val="00660475"/>
    <w:rsid w:val="00660C60"/>
    <w:rsid w:val="00661557"/>
    <w:rsid w:val="00662F27"/>
    <w:rsid w:val="00664AB4"/>
    <w:rsid w:val="00665139"/>
    <w:rsid w:val="006673C2"/>
    <w:rsid w:val="006678D6"/>
    <w:rsid w:val="00670841"/>
    <w:rsid w:val="00670D72"/>
    <w:rsid w:val="00671110"/>
    <w:rsid w:val="006712C9"/>
    <w:rsid w:val="006753CF"/>
    <w:rsid w:val="006761CE"/>
    <w:rsid w:val="00676B58"/>
    <w:rsid w:val="006773D5"/>
    <w:rsid w:val="006773DF"/>
    <w:rsid w:val="00677A4A"/>
    <w:rsid w:val="00680FE7"/>
    <w:rsid w:val="00681DC5"/>
    <w:rsid w:val="00682290"/>
    <w:rsid w:val="00682DFB"/>
    <w:rsid w:val="00686B0F"/>
    <w:rsid w:val="00686B8A"/>
    <w:rsid w:val="006873B3"/>
    <w:rsid w:val="00687FF1"/>
    <w:rsid w:val="00690064"/>
    <w:rsid w:val="0069077C"/>
    <w:rsid w:val="006917D1"/>
    <w:rsid w:val="0069228F"/>
    <w:rsid w:val="0069270C"/>
    <w:rsid w:val="00692F21"/>
    <w:rsid w:val="00693A98"/>
    <w:rsid w:val="00693ED8"/>
    <w:rsid w:val="006943D2"/>
    <w:rsid w:val="006951EC"/>
    <w:rsid w:val="006957C3"/>
    <w:rsid w:val="0069593F"/>
    <w:rsid w:val="00695972"/>
    <w:rsid w:val="00695D2C"/>
    <w:rsid w:val="00696CD9"/>
    <w:rsid w:val="00697E07"/>
    <w:rsid w:val="006A1BBA"/>
    <w:rsid w:val="006A2D69"/>
    <w:rsid w:val="006A3125"/>
    <w:rsid w:val="006A3F09"/>
    <w:rsid w:val="006A50AD"/>
    <w:rsid w:val="006A6A59"/>
    <w:rsid w:val="006A75A2"/>
    <w:rsid w:val="006A7A2B"/>
    <w:rsid w:val="006A7D6A"/>
    <w:rsid w:val="006B04E2"/>
    <w:rsid w:val="006B1964"/>
    <w:rsid w:val="006B23F2"/>
    <w:rsid w:val="006B297B"/>
    <w:rsid w:val="006B29F5"/>
    <w:rsid w:val="006B2DF0"/>
    <w:rsid w:val="006B314F"/>
    <w:rsid w:val="006B3CD7"/>
    <w:rsid w:val="006B4730"/>
    <w:rsid w:val="006B4CCF"/>
    <w:rsid w:val="006B5243"/>
    <w:rsid w:val="006B5AB6"/>
    <w:rsid w:val="006B6729"/>
    <w:rsid w:val="006B6BF6"/>
    <w:rsid w:val="006B72F5"/>
    <w:rsid w:val="006B7E86"/>
    <w:rsid w:val="006C0271"/>
    <w:rsid w:val="006C1A71"/>
    <w:rsid w:val="006C2BE6"/>
    <w:rsid w:val="006C2E8C"/>
    <w:rsid w:val="006C4D8C"/>
    <w:rsid w:val="006C5C97"/>
    <w:rsid w:val="006C6D7A"/>
    <w:rsid w:val="006C6DE7"/>
    <w:rsid w:val="006C7E65"/>
    <w:rsid w:val="006D09B9"/>
    <w:rsid w:val="006D2811"/>
    <w:rsid w:val="006D38CD"/>
    <w:rsid w:val="006D3C8D"/>
    <w:rsid w:val="006D479A"/>
    <w:rsid w:val="006D496F"/>
    <w:rsid w:val="006D6CDD"/>
    <w:rsid w:val="006D770D"/>
    <w:rsid w:val="006D7DA9"/>
    <w:rsid w:val="006D7FB6"/>
    <w:rsid w:val="006E1A31"/>
    <w:rsid w:val="006E25A3"/>
    <w:rsid w:val="006E3A87"/>
    <w:rsid w:val="006E6F3D"/>
    <w:rsid w:val="006F041A"/>
    <w:rsid w:val="006F306D"/>
    <w:rsid w:val="006F3147"/>
    <w:rsid w:val="006F3B5F"/>
    <w:rsid w:val="006F549A"/>
    <w:rsid w:val="006F5B2F"/>
    <w:rsid w:val="006F5B91"/>
    <w:rsid w:val="00700529"/>
    <w:rsid w:val="00700580"/>
    <w:rsid w:val="00701C5F"/>
    <w:rsid w:val="00703953"/>
    <w:rsid w:val="0070439F"/>
    <w:rsid w:val="007043A0"/>
    <w:rsid w:val="007055A3"/>
    <w:rsid w:val="00705F5F"/>
    <w:rsid w:val="0070609E"/>
    <w:rsid w:val="00706406"/>
    <w:rsid w:val="007067AD"/>
    <w:rsid w:val="007067FC"/>
    <w:rsid w:val="00706B5F"/>
    <w:rsid w:val="00707672"/>
    <w:rsid w:val="00707B8B"/>
    <w:rsid w:val="00710235"/>
    <w:rsid w:val="0071190C"/>
    <w:rsid w:val="00711BAC"/>
    <w:rsid w:val="00712179"/>
    <w:rsid w:val="00713C78"/>
    <w:rsid w:val="00713F09"/>
    <w:rsid w:val="007153CD"/>
    <w:rsid w:val="00715FBE"/>
    <w:rsid w:val="007171C5"/>
    <w:rsid w:val="00717572"/>
    <w:rsid w:val="00720551"/>
    <w:rsid w:val="00720716"/>
    <w:rsid w:val="00721363"/>
    <w:rsid w:val="00721D45"/>
    <w:rsid w:val="0072374E"/>
    <w:rsid w:val="007237BF"/>
    <w:rsid w:val="00723D1B"/>
    <w:rsid w:val="00723D85"/>
    <w:rsid w:val="00724364"/>
    <w:rsid w:val="00724B68"/>
    <w:rsid w:val="00724B96"/>
    <w:rsid w:val="007258E6"/>
    <w:rsid w:val="007268B0"/>
    <w:rsid w:val="00727B11"/>
    <w:rsid w:val="00727E8D"/>
    <w:rsid w:val="00733337"/>
    <w:rsid w:val="007335B4"/>
    <w:rsid w:val="00733D33"/>
    <w:rsid w:val="00735B94"/>
    <w:rsid w:val="00736B37"/>
    <w:rsid w:val="007402EE"/>
    <w:rsid w:val="0074128D"/>
    <w:rsid w:val="00742EF1"/>
    <w:rsid w:val="00742F0E"/>
    <w:rsid w:val="00743B00"/>
    <w:rsid w:val="00746119"/>
    <w:rsid w:val="007472F8"/>
    <w:rsid w:val="007507C5"/>
    <w:rsid w:val="00751F2C"/>
    <w:rsid w:val="00753D39"/>
    <w:rsid w:val="00754272"/>
    <w:rsid w:val="0075512F"/>
    <w:rsid w:val="007568A7"/>
    <w:rsid w:val="007569C4"/>
    <w:rsid w:val="00756A65"/>
    <w:rsid w:val="007571AC"/>
    <w:rsid w:val="007576E4"/>
    <w:rsid w:val="00760C41"/>
    <w:rsid w:val="00761C70"/>
    <w:rsid w:val="00761CC9"/>
    <w:rsid w:val="00761DE8"/>
    <w:rsid w:val="00762E9D"/>
    <w:rsid w:val="00764630"/>
    <w:rsid w:val="00764896"/>
    <w:rsid w:val="00765699"/>
    <w:rsid w:val="00765E5D"/>
    <w:rsid w:val="00770318"/>
    <w:rsid w:val="007704FC"/>
    <w:rsid w:val="0077204C"/>
    <w:rsid w:val="0077223E"/>
    <w:rsid w:val="00772AD4"/>
    <w:rsid w:val="00773B1E"/>
    <w:rsid w:val="00774927"/>
    <w:rsid w:val="007755E1"/>
    <w:rsid w:val="00775733"/>
    <w:rsid w:val="007758EA"/>
    <w:rsid w:val="007805A8"/>
    <w:rsid w:val="00781134"/>
    <w:rsid w:val="00781B15"/>
    <w:rsid w:val="007822B2"/>
    <w:rsid w:val="00782E0A"/>
    <w:rsid w:val="00783AD3"/>
    <w:rsid w:val="00783B38"/>
    <w:rsid w:val="0078447E"/>
    <w:rsid w:val="007858CB"/>
    <w:rsid w:val="007868A3"/>
    <w:rsid w:val="00791549"/>
    <w:rsid w:val="00791C34"/>
    <w:rsid w:val="00792B9A"/>
    <w:rsid w:val="0079318C"/>
    <w:rsid w:val="0079358F"/>
    <w:rsid w:val="0079433F"/>
    <w:rsid w:val="007946A6"/>
    <w:rsid w:val="00795492"/>
    <w:rsid w:val="00796777"/>
    <w:rsid w:val="00796E50"/>
    <w:rsid w:val="00796EA6"/>
    <w:rsid w:val="00797F57"/>
    <w:rsid w:val="007A002E"/>
    <w:rsid w:val="007A0FC5"/>
    <w:rsid w:val="007A12ED"/>
    <w:rsid w:val="007A1B9B"/>
    <w:rsid w:val="007A2C4C"/>
    <w:rsid w:val="007A4C74"/>
    <w:rsid w:val="007A54CE"/>
    <w:rsid w:val="007A56D8"/>
    <w:rsid w:val="007A6B38"/>
    <w:rsid w:val="007A72FF"/>
    <w:rsid w:val="007B0FDB"/>
    <w:rsid w:val="007B1846"/>
    <w:rsid w:val="007B1C99"/>
    <w:rsid w:val="007B23E7"/>
    <w:rsid w:val="007B2E31"/>
    <w:rsid w:val="007B3EBC"/>
    <w:rsid w:val="007B4828"/>
    <w:rsid w:val="007B4C81"/>
    <w:rsid w:val="007B58D6"/>
    <w:rsid w:val="007B7EBC"/>
    <w:rsid w:val="007C1231"/>
    <w:rsid w:val="007C1470"/>
    <w:rsid w:val="007C154B"/>
    <w:rsid w:val="007C23E4"/>
    <w:rsid w:val="007C57A6"/>
    <w:rsid w:val="007C5D14"/>
    <w:rsid w:val="007C6764"/>
    <w:rsid w:val="007C67D6"/>
    <w:rsid w:val="007C7821"/>
    <w:rsid w:val="007C7AA9"/>
    <w:rsid w:val="007D06FA"/>
    <w:rsid w:val="007D0BCE"/>
    <w:rsid w:val="007D1D4C"/>
    <w:rsid w:val="007D2354"/>
    <w:rsid w:val="007D3143"/>
    <w:rsid w:val="007D40D9"/>
    <w:rsid w:val="007D4853"/>
    <w:rsid w:val="007D4D74"/>
    <w:rsid w:val="007D54A3"/>
    <w:rsid w:val="007D5875"/>
    <w:rsid w:val="007D7088"/>
    <w:rsid w:val="007D75BE"/>
    <w:rsid w:val="007D799E"/>
    <w:rsid w:val="007D7B97"/>
    <w:rsid w:val="007E00FE"/>
    <w:rsid w:val="007E1567"/>
    <w:rsid w:val="007E54FA"/>
    <w:rsid w:val="007E575A"/>
    <w:rsid w:val="007E60C0"/>
    <w:rsid w:val="007E6F48"/>
    <w:rsid w:val="007E7033"/>
    <w:rsid w:val="007F13D6"/>
    <w:rsid w:val="007F1A7E"/>
    <w:rsid w:val="007F34AD"/>
    <w:rsid w:val="007F38A2"/>
    <w:rsid w:val="007F4152"/>
    <w:rsid w:val="007F4932"/>
    <w:rsid w:val="007F4BE7"/>
    <w:rsid w:val="007F66D1"/>
    <w:rsid w:val="007F67BB"/>
    <w:rsid w:val="007F6B82"/>
    <w:rsid w:val="007F766C"/>
    <w:rsid w:val="007F7952"/>
    <w:rsid w:val="008006B4"/>
    <w:rsid w:val="00802435"/>
    <w:rsid w:val="00802A73"/>
    <w:rsid w:val="00803208"/>
    <w:rsid w:val="008055F9"/>
    <w:rsid w:val="00805DC1"/>
    <w:rsid w:val="008068DC"/>
    <w:rsid w:val="008076EF"/>
    <w:rsid w:val="00810521"/>
    <w:rsid w:val="00810D07"/>
    <w:rsid w:val="008120AE"/>
    <w:rsid w:val="00812DC2"/>
    <w:rsid w:val="00812E84"/>
    <w:rsid w:val="00813362"/>
    <w:rsid w:val="00820493"/>
    <w:rsid w:val="00820580"/>
    <w:rsid w:val="00820767"/>
    <w:rsid w:val="008244B7"/>
    <w:rsid w:val="0082722F"/>
    <w:rsid w:val="00827EFB"/>
    <w:rsid w:val="00830729"/>
    <w:rsid w:val="0083092B"/>
    <w:rsid w:val="0083181C"/>
    <w:rsid w:val="00833D37"/>
    <w:rsid w:val="008340C5"/>
    <w:rsid w:val="00835024"/>
    <w:rsid w:val="00835408"/>
    <w:rsid w:val="008361A4"/>
    <w:rsid w:val="00840593"/>
    <w:rsid w:val="00840692"/>
    <w:rsid w:val="0084108B"/>
    <w:rsid w:val="0084476F"/>
    <w:rsid w:val="0084658E"/>
    <w:rsid w:val="00846755"/>
    <w:rsid w:val="008468AF"/>
    <w:rsid w:val="00846CAD"/>
    <w:rsid w:val="00847E13"/>
    <w:rsid w:val="00847F44"/>
    <w:rsid w:val="0085414D"/>
    <w:rsid w:val="00854AF4"/>
    <w:rsid w:val="00855A67"/>
    <w:rsid w:val="00857061"/>
    <w:rsid w:val="00857F4E"/>
    <w:rsid w:val="00861816"/>
    <w:rsid w:val="008627A4"/>
    <w:rsid w:val="00867D47"/>
    <w:rsid w:val="0087063B"/>
    <w:rsid w:val="00871D04"/>
    <w:rsid w:val="00872B23"/>
    <w:rsid w:val="00874D4C"/>
    <w:rsid w:val="0087512C"/>
    <w:rsid w:val="0087523B"/>
    <w:rsid w:val="00875322"/>
    <w:rsid w:val="00876D0F"/>
    <w:rsid w:val="00877A3F"/>
    <w:rsid w:val="00877A93"/>
    <w:rsid w:val="00880256"/>
    <w:rsid w:val="00880FE6"/>
    <w:rsid w:val="00881343"/>
    <w:rsid w:val="00881F04"/>
    <w:rsid w:val="00882219"/>
    <w:rsid w:val="00884B9F"/>
    <w:rsid w:val="00885C8D"/>
    <w:rsid w:val="008860CD"/>
    <w:rsid w:val="008864B1"/>
    <w:rsid w:val="008902EA"/>
    <w:rsid w:val="0089067A"/>
    <w:rsid w:val="0089222E"/>
    <w:rsid w:val="0089303E"/>
    <w:rsid w:val="0089496A"/>
    <w:rsid w:val="00894983"/>
    <w:rsid w:val="0089530F"/>
    <w:rsid w:val="00896119"/>
    <w:rsid w:val="00897643"/>
    <w:rsid w:val="008979CE"/>
    <w:rsid w:val="00897ACD"/>
    <w:rsid w:val="00897B08"/>
    <w:rsid w:val="008A156B"/>
    <w:rsid w:val="008A1D83"/>
    <w:rsid w:val="008A2178"/>
    <w:rsid w:val="008A2CFA"/>
    <w:rsid w:val="008A3044"/>
    <w:rsid w:val="008A31C8"/>
    <w:rsid w:val="008A37F7"/>
    <w:rsid w:val="008A4CD7"/>
    <w:rsid w:val="008A6313"/>
    <w:rsid w:val="008A641B"/>
    <w:rsid w:val="008A6EFE"/>
    <w:rsid w:val="008B0AB2"/>
    <w:rsid w:val="008B0DCE"/>
    <w:rsid w:val="008B1233"/>
    <w:rsid w:val="008B1D72"/>
    <w:rsid w:val="008B30BD"/>
    <w:rsid w:val="008B3A27"/>
    <w:rsid w:val="008B4473"/>
    <w:rsid w:val="008B6364"/>
    <w:rsid w:val="008B7706"/>
    <w:rsid w:val="008C03AE"/>
    <w:rsid w:val="008C0D80"/>
    <w:rsid w:val="008C11DD"/>
    <w:rsid w:val="008C15BC"/>
    <w:rsid w:val="008C1F9D"/>
    <w:rsid w:val="008C2822"/>
    <w:rsid w:val="008C3BDF"/>
    <w:rsid w:val="008C476D"/>
    <w:rsid w:val="008C4FCE"/>
    <w:rsid w:val="008C70FC"/>
    <w:rsid w:val="008C7304"/>
    <w:rsid w:val="008D013C"/>
    <w:rsid w:val="008D097E"/>
    <w:rsid w:val="008D10E3"/>
    <w:rsid w:val="008D1172"/>
    <w:rsid w:val="008D208C"/>
    <w:rsid w:val="008D2C95"/>
    <w:rsid w:val="008D3327"/>
    <w:rsid w:val="008D48F8"/>
    <w:rsid w:val="008D4F72"/>
    <w:rsid w:val="008D5EA3"/>
    <w:rsid w:val="008E035A"/>
    <w:rsid w:val="008E0D23"/>
    <w:rsid w:val="008E14C7"/>
    <w:rsid w:val="008E2161"/>
    <w:rsid w:val="008E3866"/>
    <w:rsid w:val="008E3944"/>
    <w:rsid w:val="008E3D06"/>
    <w:rsid w:val="008E4938"/>
    <w:rsid w:val="008E5C3B"/>
    <w:rsid w:val="008E5E80"/>
    <w:rsid w:val="008E6CCD"/>
    <w:rsid w:val="008E7523"/>
    <w:rsid w:val="008E7ADA"/>
    <w:rsid w:val="008E7B54"/>
    <w:rsid w:val="008F0442"/>
    <w:rsid w:val="008F1341"/>
    <w:rsid w:val="008F1972"/>
    <w:rsid w:val="008F1F9E"/>
    <w:rsid w:val="008F3C9A"/>
    <w:rsid w:val="008F3EBB"/>
    <w:rsid w:val="008F433D"/>
    <w:rsid w:val="008F4660"/>
    <w:rsid w:val="008F46B5"/>
    <w:rsid w:val="008F4DFC"/>
    <w:rsid w:val="008F6EFF"/>
    <w:rsid w:val="008F6F3B"/>
    <w:rsid w:val="008F73D5"/>
    <w:rsid w:val="00900287"/>
    <w:rsid w:val="0090167A"/>
    <w:rsid w:val="00901E20"/>
    <w:rsid w:val="009021E8"/>
    <w:rsid w:val="00902C72"/>
    <w:rsid w:val="00903A47"/>
    <w:rsid w:val="0090513F"/>
    <w:rsid w:val="0090579C"/>
    <w:rsid w:val="00907C0A"/>
    <w:rsid w:val="00910320"/>
    <w:rsid w:val="009103D0"/>
    <w:rsid w:val="00910E54"/>
    <w:rsid w:val="00911EB7"/>
    <w:rsid w:val="00913435"/>
    <w:rsid w:val="00914898"/>
    <w:rsid w:val="009160CD"/>
    <w:rsid w:val="0091613D"/>
    <w:rsid w:val="009163FE"/>
    <w:rsid w:val="009178E9"/>
    <w:rsid w:val="00917C7A"/>
    <w:rsid w:val="00920EFC"/>
    <w:rsid w:val="0092128A"/>
    <w:rsid w:val="00921F3A"/>
    <w:rsid w:val="00921F76"/>
    <w:rsid w:val="00922449"/>
    <w:rsid w:val="009239FF"/>
    <w:rsid w:val="009246EE"/>
    <w:rsid w:val="00925A7E"/>
    <w:rsid w:val="00925F89"/>
    <w:rsid w:val="00925FD4"/>
    <w:rsid w:val="00926B49"/>
    <w:rsid w:val="00927C9A"/>
    <w:rsid w:val="0093137B"/>
    <w:rsid w:val="00931855"/>
    <w:rsid w:val="0093446B"/>
    <w:rsid w:val="0093464B"/>
    <w:rsid w:val="009346BF"/>
    <w:rsid w:val="009349A1"/>
    <w:rsid w:val="00935A7C"/>
    <w:rsid w:val="00935D6E"/>
    <w:rsid w:val="0093615E"/>
    <w:rsid w:val="009365EA"/>
    <w:rsid w:val="00937D21"/>
    <w:rsid w:val="00937F2A"/>
    <w:rsid w:val="00940114"/>
    <w:rsid w:val="00940AD1"/>
    <w:rsid w:val="0094290F"/>
    <w:rsid w:val="009431E8"/>
    <w:rsid w:val="0094343D"/>
    <w:rsid w:val="00943C62"/>
    <w:rsid w:val="00944146"/>
    <w:rsid w:val="009453AD"/>
    <w:rsid w:val="00946732"/>
    <w:rsid w:val="00947AF2"/>
    <w:rsid w:val="00947E5C"/>
    <w:rsid w:val="00950507"/>
    <w:rsid w:val="00950596"/>
    <w:rsid w:val="0095062F"/>
    <w:rsid w:val="00950F0E"/>
    <w:rsid w:val="00951CDD"/>
    <w:rsid w:val="00951F6D"/>
    <w:rsid w:val="00952BF1"/>
    <w:rsid w:val="00954033"/>
    <w:rsid w:val="0095433E"/>
    <w:rsid w:val="00955914"/>
    <w:rsid w:val="00956D0B"/>
    <w:rsid w:val="00957D3E"/>
    <w:rsid w:val="009619CB"/>
    <w:rsid w:val="0096206C"/>
    <w:rsid w:val="00962F84"/>
    <w:rsid w:val="0096319B"/>
    <w:rsid w:val="0096439B"/>
    <w:rsid w:val="00964AB6"/>
    <w:rsid w:val="00966A14"/>
    <w:rsid w:val="00966DE5"/>
    <w:rsid w:val="00967755"/>
    <w:rsid w:val="0097000B"/>
    <w:rsid w:val="00970A9B"/>
    <w:rsid w:val="00970FA1"/>
    <w:rsid w:val="009712F4"/>
    <w:rsid w:val="00971A83"/>
    <w:rsid w:val="009726DD"/>
    <w:rsid w:val="00973FA1"/>
    <w:rsid w:val="009742D9"/>
    <w:rsid w:val="00975540"/>
    <w:rsid w:val="00975A97"/>
    <w:rsid w:val="00975CCD"/>
    <w:rsid w:val="00975F26"/>
    <w:rsid w:val="00975FDA"/>
    <w:rsid w:val="00976F3D"/>
    <w:rsid w:val="009801BC"/>
    <w:rsid w:val="0098170D"/>
    <w:rsid w:val="00982C6C"/>
    <w:rsid w:val="00983193"/>
    <w:rsid w:val="009832DF"/>
    <w:rsid w:val="00984DBC"/>
    <w:rsid w:val="00986075"/>
    <w:rsid w:val="009860D2"/>
    <w:rsid w:val="009867DD"/>
    <w:rsid w:val="00986921"/>
    <w:rsid w:val="00986B20"/>
    <w:rsid w:val="009873F4"/>
    <w:rsid w:val="00990120"/>
    <w:rsid w:val="0099044F"/>
    <w:rsid w:val="00990CCC"/>
    <w:rsid w:val="00994090"/>
    <w:rsid w:val="009946B7"/>
    <w:rsid w:val="00994FF4"/>
    <w:rsid w:val="009960CF"/>
    <w:rsid w:val="00996BBB"/>
    <w:rsid w:val="00997FBA"/>
    <w:rsid w:val="009A0B85"/>
    <w:rsid w:val="009A31F6"/>
    <w:rsid w:val="009A5C20"/>
    <w:rsid w:val="009A6240"/>
    <w:rsid w:val="009A6881"/>
    <w:rsid w:val="009B076B"/>
    <w:rsid w:val="009B0790"/>
    <w:rsid w:val="009B2F6C"/>
    <w:rsid w:val="009B2F93"/>
    <w:rsid w:val="009B3114"/>
    <w:rsid w:val="009B3DCB"/>
    <w:rsid w:val="009B4D92"/>
    <w:rsid w:val="009B5750"/>
    <w:rsid w:val="009B598D"/>
    <w:rsid w:val="009B5A56"/>
    <w:rsid w:val="009B5E4F"/>
    <w:rsid w:val="009B5F55"/>
    <w:rsid w:val="009B671E"/>
    <w:rsid w:val="009B6784"/>
    <w:rsid w:val="009B678D"/>
    <w:rsid w:val="009B721D"/>
    <w:rsid w:val="009B795F"/>
    <w:rsid w:val="009C21AA"/>
    <w:rsid w:val="009C255C"/>
    <w:rsid w:val="009C47BC"/>
    <w:rsid w:val="009C4959"/>
    <w:rsid w:val="009C4A2C"/>
    <w:rsid w:val="009C4A99"/>
    <w:rsid w:val="009C5CA5"/>
    <w:rsid w:val="009C693D"/>
    <w:rsid w:val="009C6C1D"/>
    <w:rsid w:val="009C6DB1"/>
    <w:rsid w:val="009D10A8"/>
    <w:rsid w:val="009D16E9"/>
    <w:rsid w:val="009D35B1"/>
    <w:rsid w:val="009D378E"/>
    <w:rsid w:val="009D5252"/>
    <w:rsid w:val="009D53E4"/>
    <w:rsid w:val="009D64B8"/>
    <w:rsid w:val="009D69A3"/>
    <w:rsid w:val="009D7670"/>
    <w:rsid w:val="009D7747"/>
    <w:rsid w:val="009E0E08"/>
    <w:rsid w:val="009E1F4E"/>
    <w:rsid w:val="009E2E7B"/>
    <w:rsid w:val="009E2FD6"/>
    <w:rsid w:val="009E360F"/>
    <w:rsid w:val="009E41D1"/>
    <w:rsid w:val="009E50BC"/>
    <w:rsid w:val="009E5DB1"/>
    <w:rsid w:val="009F03BD"/>
    <w:rsid w:val="009F081E"/>
    <w:rsid w:val="009F1F9F"/>
    <w:rsid w:val="009F2348"/>
    <w:rsid w:val="009F25BA"/>
    <w:rsid w:val="009F282C"/>
    <w:rsid w:val="009F36D8"/>
    <w:rsid w:val="009F600E"/>
    <w:rsid w:val="009F6390"/>
    <w:rsid w:val="009F6F79"/>
    <w:rsid w:val="00A00752"/>
    <w:rsid w:val="00A011D4"/>
    <w:rsid w:val="00A01B76"/>
    <w:rsid w:val="00A02429"/>
    <w:rsid w:val="00A035D3"/>
    <w:rsid w:val="00A0396C"/>
    <w:rsid w:val="00A03C76"/>
    <w:rsid w:val="00A03EE9"/>
    <w:rsid w:val="00A041E2"/>
    <w:rsid w:val="00A0456F"/>
    <w:rsid w:val="00A04973"/>
    <w:rsid w:val="00A05858"/>
    <w:rsid w:val="00A05B8B"/>
    <w:rsid w:val="00A05F96"/>
    <w:rsid w:val="00A07B48"/>
    <w:rsid w:val="00A110B3"/>
    <w:rsid w:val="00A11163"/>
    <w:rsid w:val="00A1128A"/>
    <w:rsid w:val="00A1135C"/>
    <w:rsid w:val="00A11A88"/>
    <w:rsid w:val="00A11F2F"/>
    <w:rsid w:val="00A1334D"/>
    <w:rsid w:val="00A149EE"/>
    <w:rsid w:val="00A1638B"/>
    <w:rsid w:val="00A16AB9"/>
    <w:rsid w:val="00A17EFE"/>
    <w:rsid w:val="00A2003D"/>
    <w:rsid w:val="00A201FB"/>
    <w:rsid w:val="00A21309"/>
    <w:rsid w:val="00A2275E"/>
    <w:rsid w:val="00A22D88"/>
    <w:rsid w:val="00A22F05"/>
    <w:rsid w:val="00A230D8"/>
    <w:rsid w:val="00A231CD"/>
    <w:rsid w:val="00A23B8A"/>
    <w:rsid w:val="00A240DA"/>
    <w:rsid w:val="00A26131"/>
    <w:rsid w:val="00A273BE"/>
    <w:rsid w:val="00A276D2"/>
    <w:rsid w:val="00A302C3"/>
    <w:rsid w:val="00A316B7"/>
    <w:rsid w:val="00A3226D"/>
    <w:rsid w:val="00A339DF"/>
    <w:rsid w:val="00A35672"/>
    <w:rsid w:val="00A359DB"/>
    <w:rsid w:val="00A3683F"/>
    <w:rsid w:val="00A36C6F"/>
    <w:rsid w:val="00A37F07"/>
    <w:rsid w:val="00A4385C"/>
    <w:rsid w:val="00A43A5E"/>
    <w:rsid w:val="00A43EB7"/>
    <w:rsid w:val="00A461BD"/>
    <w:rsid w:val="00A4693F"/>
    <w:rsid w:val="00A51718"/>
    <w:rsid w:val="00A5197F"/>
    <w:rsid w:val="00A51CDB"/>
    <w:rsid w:val="00A53815"/>
    <w:rsid w:val="00A53AA0"/>
    <w:rsid w:val="00A5441B"/>
    <w:rsid w:val="00A554E9"/>
    <w:rsid w:val="00A555D3"/>
    <w:rsid w:val="00A55C2C"/>
    <w:rsid w:val="00A5712D"/>
    <w:rsid w:val="00A571AB"/>
    <w:rsid w:val="00A620A5"/>
    <w:rsid w:val="00A62A54"/>
    <w:rsid w:val="00A65043"/>
    <w:rsid w:val="00A65AE1"/>
    <w:rsid w:val="00A67D1E"/>
    <w:rsid w:val="00A71859"/>
    <w:rsid w:val="00A7213C"/>
    <w:rsid w:val="00A7324C"/>
    <w:rsid w:val="00A745CA"/>
    <w:rsid w:val="00A7540E"/>
    <w:rsid w:val="00A755D2"/>
    <w:rsid w:val="00A7680F"/>
    <w:rsid w:val="00A76EB5"/>
    <w:rsid w:val="00A7738E"/>
    <w:rsid w:val="00A777E5"/>
    <w:rsid w:val="00A778F6"/>
    <w:rsid w:val="00A814F7"/>
    <w:rsid w:val="00A8381B"/>
    <w:rsid w:val="00A84212"/>
    <w:rsid w:val="00A86F20"/>
    <w:rsid w:val="00A90568"/>
    <w:rsid w:val="00A906AB"/>
    <w:rsid w:val="00A90AD1"/>
    <w:rsid w:val="00A91715"/>
    <w:rsid w:val="00A91F1B"/>
    <w:rsid w:val="00A93F6D"/>
    <w:rsid w:val="00A942D0"/>
    <w:rsid w:val="00A94641"/>
    <w:rsid w:val="00A956A5"/>
    <w:rsid w:val="00A95765"/>
    <w:rsid w:val="00A95D91"/>
    <w:rsid w:val="00A9660C"/>
    <w:rsid w:val="00A96B41"/>
    <w:rsid w:val="00A976F6"/>
    <w:rsid w:val="00AA1809"/>
    <w:rsid w:val="00AA1B7F"/>
    <w:rsid w:val="00AA1F33"/>
    <w:rsid w:val="00AA245D"/>
    <w:rsid w:val="00AA258F"/>
    <w:rsid w:val="00AA2E97"/>
    <w:rsid w:val="00AA4011"/>
    <w:rsid w:val="00AA560B"/>
    <w:rsid w:val="00AA66CB"/>
    <w:rsid w:val="00AA6CD3"/>
    <w:rsid w:val="00AB24B6"/>
    <w:rsid w:val="00AB3D5F"/>
    <w:rsid w:val="00AB4C64"/>
    <w:rsid w:val="00AB6FF6"/>
    <w:rsid w:val="00AB745E"/>
    <w:rsid w:val="00AC0315"/>
    <w:rsid w:val="00AC330A"/>
    <w:rsid w:val="00AC3729"/>
    <w:rsid w:val="00AC39DB"/>
    <w:rsid w:val="00AC3D57"/>
    <w:rsid w:val="00AC3DA0"/>
    <w:rsid w:val="00AC57DD"/>
    <w:rsid w:val="00AC6B65"/>
    <w:rsid w:val="00AC6FF3"/>
    <w:rsid w:val="00AD0CC2"/>
    <w:rsid w:val="00AD0F71"/>
    <w:rsid w:val="00AD14D1"/>
    <w:rsid w:val="00AD1759"/>
    <w:rsid w:val="00AD1E81"/>
    <w:rsid w:val="00AD2C96"/>
    <w:rsid w:val="00AD358D"/>
    <w:rsid w:val="00AD4867"/>
    <w:rsid w:val="00AD5B17"/>
    <w:rsid w:val="00AD5D62"/>
    <w:rsid w:val="00AD6F85"/>
    <w:rsid w:val="00AD7831"/>
    <w:rsid w:val="00AD7EE7"/>
    <w:rsid w:val="00AE14DB"/>
    <w:rsid w:val="00AE1CC7"/>
    <w:rsid w:val="00AE2508"/>
    <w:rsid w:val="00AE2AA8"/>
    <w:rsid w:val="00AE2F6C"/>
    <w:rsid w:val="00AE3444"/>
    <w:rsid w:val="00AE4E3B"/>
    <w:rsid w:val="00AE637E"/>
    <w:rsid w:val="00AE78D6"/>
    <w:rsid w:val="00AF0BC1"/>
    <w:rsid w:val="00AF103F"/>
    <w:rsid w:val="00AF1961"/>
    <w:rsid w:val="00AF3424"/>
    <w:rsid w:val="00AF3823"/>
    <w:rsid w:val="00AF431F"/>
    <w:rsid w:val="00AF4FCA"/>
    <w:rsid w:val="00AF5EE1"/>
    <w:rsid w:val="00B000D5"/>
    <w:rsid w:val="00B017AD"/>
    <w:rsid w:val="00B01BB4"/>
    <w:rsid w:val="00B02142"/>
    <w:rsid w:val="00B02FBB"/>
    <w:rsid w:val="00B04207"/>
    <w:rsid w:val="00B043A0"/>
    <w:rsid w:val="00B06885"/>
    <w:rsid w:val="00B06D68"/>
    <w:rsid w:val="00B07441"/>
    <w:rsid w:val="00B07824"/>
    <w:rsid w:val="00B105C5"/>
    <w:rsid w:val="00B1226F"/>
    <w:rsid w:val="00B13100"/>
    <w:rsid w:val="00B13354"/>
    <w:rsid w:val="00B139A9"/>
    <w:rsid w:val="00B13C9A"/>
    <w:rsid w:val="00B1413C"/>
    <w:rsid w:val="00B15400"/>
    <w:rsid w:val="00B15E37"/>
    <w:rsid w:val="00B16CAD"/>
    <w:rsid w:val="00B16EF5"/>
    <w:rsid w:val="00B172AA"/>
    <w:rsid w:val="00B175AD"/>
    <w:rsid w:val="00B17807"/>
    <w:rsid w:val="00B21352"/>
    <w:rsid w:val="00B218C6"/>
    <w:rsid w:val="00B225A3"/>
    <w:rsid w:val="00B22B1A"/>
    <w:rsid w:val="00B235F7"/>
    <w:rsid w:val="00B24DC9"/>
    <w:rsid w:val="00B2504F"/>
    <w:rsid w:val="00B270E2"/>
    <w:rsid w:val="00B27D7F"/>
    <w:rsid w:val="00B305DF"/>
    <w:rsid w:val="00B3292F"/>
    <w:rsid w:val="00B336A2"/>
    <w:rsid w:val="00B34A64"/>
    <w:rsid w:val="00B35288"/>
    <w:rsid w:val="00B36A0C"/>
    <w:rsid w:val="00B36F0F"/>
    <w:rsid w:val="00B37740"/>
    <w:rsid w:val="00B4180D"/>
    <w:rsid w:val="00B425A8"/>
    <w:rsid w:val="00B43A0E"/>
    <w:rsid w:val="00B43CCB"/>
    <w:rsid w:val="00B45265"/>
    <w:rsid w:val="00B45F0C"/>
    <w:rsid w:val="00B47576"/>
    <w:rsid w:val="00B513D0"/>
    <w:rsid w:val="00B51446"/>
    <w:rsid w:val="00B52435"/>
    <w:rsid w:val="00B52C5F"/>
    <w:rsid w:val="00B530A7"/>
    <w:rsid w:val="00B537AA"/>
    <w:rsid w:val="00B539EC"/>
    <w:rsid w:val="00B54687"/>
    <w:rsid w:val="00B54884"/>
    <w:rsid w:val="00B54CCB"/>
    <w:rsid w:val="00B55A67"/>
    <w:rsid w:val="00B56327"/>
    <w:rsid w:val="00B5703F"/>
    <w:rsid w:val="00B57EA4"/>
    <w:rsid w:val="00B62066"/>
    <w:rsid w:val="00B62450"/>
    <w:rsid w:val="00B62970"/>
    <w:rsid w:val="00B62EDA"/>
    <w:rsid w:val="00B639A4"/>
    <w:rsid w:val="00B63BB2"/>
    <w:rsid w:val="00B6454D"/>
    <w:rsid w:val="00B66B08"/>
    <w:rsid w:val="00B6702B"/>
    <w:rsid w:val="00B67058"/>
    <w:rsid w:val="00B67063"/>
    <w:rsid w:val="00B70952"/>
    <w:rsid w:val="00B71DFA"/>
    <w:rsid w:val="00B72653"/>
    <w:rsid w:val="00B73C8F"/>
    <w:rsid w:val="00B73F65"/>
    <w:rsid w:val="00B7522C"/>
    <w:rsid w:val="00B75565"/>
    <w:rsid w:val="00B76149"/>
    <w:rsid w:val="00B771E8"/>
    <w:rsid w:val="00B7791C"/>
    <w:rsid w:val="00B8069D"/>
    <w:rsid w:val="00B80C38"/>
    <w:rsid w:val="00B829A1"/>
    <w:rsid w:val="00B83734"/>
    <w:rsid w:val="00B83773"/>
    <w:rsid w:val="00B8607B"/>
    <w:rsid w:val="00B86618"/>
    <w:rsid w:val="00B8677D"/>
    <w:rsid w:val="00B86E4A"/>
    <w:rsid w:val="00B90DC8"/>
    <w:rsid w:val="00B9135C"/>
    <w:rsid w:val="00B919A9"/>
    <w:rsid w:val="00B932E2"/>
    <w:rsid w:val="00B945C3"/>
    <w:rsid w:val="00B95A49"/>
    <w:rsid w:val="00B96AEF"/>
    <w:rsid w:val="00B97EE6"/>
    <w:rsid w:val="00BA0D8C"/>
    <w:rsid w:val="00BA0ECD"/>
    <w:rsid w:val="00BA120B"/>
    <w:rsid w:val="00BA13B1"/>
    <w:rsid w:val="00BA1CB3"/>
    <w:rsid w:val="00BA2352"/>
    <w:rsid w:val="00BA3492"/>
    <w:rsid w:val="00BA3E24"/>
    <w:rsid w:val="00BA47CE"/>
    <w:rsid w:val="00BA4D25"/>
    <w:rsid w:val="00BA6ADB"/>
    <w:rsid w:val="00BA7886"/>
    <w:rsid w:val="00BA7D8D"/>
    <w:rsid w:val="00BB0C28"/>
    <w:rsid w:val="00BB1E07"/>
    <w:rsid w:val="00BB20E7"/>
    <w:rsid w:val="00BB22E0"/>
    <w:rsid w:val="00BB2C3C"/>
    <w:rsid w:val="00BB2DBD"/>
    <w:rsid w:val="00BB39B8"/>
    <w:rsid w:val="00BB55CF"/>
    <w:rsid w:val="00BB6697"/>
    <w:rsid w:val="00BB66B5"/>
    <w:rsid w:val="00BB6CEF"/>
    <w:rsid w:val="00BB74CB"/>
    <w:rsid w:val="00BB77D6"/>
    <w:rsid w:val="00BB7C47"/>
    <w:rsid w:val="00BC1504"/>
    <w:rsid w:val="00BC1DE4"/>
    <w:rsid w:val="00BC2AA2"/>
    <w:rsid w:val="00BC2E71"/>
    <w:rsid w:val="00BC3323"/>
    <w:rsid w:val="00BC4533"/>
    <w:rsid w:val="00BC462A"/>
    <w:rsid w:val="00BC46B3"/>
    <w:rsid w:val="00BC48CE"/>
    <w:rsid w:val="00BC59DE"/>
    <w:rsid w:val="00BC63E5"/>
    <w:rsid w:val="00BC67AB"/>
    <w:rsid w:val="00BD1607"/>
    <w:rsid w:val="00BD1A45"/>
    <w:rsid w:val="00BD53B2"/>
    <w:rsid w:val="00BD5FE7"/>
    <w:rsid w:val="00BD7A41"/>
    <w:rsid w:val="00BE048B"/>
    <w:rsid w:val="00BE0B82"/>
    <w:rsid w:val="00BE0CA7"/>
    <w:rsid w:val="00BE1CB1"/>
    <w:rsid w:val="00BE1CCE"/>
    <w:rsid w:val="00BE4442"/>
    <w:rsid w:val="00BE6061"/>
    <w:rsid w:val="00BE6275"/>
    <w:rsid w:val="00BF0AD9"/>
    <w:rsid w:val="00BF0C43"/>
    <w:rsid w:val="00BF2B09"/>
    <w:rsid w:val="00BF4976"/>
    <w:rsid w:val="00BF4FC1"/>
    <w:rsid w:val="00BF5218"/>
    <w:rsid w:val="00BF5922"/>
    <w:rsid w:val="00BF6255"/>
    <w:rsid w:val="00BF75E3"/>
    <w:rsid w:val="00C00185"/>
    <w:rsid w:val="00C004BF"/>
    <w:rsid w:val="00C00E48"/>
    <w:rsid w:val="00C017EC"/>
    <w:rsid w:val="00C03F7D"/>
    <w:rsid w:val="00C051E3"/>
    <w:rsid w:val="00C05CF0"/>
    <w:rsid w:val="00C05CFC"/>
    <w:rsid w:val="00C07E9F"/>
    <w:rsid w:val="00C10ADC"/>
    <w:rsid w:val="00C11171"/>
    <w:rsid w:val="00C12843"/>
    <w:rsid w:val="00C12B85"/>
    <w:rsid w:val="00C1305A"/>
    <w:rsid w:val="00C13A0B"/>
    <w:rsid w:val="00C14D86"/>
    <w:rsid w:val="00C14EDD"/>
    <w:rsid w:val="00C150D8"/>
    <w:rsid w:val="00C15CF8"/>
    <w:rsid w:val="00C16684"/>
    <w:rsid w:val="00C16BFB"/>
    <w:rsid w:val="00C16EC7"/>
    <w:rsid w:val="00C1753A"/>
    <w:rsid w:val="00C208B8"/>
    <w:rsid w:val="00C20BB0"/>
    <w:rsid w:val="00C21045"/>
    <w:rsid w:val="00C21079"/>
    <w:rsid w:val="00C21607"/>
    <w:rsid w:val="00C2181C"/>
    <w:rsid w:val="00C22186"/>
    <w:rsid w:val="00C22F80"/>
    <w:rsid w:val="00C24357"/>
    <w:rsid w:val="00C25348"/>
    <w:rsid w:val="00C25B9F"/>
    <w:rsid w:val="00C27D45"/>
    <w:rsid w:val="00C32CC9"/>
    <w:rsid w:val="00C339B5"/>
    <w:rsid w:val="00C351D3"/>
    <w:rsid w:val="00C3522B"/>
    <w:rsid w:val="00C356F4"/>
    <w:rsid w:val="00C35B3B"/>
    <w:rsid w:val="00C3637F"/>
    <w:rsid w:val="00C3644E"/>
    <w:rsid w:val="00C36679"/>
    <w:rsid w:val="00C37AEF"/>
    <w:rsid w:val="00C40024"/>
    <w:rsid w:val="00C40C34"/>
    <w:rsid w:val="00C4123B"/>
    <w:rsid w:val="00C41ACB"/>
    <w:rsid w:val="00C4303B"/>
    <w:rsid w:val="00C4365A"/>
    <w:rsid w:val="00C436B8"/>
    <w:rsid w:val="00C4370E"/>
    <w:rsid w:val="00C43F9B"/>
    <w:rsid w:val="00C43FF7"/>
    <w:rsid w:val="00C44613"/>
    <w:rsid w:val="00C44B76"/>
    <w:rsid w:val="00C458E7"/>
    <w:rsid w:val="00C46136"/>
    <w:rsid w:val="00C46E00"/>
    <w:rsid w:val="00C46F43"/>
    <w:rsid w:val="00C47B9A"/>
    <w:rsid w:val="00C5230E"/>
    <w:rsid w:val="00C52441"/>
    <w:rsid w:val="00C53517"/>
    <w:rsid w:val="00C53B32"/>
    <w:rsid w:val="00C561AB"/>
    <w:rsid w:val="00C5774B"/>
    <w:rsid w:val="00C57819"/>
    <w:rsid w:val="00C578FF"/>
    <w:rsid w:val="00C604D1"/>
    <w:rsid w:val="00C60930"/>
    <w:rsid w:val="00C61085"/>
    <w:rsid w:val="00C6160C"/>
    <w:rsid w:val="00C61839"/>
    <w:rsid w:val="00C621B6"/>
    <w:rsid w:val="00C62A09"/>
    <w:rsid w:val="00C63F18"/>
    <w:rsid w:val="00C64446"/>
    <w:rsid w:val="00C655DE"/>
    <w:rsid w:val="00C65865"/>
    <w:rsid w:val="00C66CE8"/>
    <w:rsid w:val="00C66F74"/>
    <w:rsid w:val="00C7034E"/>
    <w:rsid w:val="00C70A26"/>
    <w:rsid w:val="00C73C4C"/>
    <w:rsid w:val="00C7440E"/>
    <w:rsid w:val="00C75550"/>
    <w:rsid w:val="00C777B6"/>
    <w:rsid w:val="00C77C12"/>
    <w:rsid w:val="00C802DF"/>
    <w:rsid w:val="00C8050B"/>
    <w:rsid w:val="00C80B34"/>
    <w:rsid w:val="00C81B67"/>
    <w:rsid w:val="00C81FF7"/>
    <w:rsid w:val="00C8354C"/>
    <w:rsid w:val="00C83F12"/>
    <w:rsid w:val="00C85BAD"/>
    <w:rsid w:val="00C861DC"/>
    <w:rsid w:val="00C86C08"/>
    <w:rsid w:val="00C8755A"/>
    <w:rsid w:val="00C87867"/>
    <w:rsid w:val="00C87B0F"/>
    <w:rsid w:val="00C91EB6"/>
    <w:rsid w:val="00C92D59"/>
    <w:rsid w:val="00C92F5B"/>
    <w:rsid w:val="00C937F2"/>
    <w:rsid w:val="00C949F3"/>
    <w:rsid w:val="00C9786E"/>
    <w:rsid w:val="00CA05F2"/>
    <w:rsid w:val="00CA1168"/>
    <w:rsid w:val="00CA24FE"/>
    <w:rsid w:val="00CA2841"/>
    <w:rsid w:val="00CA2C3C"/>
    <w:rsid w:val="00CA3764"/>
    <w:rsid w:val="00CA3949"/>
    <w:rsid w:val="00CA3A3B"/>
    <w:rsid w:val="00CA5254"/>
    <w:rsid w:val="00CA6666"/>
    <w:rsid w:val="00CA6902"/>
    <w:rsid w:val="00CA6DBD"/>
    <w:rsid w:val="00CA733C"/>
    <w:rsid w:val="00CA7A43"/>
    <w:rsid w:val="00CB04D7"/>
    <w:rsid w:val="00CB1418"/>
    <w:rsid w:val="00CB18EF"/>
    <w:rsid w:val="00CB3D71"/>
    <w:rsid w:val="00CB53DE"/>
    <w:rsid w:val="00CB5C02"/>
    <w:rsid w:val="00CB5FC5"/>
    <w:rsid w:val="00CB79B5"/>
    <w:rsid w:val="00CB7C0F"/>
    <w:rsid w:val="00CC18A4"/>
    <w:rsid w:val="00CC1C3C"/>
    <w:rsid w:val="00CC20AF"/>
    <w:rsid w:val="00CC2853"/>
    <w:rsid w:val="00CC295B"/>
    <w:rsid w:val="00CC2C00"/>
    <w:rsid w:val="00CC2F66"/>
    <w:rsid w:val="00CC318C"/>
    <w:rsid w:val="00CC4996"/>
    <w:rsid w:val="00CC4B78"/>
    <w:rsid w:val="00CC525D"/>
    <w:rsid w:val="00CC53C3"/>
    <w:rsid w:val="00CC5FB6"/>
    <w:rsid w:val="00CC6701"/>
    <w:rsid w:val="00CC7ABC"/>
    <w:rsid w:val="00CD0100"/>
    <w:rsid w:val="00CD0BDF"/>
    <w:rsid w:val="00CD2A38"/>
    <w:rsid w:val="00CD2BAB"/>
    <w:rsid w:val="00CD3C94"/>
    <w:rsid w:val="00CD6C99"/>
    <w:rsid w:val="00CD78D4"/>
    <w:rsid w:val="00CD7AF9"/>
    <w:rsid w:val="00CE05DF"/>
    <w:rsid w:val="00CE0866"/>
    <w:rsid w:val="00CE3590"/>
    <w:rsid w:val="00CE4536"/>
    <w:rsid w:val="00CE4BDA"/>
    <w:rsid w:val="00CE4CE5"/>
    <w:rsid w:val="00CE4F24"/>
    <w:rsid w:val="00CE6562"/>
    <w:rsid w:val="00CE7777"/>
    <w:rsid w:val="00CF01C0"/>
    <w:rsid w:val="00CF0475"/>
    <w:rsid w:val="00CF0A0F"/>
    <w:rsid w:val="00CF2180"/>
    <w:rsid w:val="00CF542D"/>
    <w:rsid w:val="00CF5E89"/>
    <w:rsid w:val="00CF6947"/>
    <w:rsid w:val="00D01D0F"/>
    <w:rsid w:val="00D028C6"/>
    <w:rsid w:val="00D02901"/>
    <w:rsid w:val="00D02C95"/>
    <w:rsid w:val="00D02F67"/>
    <w:rsid w:val="00D034CA"/>
    <w:rsid w:val="00D03CF2"/>
    <w:rsid w:val="00D04319"/>
    <w:rsid w:val="00D0459B"/>
    <w:rsid w:val="00D04A90"/>
    <w:rsid w:val="00D06BD9"/>
    <w:rsid w:val="00D10755"/>
    <w:rsid w:val="00D113B5"/>
    <w:rsid w:val="00D127B9"/>
    <w:rsid w:val="00D1294F"/>
    <w:rsid w:val="00D12994"/>
    <w:rsid w:val="00D12C62"/>
    <w:rsid w:val="00D13488"/>
    <w:rsid w:val="00D137EC"/>
    <w:rsid w:val="00D145FE"/>
    <w:rsid w:val="00D14ADD"/>
    <w:rsid w:val="00D155C7"/>
    <w:rsid w:val="00D16B49"/>
    <w:rsid w:val="00D170CE"/>
    <w:rsid w:val="00D171FA"/>
    <w:rsid w:val="00D17B03"/>
    <w:rsid w:val="00D17BAD"/>
    <w:rsid w:val="00D20186"/>
    <w:rsid w:val="00D205C2"/>
    <w:rsid w:val="00D20652"/>
    <w:rsid w:val="00D20E26"/>
    <w:rsid w:val="00D21381"/>
    <w:rsid w:val="00D22AD5"/>
    <w:rsid w:val="00D22CF2"/>
    <w:rsid w:val="00D22D9A"/>
    <w:rsid w:val="00D2374D"/>
    <w:rsid w:val="00D25671"/>
    <w:rsid w:val="00D25DF6"/>
    <w:rsid w:val="00D25E28"/>
    <w:rsid w:val="00D2629A"/>
    <w:rsid w:val="00D26A30"/>
    <w:rsid w:val="00D30394"/>
    <w:rsid w:val="00D3077E"/>
    <w:rsid w:val="00D30E2E"/>
    <w:rsid w:val="00D335D2"/>
    <w:rsid w:val="00D33706"/>
    <w:rsid w:val="00D341BC"/>
    <w:rsid w:val="00D34B63"/>
    <w:rsid w:val="00D35540"/>
    <w:rsid w:val="00D35EA3"/>
    <w:rsid w:val="00D36E06"/>
    <w:rsid w:val="00D36F96"/>
    <w:rsid w:val="00D3716A"/>
    <w:rsid w:val="00D37E91"/>
    <w:rsid w:val="00D37F50"/>
    <w:rsid w:val="00D41822"/>
    <w:rsid w:val="00D460DF"/>
    <w:rsid w:val="00D46BA8"/>
    <w:rsid w:val="00D50F73"/>
    <w:rsid w:val="00D51A4C"/>
    <w:rsid w:val="00D51D3A"/>
    <w:rsid w:val="00D52816"/>
    <w:rsid w:val="00D52E33"/>
    <w:rsid w:val="00D52F8C"/>
    <w:rsid w:val="00D5317A"/>
    <w:rsid w:val="00D532FA"/>
    <w:rsid w:val="00D53398"/>
    <w:rsid w:val="00D53578"/>
    <w:rsid w:val="00D5393E"/>
    <w:rsid w:val="00D53A9E"/>
    <w:rsid w:val="00D5574A"/>
    <w:rsid w:val="00D567A7"/>
    <w:rsid w:val="00D5746C"/>
    <w:rsid w:val="00D57755"/>
    <w:rsid w:val="00D57B55"/>
    <w:rsid w:val="00D60F29"/>
    <w:rsid w:val="00D622C6"/>
    <w:rsid w:val="00D6275B"/>
    <w:rsid w:val="00D63371"/>
    <w:rsid w:val="00D6426B"/>
    <w:rsid w:val="00D64B32"/>
    <w:rsid w:val="00D6503B"/>
    <w:rsid w:val="00D6507C"/>
    <w:rsid w:val="00D65707"/>
    <w:rsid w:val="00D65946"/>
    <w:rsid w:val="00D705AE"/>
    <w:rsid w:val="00D7118A"/>
    <w:rsid w:val="00D72CF8"/>
    <w:rsid w:val="00D73F92"/>
    <w:rsid w:val="00D7446E"/>
    <w:rsid w:val="00D744EA"/>
    <w:rsid w:val="00D74FA8"/>
    <w:rsid w:val="00D753DA"/>
    <w:rsid w:val="00D753FE"/>
    <w:rsid w:val="00D763C5"/>
    <w:rsid w:val="00D77C31"/>
    <w:rsid w:val="00D80049"/>
    <w:rsid w:val="00D80374"/>
    <w:rsid w:val="00D80ADF"/>
    <w:rsid w:val="00D80E12"/>
    <w:rsid w:val="00D817C7"/>
    <w:rsid w:val="00D819A3"/>
    <w:rsid w:val="00D82071"/>
    <w:rsid w:val="00D839FE"/>
    <w:rsid w:val="00D843B5"/>
    <w:rsid w:val="00D8493A"/>
    <w:rsid w:val="00D84C1F"/>
    <w:rsid w:val="00D85185"/>
    <w:rsid w:val="00D85231"/>
    <w:rsid w:val="00D852E7"/>
    <w:rsid w:val="00D85B53"/>
    <w:rsid w:val="00D86630"/>
    <w:rsid w:val="00D876C2"/>
    <w:rsid w:val="00D904E8"/>
    <w:rsid w:val="00D90F21"/>
    <w:rsid w:val="00D92446"/>
    <w:rsid w:val="00D93308"/>
    <w:rsid w:val="00D93B1F"/>
    <w:rsid w:val="00D945C1"/>
    <w:rsid w:val="00D94FFC"/>
    <w:rsid w:val="00D97660"/>
    <w:rsid w:val="00DA0262"/>
    <w:rsid w:val="00DA0271"/>
    <w:rsid w:val="00DA0507"/>
    <w:rsid w:val="00DA10AA"/>
    <w:rsid w:val="00DA3F86"/>
    <w:rsid w:val="00DA44CB"/>
    <w:rsid w:val="00DA4DFA"/>
    <w:rsid w:val="00DA5E8A"/>
    <w:rsid w:val="00DA6129"/>
    <w:rsid w:val="00DA6599"/>
    <w:rsid w:val="00DB09E7"/>
    <w:rsid w:val="00DB0B9E"/>
    <w:rsid w:val="00DB0D45"/>
    <w:rsid w:val="00DB1578"/>
    <w:rsid w:val="00DB1DDC"/>
    <w:rsid w:val="00DB33DD"/>
    <w:rsid w:val="00DB385B"/>
    <w:rsid w:val="00DB47DB"/>
    <w:rsid w:val="00DB4D2C"/>
    <w:rsid w:val="00DB5548"/>
    <w:rsid w:val="00DB57B1"/>
    <w:rsid w:val="00DB602B"/>
    <w:rsid w:val="00DB6620"/>
    <w:rsid w:val="00DB702B"/>
    <w:rsid w:val="00DB70F7"/>
    <w:rsid w:val="00DC0EAE"/>
    <w:rsid w:val="00DC1B4E"/>
    <w:rsid w:val="00DC1F18"/>
    <w:rsid w:val="00DC2CC7"/>
    <w:rsid w:val="00DC3101"/>
    <w:rsid w:val="00DC31F7"/>
    <w:rsid w:val="00DC39E9"/>
    <w:rsid w:val="00DD0032"/>
    <w:rsid w:val="00DD0DA5"/>
    <w:rsid w:val="00DD2DA2"/>
    <w:rsid w:val="00DD3714"/>
    <w:rsid w:val="00DD3E96"/>
    <w:rsid w:val="00DD52EC"/>
    <w:rsid w:val="00DD5467"/>
    <w:rsid w:val="00DD5765"/>
    <w:rsid w:val="00DD6119"/>
    <w:rsid w:val="00DD6778"/>
    <w:rsid w:val="00DD7E98"/>
    <w:rsid w:val="00DD7FB5"/>
    <w:rsid w:val="00DE0207"/>
    <w:rsid w:val="00DE03C2"/>
    <w:rsid w:val="00DE044F"/>
    <w:rsid w:val="00DE0A55"/>
    <w:rsid w:val="00DE0DD9"/>
    <w:rsid w:val="00DE2344"/>
    <w:rsid w:val="00DE3C57"/>
    <w:rsid w:val="00DE4063"/>
    <w:rsid w:val="00DE5312"/>
    <w:rsid w:val="00DE5323"/>
    <w:rsid w:val="00DE5686"/>
    <w:rsid w:val="00DE7130"/>
    <w:rsid w:val="00DE7942"/>
    <w:rsid w:val="00DE7A05"/>
    <w:rsid w:val="00DF1062"/>
    <w:rsid w:val="00DF1479"/>
    <w:rsid w:val="00DF1AE3"/>
    <w:rsid w:val="00DF27F5"/>
    <w:rsid w:val="00DF2B83"/>
    <w:rsid w:val="00DF2FFD"/>
    <w:rsid w:val="00DF312D"/>
    <w:rsid w:val="00DF35F6"/>
    <w:rsid w:val="00DF405F"/>
    <w:rsid w:val="00DF4318"/>
    <w:rsid w:val="00DF44FB"/>
    <w:rsid w:val="00DF4F51"/>
    <w:rsid w:val="00DF50C9"/>
    <w:rsid w:val="00DF580B"/>
    <w:rsid w:val="00DF5DEE"/>
    <w:rsid w:val="00DF7F9D"/>
    <w:rsid w:val="00E00674"/>
    <w:rsid w:val="00E011E0"/>
    <w:rsid w:val="00E04B59"/>
    <w:rsid w:val="00E05DC6"/>
    <w:rsid w:val="00E12B6C"/>
    <w:rsid w:val="00E12C4B"/>
    <w:rsid w:val="00E14A75"/>
    <w:rsid w:val="00E14D81"/>
    <w:rsid w:val="00E1542D"/>
    <w:rsid w:val="00E15743"/>
    <w:rsid w:val="00E157B2"/>
    <w:rsid w:val="00E2039D"/>
    <w:rsid w:val="00E205E9"/>
    <w:rsid w:val="00E2103B"/>
    <w:rsid w:val="00E211E6"/>
    <w:rsid w:val="00E218A8"/>
    <w:rsid w:val="00E218DA"/>
    <w:rsid w:val="00E22F01"/>
    <w:rsid w:val="00E24189"/>
    <w:rsid w:val="00E243FF"/>
    <w:rsid w:val="00E258C3"/>
    <w:rsid w:val="00E26C48"/>
    <w:rsid w:val="00E26E43"/>
    <w:rsid w:val="00E27343"/>
    <w:rsid w:val="00E27D3C"/>
    <w:rsid w:val="00E27EC6"/>
    <w:rsid w:val="00E308E0"/>
    <w:rsid w:val="00E315E6"/>
    <w:rsid w:val="00E3261E"/>
    <w:rsid w:val="00E32D50"/>
    <w:rsid w:val="00E33233"/>
    <w:rsid w:val="00E33AAB"/>
    <w:rsid w:val="00E34E89"/>
    <w:rsid w:val="00E3522A"/>
    <w:rsid w:val="00E36D3E"/>
    <w:rsid w:val="00E3718C"/>
    <w:rsid w:val="00E37901"/>
    <w:rsid w:val="00E37BF7"/>
    <w:rsid w:val="00E4005D"/>
    <w:rsid w:val="00E40269"/>
    <w:rsid w:val="00E40BEE"/>
    <w:rsid w:val="00E42392"/>
    <w:rsid w:val="00E43487"/>
    <w:rsid w:val="00E450AC"/>
    <w:rsid w:val="00E450DC"/>
    <w:rsid w:val="00E45DF9"/>
    <w:rsid w:val="00E4640D"/>
    <w:rsid w:val="00E467B1"/>
    <w:rsid w:val="00E473B7"/>
    <w:rsid w:val="00E50ED4"/>
    <w:rsid w:val="00E511BF"/>
    <w:rsid w:val="00E51AEC"/>
    <w:rsid w:val="00E524C4"/>
    <w:rsid w:val="00E52F4B"/>
    <w:rsid w:val="00E5316B"/>
    <w:rsid w:val="00E531AF"/>
    <w:rsid w:val="00E53718"/>
    <w:rsid w:val="00E543CC"/>
    <w:rsid w:val="00E549BB"/>
    <w:rsid w:val="00E54F4F"/>
    <w:rsid w:val="00E55A24"/>
    <w:rsid w:val="00E56AF7"/>
    <w:rsid w:val="00E57065"/>
    <w:rsid w:val="00E57B81"/>
    <w:rsid w:val="00E60B33"/>
    <w:rsid w:val="00E626A6"/>
    <w:rsid w:val="00E62B54"/>
    <w:rsid w:val="00E630D5"/>
    <w:rsid w:val="00E64208"/>
    <w:rsid w:val="00E6469E"/>
    <w:rsid w:val="00E6483A"/>
    <w:rsid w:val="00E64D3B"/>
    <w:rsid w:val="00E65252"/>
    <w:rsid w:val="00E65FCA"/>
    <w:rsid w:val="00E668EC"/>
    <w:rsid w:val="00E67DC7"/>
    <w:rsid w:val="00E70D4B"/>
    <w:rsid w:val="00E72279"/>
    <w:rsid w:val="00E73023"/>
    <w:rsid w:val="00E73A75"/>
    <w:rsid w:val="00E759E4"/>
    <w:rsid w:val="00E75ABB"/>
    <w:rsid w:val="00E7669A"/>
    <w:rsid w:val="00E76E40"/>
    <w:rsid w:val="00E775CE"/>
    <w:rsid w:val="00E81BD0"/>
    <w:rsid w:val="00E8231F"/>
    <w:rsid w:val="00E8263C"/>
    <w:rsid w:val="00E83153"/>
    <w:rsid w:val="00E8335C"/>
    <w:rsid w:val="00E83F2F"/>
    <w:rsid w:val="00E8595E"/>
    <w:rsid w:val="00E86B63"/>
    <w:rsid w:val="00E8744A"/>
    <w:rsid w:val="00E905AA"/>
    <w:rsid w:val="00E9079B"/>
    <w:rsid w:val="00E90BDB"/>
    <w:rsid w:val="00E90DCB"/>
    <w:rsid w:val="00E91516"/>
    <w:rsid w:val="00E92660"/>
    <w:rsid w:val="00E94514"/>
    <w:rsid w:val="00E945B7"/>
    <w:rsid w:val="00E94709"/>
    <w:rsid w:val="00EA0131"/>
    <w:rsid w:val="00EA06EF"/>
    <w:rsid w:val="00EA0992"/>
    <w:rsid w:val="00EA1213"/>
    <w:rsid w:val="00EA12CC"/>
    <w:rsid w:val="00EA1443"/>
    <w:rsid w:val="00EA1B4C"/>
    <w:rsid w:val="00EA2083"/>
    <w:rsid w:val="00EA20C9"/>
    <w:rsid w:val="00EA2ADF"/>
    <w:rsid w:val="00EA325F"/>
    <w:rsid w:val="00EA4F88"/>
    <w:rsid w:val="00EA5F19"/>
    <w:rsid w:val="00EA5F41"/>
    <w:rsid w:val="00EA62C0"/>
    <w:rsid w:val="00EA642A"/>
    <w:rsid w:val="00EA6A14"/>
    <w:rsid w:val="00EA796B"/>
    <w:rsid w:val="00EB093E"/>
    <w:rsid w:val="00EB0A31"/>
    <w:rsid w:val="00EB15A8"/>
    <w:rsid w:val="00EB1B30"/>
    <w:rsid w:val="00EB23C2"/>
    <w:rsid w:val="00EB2705"/>
    <w:rsid w:val="00EB3019"/>
    <w:rsid w:val="00EB4ECA"/>
    <w:rsid w:val="00EB5BA4"/>
    <w:rsid w:val="00EB5C58"/>
    <w:rsid w:val="00EB5C6E"/>
    <w:rsid w:val="00EB6A2F"/>
    <w:rsid w:val="00EB71E2"/>
    <w:rsid w:val="00EC1D73"/>
    <w:rsid w:val="00EC2CAB"/>
    <w:rsid w:val="00EC3B93"/>
    <w:rsid w:val="00EC3E82"/>
    <w:rsid w:val="00EC3EC3"/>
    <w:rsid w:val="00EC54AC"/>
    <w:rsid w:val="00EC562D"/>
    <w:rsid w:val="00EC695E"/>
    <w:rsid w:val="00EC6F59"/>
    <w:rsid w:val="00EC7CE7"/>
    <w:rsid w:val="00ED0398"/>
    <w:rsid w:val="00ED2207"/>
    <w:rsid w:val="00ED2DE2"/>
    <w:rsid w:val="00ED3619"/>
    <w:rsid w:val="00ED3AED"/>
    <w:rsid w:val="00ED40DF"/>
    <w:rsid w:val="00ED4330"/>
    <w:rsid w:val="00ED477C"/>
    <w:rsid w:val="00ED48DF"/>
    <w:rsid w:val="00ED4EDA"/>
    <w:rsid w:val="00ED4F54"/>
    <w:rsid w:val="00ED516B"/>
    <w:rsid w:val="00ED53E8"/>
    <w:rsid w:val="00ED5C1D"/>
    <w:rsid w:val="00ED61F8"/>
    <w:rsid w:val="00ED653E"/>
    <w:rsid w:val="00ED65CC"/>
    <w:rsid w:val="00ED6E07"/>
    <w:rsid w:val="00ED7184"/>
    <w:rsid w:val="00ED72C4"/>
    <w:rsid w:val="00EE0994"/>
    <w:rsid w:val="00EE1A55"/>
    <w:rsid w:val="00EE3D44"/>
    <w:rsid w:val="00EE405E"/>
    <w:rsid w:val="00EE48C8"/>
    <w:rsid w:val="00EE4CB8"/>
    <w:rsid w:val="00EE4D58"/>
    <w:rsid w:val="00EE58CC"/>
    <w:rsid w:val="00EE6674"/>
    <w:rsid w:val="00EE7109"/>
    <w:rsid w:val="00EF0D01"/>
    <w:rsid w:val="00EF0E30"/>
    <w:rsid w:val="00EF11D3"/>
    <w:rsid w:val="00EF1EA9"/>
    <w:rsid w:val="00EF2052"/>
    <w:rsid w:val="00EF2D52"/>
    <w:rsid w:val="00EF3D20"/>
    <w:rsid w:val="00EF3F9B"/>
    <w:rsid w:val="00EF4FD9"/>
    <w:rsid w:val="00EF58FC"/>
    <w:rsid w:val="00EF6BB9"/>
    <w:rsid w:val="00EF7045"/>
    <w:rsid w:val="00F00E58"/>
    <w:rsid w:val="00F01628"/>
    <w:rsid w:val="00F01D45"/>
    <w:rsid w:val="00F02049"/>
    <w:rsid w:val="00F02DC6"/>
    <w:rsid w:val="00F02E13"/>
    <w:rsid w:val="00F0315E"/>
    <w:rsid w:val="00F03514"/>
    <w:rsid w:val="00F03BCA"/>
    <w:rsid w:val="00F04759"/>
    <w:rsid w:val="00F04A88"/>
    <w:rsid w:val="00F0796D"/>
    <w:rsid w:val="00F12021"/>
    <w:rsid w:val="00F12C22"/>
    <w:rsid w:val="00F12ED5"/>
    <w:rsid w:val="00F132D6"/>
    <w:rsid w:val="00F15AA4"/>
    <w:rsid w:val="00F162EF"/>
    <w:rsid w:val="00F173D4"/>
    <w:rsid w:val="00F17401"/>
    <w:rsid w:val="00F20670"/>
    <w:rsid w:val="00F21440"/>
    <w:rsid w:val="00F23320"/>
    <w:rsid w:val="00F23D58"/>
    <w:rsid w:val="00F24363"/>
    <w:rsid w:val="00F24847"/>
    <w:rsid w:val="00F24B4E"/>
    <w:rsid w:val="00F26CBD"/>
    <w:rsid w:val="00F27407"/>
    <w:rsid w:val="00F30271"/>
    <w:rsid w:val="00F307C4"/>
    <w:rsid w:val="00F30805"/>
    <w:rsid w:val="00F32019"/>
    <w:rsid w:val="00F3264F"/>
    <w:rsid w:val="00F32CCE"/>
    <w:rsid w:val="00F333CD"/>
    <w:rsid w:val="00F334C7"/>
    <w:rsid w:val="00F33724"/>
    <w:rsid w:val="00F33964"/>
    <w:rsid w:val="00F34DEF"/>
    <w:rsid w:val="00F3576C"/>
    <w:rsid w:val="00F35950"/>
    <w:rsid w:val="00F3642F"/>
    <w:rsid w:val="00F40933"/>
    <w:rsid w:val="00F41782"/>
    <w:rsid w:val="00F41A21"/>
    <w:rsid w:val="00F42328"/>
    <w:rsid w:val="00F4275A"/>
    <w:rsid w:val="00F42B24"/>
    <w:rsid w:val="00F43774"/>
    <w:rsid w:val="00F43E20"/>
    <w:rsid w:val="00F44ECB"/>
    <w:rsid w:val="00F4559A"/>
    <w:rsid w:val="00F45A3B"/>
    <w:rsid w:val="00F46FFD"/>
    <w:rsid w:val="00F504EB"/>
    <w:rsid w:val="00F506B0"/>
    <w:rsid w:val="00F50E2D"/>
    <w:rsid w:val="00F512EF"/>
    <w:rsid w:val="00F520A9"/>
    <w:rsid w:val="00F5280C"/>
    <w:rsid w:val="00F52ACF"/>
    <w:rsid w:val="00F52DD0"/>
    <w:rsid w:val="00F53B47"/>
    <w:rsid w:val="00F546FE"/>
    <w:rsid w:val="00F54E14"/>
    <w:rsid w:val="00F54FA1"/>
    <w:rsid w:val="00F55EEC"/>
    <w:rsid w:val="00F56F66"/>
    <w:rsid w:val="00F5733D"/>
    <w:rsid w:val="00F610B4"/>
    <w:rsid w:val="00F64F11"/>
    <w:rsid w:val="00F6583F"/>
    <w:rsid w:val="00F65CE6"/>
    <w:rsid w:val="00F66183"/>
    <w:rsid w:val="00F6653B"/>
    <w:rsid w:val="00F670C5"/>
    <w:rsid w:val="00F678B3"/>
    <w:rsid w:val="00F71139"/>
    <w:rsid w:val="00F713E5"/>
    <w:rsid w:val="00F717F9"/>
    <w:rsid w:val="00F71AEA"/>
    <w:rsid w:val="00F72043"/>
    <w:rsid w:val="00F727AE"/>
    <w:rsid w:val="00F72F4A"/>
    <w:rsid w:val="00F73904"/>
    <w:rsid w:val="00F7396A"/>
    <w:rsid w:val="00F73CD1"/>
    <w:rsid w:val="00F74D1F"/>
    <w:rsid w:val="00F75FC1"/>
    <w:rsid w:val="00F77121"/>
    <w:rsid w:val="00F77BFC"/>
    <w:rsid w:val="00F80588"/>
    <w:rsid w:val="00F80FA4"/>
    <w:rsid w:val="00F81400"/>
    <w:rsid w:val="00F81DCC"/>
    <w:rsid w:val="00F84895"/>
    <w:rsid w:val="00F85164"/>
    <w:rsid w:val="00F85196"/>
    <w:rsid w:val="00F85B35"/>
    <w:rsid w:val="00F85F99"/>
    <w:rsid w:val="00F8644E"/>
    <w:rsid w:val="00F867C3"/>
    <w:rsid w:val="00F86C5C"/>
    <w:rsid w:val="00F87EC8"/>
    <w:rsid w:val="00F87F47"/>
    <w:rsid w:val="00F9084E"/>
    <w:rsid w:val="00F90A69"/>
    <w:rsid w:val="00F90C5C"/>
    <w:rsid w:val="00F91AD5"/>
    <w:rsid w:val="00F91CC5"/>
    <w:rsid w:val="00F92540"/>
    <w:rsid w:val="00F9296B"/>
    <w:rsid w:val="00F92BD2"/>
    <w:rsid w:val="00F92D48"/>
    <w:rsid w:val="00F92F4A"/>
    <w:rsid w:val="00F9353D"/>
    <w:rsid w:val="00F93CF3"/>
    <w:rsid w:val="00F954D4"/>
    <w:rsid w:val="00F956C8"/>
    <w:rsid w:val="00F96609"/>
    <w:rsid w:val="00F97FC7"/>
    <w:rsid w:val="00FA07A6"/>
    <w:rsid w:val="00FA0AD4"/>
    <w:rsid w:val="00FA18F9"/>
    <w:rsid w:val="00FA2157"/>
    <w:rsid w:val="00FA3623"/>
    <w:rsid w:val="00FA37A5"/>
    <w:rsid w:val="00FA3C02"/>
    <w:rsid w:val="00FA4BC1"/>
    <w:rsid w:val="00FA4F35"/>
    <w:rsid w:val="00FA52EA"/>
    <w:rsid w:val="00FB05B5"/>
    <w:rsid w:val="00FB1B12"/>
    <w:rsid w:val="00FB2288"/>
    <w:rsid w:val="00FB27F2"/>
    <w:rsid w:val="00FB2BFB"/>
    <w:rsid w:val="00FB34AD"/>
    <w:rsid w:val="00FB3BD6"/>
    <w:rsid w:val="00FB487A"/>
    <w:rsid w:val="00FB4CA7"/>
    <w:rsid w:val="00FB50AE"/>
    <w:rsid w:val="00FB5586"/>
    <w:rsid w:val="00FB632F"/>
    <w:rsid w:val="00FB7F92"/>
    <w:rsid w:val="00FC05BD"/>
    <w:rsid w:val="00FC17CC"/>
    <w:rsid w:val="00FC45F9"/>
    <w:rsid w:val="00FC4842"/>
    <w:rsid w:val="00FC51A6"/>
    <w:rsid w:val="00FC53EB"/>
    <w:rsid w:val="00FC729C"/>
    <w:rsid w:val="00FC72BF"/>
    <w:rsid w:val="00FC7940"/>
    <w:rsid w:val="00FC7ADC"/>
    <w:rsid w:val="00FD1181"/>
    <w:rsid w:val="00FD27C6"/>
    <w:rsid w:val="00FD3605"/>
    <w:rsid w:val="00FD4361"/>
    <w:rsid w:val="00FD6710"/>
    <w:rsid w:val="00FD7F85"/>
    <w:rsid w:val="00FE09EC"/>
    <w:rsid w:val="00FE0AE0"/>
    <w:rsid w:val="00FE0B16"/>
    <w:rsid w:val="00FE125A"/>
    <w:rsid w:val="00FE19BB"/>
    <w:rsid w:val="00FE32B4"/>
    <w:rsid w:val="00FE3AAC"/>
    <w:rsid w:val="00FE3C71"/>
    <w:rsid w:val="00FE44D4"/>
    <w:rsid w:val="00FE566A"/>
    <w:rsid w:val="00FE5B6F"/>
    <w:rsid w:val="00FE6E64"/>
    <w:rsid w:val="00FE7736"/>
    <w:rsid w:val="00FE79B4"/>
    <w:rsid w:val="00FE7B6C"/>
    <w:rsid w:val="00FE7F8F"/>
    <w:rsid w:val="00FF03CD"/>
    <w:rsid w:val="00FF10AE"/>
    <w:rsid w:val="00FF1D31"/>
    <w:rsid w:val="00FF1F91"/>
    <w:rsid w:val="00FF2973"/>
    <w:rsid w:val="00FF36BD"/>
    <w:rsid w:val="00FF43DC"/>
    <w:rsid w:val="00FF4754"/>
    <w:rsid w:val="00FF530B"/>
    <w:rsid w:val="00FF56DE"/>
    <w:rsid w:val="00FF5744"/>
    <w:rsid w:val="00FF775B"/>
    <w:rsid w:val="00FF7B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2DA4"/>
    <w:pPr>
      <w:spacing w:before="60" w:after="60" w:line="300" w:lineRule="exact"/>
    </w:pPr>
    <w:rPr>
      <w:rFonts w:ascii="Arial" w:hAnsi="Arial"/>
      <w:sz w:val="22"/>
      <w:lang w:val="en-US" w:eastAsia="en-US"/>
    </w:rPr>
  </w:style>
  <w:style w:type="paragraph" w:styleId="Heading1">
    <w:name w:val="heading 1"/>
    <w:basedOn w:val="Normal"/>
    <w:next w:val="Normal"/>
    <w:qFormat/>
    <w:rsid w:val="00356212"/>
    <w:pPr>
      <w:keepNext/>
      <w:spacing w:before="240" w:after="40" w:line="240" w:lineRule="auto"/>
      <w:outlineLvl w:val="0"/>
    </w:pPr>
    <w:rPr>
      <w:b/>
      <w:caps/>
      <w:sz w:val="20"/>
      <w:szCs w:val="24"/>
    </w:rPr>
  </w:style>
  <w:style w:type="paragraph" w:styleId="Heading2">
    <w:name w:val="heading 2"/>
    <w:basedOn w:val="Normal"/>
    <w:next w:val="Normal"/>
    <w:link w:val="Heading2Char"/>
    <w:qFormat/>
    <w:rsid w:val="00356212"/>
    <w:pPr>
      <w:keepNext/>
      <w:spacing w:before="120" w:after="40" w:line="240" w:lineRule="auto"/>
      <w:ind w:left="360"/>
      <w:outlineLvl w:val="1"/>
    </w:pPr>
    <w:rPr>
      <w:b/>
    </w:rPr>
  </w:style>
  <w:style w:type="paragraph" w:styleId="Heading3">
    <w:name w:val="heading 3"/>
    <w:basedOn w:val="Heading2"/>
    <w:next w:val="Normal"/>
    <w:qFormat/>
    <w:rsid w:val="00C8050B"/>
    <w:pPr>
      <w:outlineLvl w:val="2"/>
    </w:pPr>
  </w:style>
  <w:style w:type="paragraph" w:styleId="Heading4">
    <w:name w:val="heading 4"/>
    <w:basedOn w:val="Normal"/>
    <w:next w:val="Normal"/>
    <w:qFormat/>
    <w:rsid w:val="003F6759"/>
    <w:pPr>
      <w:keepNext/>
      <w:keepLines/>
      <w:spacing w:after="240" w:line="240" w:lineRule="atLeast"/>
      <w:outlineLvl w:val="3"/>
    </w:pPr>
    <w:rPr>
      <w:spacing w:val="-4"/>
      <w:kern w:val="28"/>
    </w:rPr>
  </w:style>
  <w:style w:type="paragraph" w:styleId="Heading5">
    <w:name w:val="heading 5"/>
    <w:basedOn w:val="Normal"/>
    <w:next w:val="Normal"/>
    <w:qFormat/>
    <w:rsid w:val="003F6759"/>
    <w:pPr>
      <w:keepNext/>
      <w:keepLines/>
      <w:spacing w:line="240" w:lineRule="atLeast"/>
      <w:ind w:left="1440"/>
      <w:outlineLvl w:val="4"/>
    </w:pPr>
    <w:rPr>
      <w:spacing w:val="-4"/>
      <w:kern w:val="28"/>
    </w:rPr>
  </w:style>
  <w:style w:type="paragraph" w:styleId="Heading6">
    <w:name w:val="heading 6"/>
    <w:basedOn w:val="Normal"/>
    <w:next w:val="Normal"/>
    <w:qFormat/>
    <w:rsid w:val="003F6759"/>
    <w:pPr>
      <w:keepNext/>
      <w:keepLines/>
      <w:spacing w:before="140" w:line="220" w:lineRule="atLeast"/>
      <w:ind w:left="1440"/>
      <w:outlineLvl w:val="5"/>
    </w:pPr>
    <w:rPr>
      <w:i/>
      <w:spacing w:val="-4"/>
      <w:kern w:val="28"/>
    </w:rPr>
  </w:style>
  <w:style w:type="paragraph" w:styleId="Heading7">
    <w:name w:val="heading 7"/>
    <w:aliases w:val="cover date"/>
    <w:basedOn w:val="Normal"/>
    <w:next w:val="Normal"/>
    <w:qFormat/>
    <w:rsid w:val="003F6759"/>
    <w:pPr>
      <w:keepNext/>
      <w:keepLines/>
      <w:spacing w:before="140" w:line="220" w:lineRule="atLeast"/>
      <w:outlineLvl w:val="6"/>
    </w:pPr>
    <w:rPr>
      <w:spacing w:val="-4"/>
      <w:kern w:val="28"/>
    </w:rPr>
  </w:style>
  <w:style w:type="paragraph" w:styleId="Heading8">
    <w:name w:val="heading 8"/>
    <w:aliases w:val="Cover header"/>
    <w:basedOn w:val="Normal"/>
    <w:next w:val="Normal"/>
    <w:qFormat/>
    <w:rsid w:val="003F6759"/>
    <w:pPr>
      <w:keepNext/>
      <w:keepLines/>
      <w:spacing w:before="140" w:line="220" w:lineRule="atLeast"/>
      <w:outlineLvl w:val="7"/>
    </w:pPr>
    <w:rPr>
      <w:i/>
      <w:spacing w:val="-4"/>
      <w:kern w:val="28"/>
      <w:sz w:val="18"/>
    </w:rPr>
  </w:style>
  <w:style w:type="paragraph" w:styleId="Heading9">
    <w:name w:val="heading 9"/>
    <w:basedOn w:val="Normal"/>
    <w:next w:val="Normal"/>
    <w:qFormat/>
    <w:rsid w:val="003F6759"/>
    <w:pPr>
      <w:keepNext/>
      <w:keepLines/>
      <w:spacing w:before="140" w:line="220" w:lineRule="atLeast"/>
      <w:outlineLvl w:val="8"/>
    </w:pPr>
    <w:rPr>
      <w:spacing w:val="-4"/>
      <w:kern w:val="28"/>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12C4B"/>
    <w:rPr>
      <w:rFonts w:ascii="Arial" w:hAnsi="Arial"/>
      <w:b/>
      <w:sz w:val="22"/>
      <w:lang w:val="en-US" w:eastAsia="en-US" w:bidi="ar-SA"/>
    </w:rPr>
  </w:style>
  <w:style w:type="paragraph" w:customStyle="1" w:styleId="CompanyInformation">
    <w:name w:val="Company Information"/>
    <w:basedOn w:val="Normal"/>
    <w:link w:val="CompanyInformationChar"/>
    <w:semiHidden/>
    <w:rsid w:val="002D2F24"/>
    <w:pPr>
      <w:spacing w:line="240" w:lineRule="auto"/>
    </w:pPr>
    <w:rPr>
      <w:color w:val="808080"/>
      <w:sz w:val="15"/>
    </w:rPr>
  </w:style>
  <w:style w:type="character" w:customStyle="1" w:styleId="CompanyInformationChar">
    <w:name w:val="Company Information Char"/>
    <w:link w:val="CompanyInformation"/>
    <w:rsid w:val="002D2F24"/>
    <w:rPr>
      <w:rFonts w:ascii="Verdana" w:hAnsi="Verdana"/>
      <w:color w:val="808080"/>
      <w:sz w:val="15"/>
      <w:lang w:val="en-US" w:eastAsia="en-US" w:bidi="ar-SA"/>
    </w:rPr>
  </w:style>
  <w:style w:type="paragraph" w:customStyle="1" w:styleId="InsideTitle">
    <w:name w:val="Inside Title"/>
    <w:basedOn w:val="Normal"/>
    <w:semiHidden/>
    <w:rsid w:val="00872B23"/>
    <w:pPr>
      <w:keepNext/>
      <w:spacing w:before="2400" w:line="240" w:lineRule="auto"/>
    </w:pPr>
    <w:rPr>
      <w:b/>
      <w:sz w:val="32"/>
    </w:rPr>
  </w:style>
  <w:style w:type="paragraph" w:styleId="Caption">
    <w:name w:val="caption"/>
    <w:basedOn w:val="Normal"/>
    <w:next w:val="Normal"/>
    <w:qFormat/>
    <w:rsid w:val="003F6759"/>
    <w:pPr>
      <w:keepNext/>
      <w:numPr>
        <w:numId w:val="1"/>
      </w:numPr>
      <w:spacing w:after="240" w:line="220" w:lineRule="atLeast"/>
    </w:pPr>
    <w:rPr>
      <w:rFonts w:ascii="Arial Narrow" w:hAnsi="Arial Narrow"/>
      <w:sz w:val="18"/>
    </w:rPr>
  </w:style>
  <w:style w:type="paragraph" w:customStyle="1" w:styleId="InsideSubtitle">
    <w:name w:val="Inside Subtitle"/>
    <w:basedOn w:val="Normal"/>
    <w:semiHidden/>
    <w:rsid w:val="0093137B"/>
    <w:pPr>
      <w:spacing w:after="200" w:line="240" w:lineRule="auto"/>
    </w:pPr>
    <w:rPr>
      <w:i/>
      <w:sz w:val="24"/>
    </w:rPr>
  </w:style>
  <w:style w:type="paragraph" w:customStyle="1" w:styleId="BulletedList">
    <w:name w:val="Bulleted List"/>
    <w:basedOn w:val="Normal"/>
    <w:link w:val="BulletedListChar"/>
    <w:semiHidden/>
    <w:rsid w:val="000C089E"/>
    <w:pPr>
      <w:numPr>
        <w:numId w:val="2"/>
      </w:numPr>
      <w:spacing w:after="80"/>
      <w:contextualSpacing/>
    </w:pPr>
  </w:style>
  <w:style w:type="character" w:customStyle="1" w:styleId="BulletedListChar">
    <w:name w:val="Bulleted List Char"/>
    <w:link w:val="BulletedList"/>
    <w:semiHidden/>
    <w:rsid w:val="00971A83"/>
    <w:rPr>
      <w:rFonts w:ascii="Arial" w:hAnsi="Arial"/>
      <w:sz w:val="22"/>
      <w:lang w:val="en-US" w:eastAsia="en-US"/>
    </w:rPr>
  </w:style>
  <w:style w:type="character" w:styleId="CommentReference">
    <w:name w:val="annotation reference"/>
    <w:semiHidden/>
    <w:rPr>
      <w:rFonts w:ascii="Arial" w:hAnsi="Arial"/>
      <w:sz w:val="16"/>
    </w:rPr>
  </w:style>
  <w:style w:type="paragraph" w:styleId="CommentText">
    <w:name w:val="annotation text"/>
    <w:basedOn w:val="Normal"/>
    <w:semiHidden/>
    <w:rsid w:val="003F6759"/>
  </w:style>
  <w:style w:type="paragraph" w:customStyle="1" w:styleId="NumberedList">
    <w:name w:val="Numbered List"/>
    <w:basedOn w:val="Normal"/>
    <w:link w:val="NumberedListCharChar"/>
    <w:semiHidden/>
    <w:rsid w:val="00D17B03"/>
    <w:pPr>
      <w:spacing w:after="120"/>
    </w:pPr>
  </w:style>
  <w:style w:type="character" w:customStyle="1" w:styleId="NumberedListCharChar">
    <w:name w:val="Numbered List Char Char"/>
    <w:link w:val="NumberedList"/>
    <w:rsid w:val="00D17B03"/>
    <w:rPr>
      <w:rFonts w:ascii="Arial" w:hAnsi="Arial"/>
      <w:sz w:val="22"/>
      <w:lang w:val="en-US" w:eastAsia="en-US" w:bidi="ar-SA"/>
    </w:rPr>
  </w:style>
  <w:style w:type="character" w:styleId="EndnoteReference">
    <w:name w:val="endnote reference"/>
    <w:semiHidden/>
    <w:rPr>
      <w:vertAlign w:val="superscript"/>
    </w:rPr>
  </w:style>
  <w:style w:type="paragraph" w:styleId="EndnoteText">
    <w:name w:val="endnote text"/>
    <w:basedOn w:val="Normal"/>
    <w:semiHidden/>
    <w:rsid w:val="003F6759"/>
  </w:style>
  <w:style w:type="paragraph" w:customStyle="1" w:styleId="BlockQuotation">
    <w:name w:val="Block Quotation"/>
    <w:basedOn w:val="Normal"/>
    <w:link w:val="BlockQuotationChar"/>
    <w:semiHidden/>
    <w:rsid w:val="000C089E"/>
    <w:pPr>
      <w:spacing w:before="80" w:after="80"/>
      <w:ind w:left="720"/>
    </w:pPr>
    <w:rPr>
      <w:spacing w:val="-10"/>
    </w:rPr>
  </w:style>
  <w:style w:type="character" w:customStyle="1" w:styleId="BlockQuotationChar">
    <w:name w:val="Block Quotation Char"/>
    <w:link w:val="BlockQuotation"/>
    <w:rsid w:val="00971A83"/>
    <w:rPr>
      <w:rFonts w:ascii="Verdana" w:hAnsi="Verdana"/>
      <w:spacing w:val="-10"/>
      <w:sz w:val="17"/>
      <w:lang w:val="en-US" w:eastAsia="en-US" w:bidi="ar-SA"/>
    </w:rPr>
  </w:style>
  <w:style w:type="character" w:styleId="FootnoteReference">
    <w:name w:val="footnote reference"/>
    <w:rPr>
      <w:vertAlign w:val="superscript"/>
    </w:rPr>
  </w:style>
  <w:style w:type="paragraph" w:styleId="FootnoteText">
    <w:name w:val="footnote text"/>
    <w:basedOn w:val="Normal"/>
    <w:link w:val="FootnoteTextChar"/>
    <w:rsid w:val="003F6759"/>
  </w:style>
  <w:style w:type="paragraph" w:styleId="Header">
    <w:name w:val="header"/>
    <w:basedOn w:val="Normal"/>
    <w:link w:val="HeaderChar"/>
    <w:uiPriority w:val="99"/>
    <w:rsid w:val="00A745CA"/>
    <w:pPr>
      <w:tabs>
        <w:tab w:val="center" w:pos="4320"/>
        <w:tab w:val="right" w:pos="8640"/>
      </w:tabs>
    </w:pPr>
  </w:style>
  <w:style w:type="paragraph" w:styleId="Index1">
    <w:name w:val="index 1"/>
    <w:basedOn w:val="Normal"/>
    <w:autoRedefine/>
    <w:semiHidden/>
    <w:rsid w:val="003F6759"/>
  </w:style>
  <w:style w:type="paragraph" w:styleId="Index2">
    <w:name w:val="index 2"/>
    <w:basedOn w:val="Normal"/>
    <w:autoRedefine/>
    <w:semiHidden/>
    <w:rsid w:val="003F6759"/>
    <w:pPr>
      <w:ind w:left="720"/>
    </w:pPr>
  </w:style>
  <w:style w:type="paragraph" w:styleId="Index3">
    <w:name w:val="index 3"/>
    <w:basedOn w:val="Normal"/>
    <w:autoRedefine/>
    <w:semiHidden/>
    <w:rsid w:val="003F6759"/>
  </w:style>
  <w:style w:type="paragraph" w:styleId="Index4">
    <w:name w:val="index 4"/>
    <w:basedOn w:val="Normal"/>
    <w:autoRedefine/>
    <w:semiHidden/>
    <w:rsid w:val="003F6759"/>
    <w:pPr>
      <w:ind w:left="1440"/>
    </w:pPr>
  </w:style>
  <w:style w:type="paragraph" w:styleId="Index5">
    <w:name w:val="index 5"/>
    <w:basedOn w:val="Normal"/>
    <w:autoRedefine/>
    <w:semiHidden/>
    <w:rsid w:val="003F6759"/>
    <w:pPr>
      <w:ind w:left="1800"/>
    </w:pPr>
  </w:style>
  <w:style w:type="paragraph" w:styleId="IndexHeading">
    <w:name w:val="index heading"/>
    <w:basedOn w:val="Normal"/>
    <w:next w:val="Index1"/>
    <w:semiHidden/>
    <w:rsid w:val="003F6759"/>
    <w:pPr>
      <w:spacing w:line="480" w:lineRule="atLeast"/>
    </w:pPr>
    <w:rPr>
      <w:rFonts w:ascii="Arial Black" w:hAnsi="Arial Black"/>
      <w:sz w:val="24"/>
    </w:rPr>
  </w:style>
  <w:style w:type="paragraph" w:customStyle="1" w:styleId="TableCaption">
    <w:name w:val="Table Caption"/>
    <w:basedOn w:val="Normal"/>
    <w:semiHidden/>
    <w:rsid w:val="00AD5D62"/>
    <w:pPr>
      <w:spacing w:before="80" w:after="120"/>
      <w:ind w:left="360"/>
    </w:pPr>
    <w:rPr>
      <w:i/>
      <w:sz w:val="15"/>
    </w:rPr>
  </w:style>
  <w:style w:type="paragraph" w:customStyle="1" w:styleId="UtilComTableColumnHeading">
    <w:name w:val="UtilCom Table Column Heading"/>
    <w:basedOn w:val="Normal"/>
    <w:rsid w:val="008B30BD"/>
    <w:pPr>
      <w:spacing w:before="0" w:after="0"/>
    </w:pPr>
    <w:rPr>
      <w:rFonts w:cs="Arial"/>
      <w:b/>
      <w:sz w:val="18"/>
      <w:szCs w:val="18"/>
    </w:rPr>
  </w:style>
  <w:style w:type="paragraph" w:customStyle="1" w:styleId="UtilComReportHeading">
    <w:name w:val="UtilCom Report Heading"/>
    <w:basedOn w:val="Title"/>
    <w:link w:val="UtilComReportHeadingChar"/>
    <w:semiHidden/>
    <w:rsid w:val="00B305DF"/>
    <w:pPr>
      <w:spacing w:before="480"/>
      <w:ind w:left="1134"/>
    </w:pPr>
  </w:style>
  <w:style w:type="paragraph" w:styleId="Title">
    <w:name w:val="Title"/>
    <w:basedOn w:val="Normal"/>
    <w:link w:val="TitleChar"/>
    <w:qFormat/>
    <w:rsid w:val="00CD0BDF"/>
    <w:pPr>
      <w:spacing w:before="2000"/>
    </w:pPr>
    <w:rPr>
      <w:rFonts w:cs="Arial"/>
      <w:b/>
      <w:caps/>
      <w:sz w:val="40"/>
      <w:szCs w:val="40"/>
    </w:rPr>
  </w:style>
  <w:style w:type="character" w:customStyle="1" w:styleId="TitleChar">
    <w:name w:val="Title Char"/>
    <w:link w:val="Title"/>
    <w:rsid w:val="00B305DF"/>
    <w:rPr>
      <w:rFonts w:ascii="Arial" w:hAnsi="Arial" w:cs="Arial"/>
      <w:b/>
      <w:caps/>
      <w:sz w:val="40"/>
      <w:szCs w:val="40"/>
      <w:lang w:val="en-US" w:eastAsia="en-US" w:bidi="ar-SA"/>
    </w:rPr>
  </w:style>
  <w:style w:type="character" w:customStyle="1" w:styleId="UtilComReportHeadingChar">
    <w:name w:val="UtilCom Report Heading Char"/>
    <w:basedOn w:val="TitleChar"/>
    <w:link w:val="UtilComReportHeading"/>
    <w:rsid w:val="00B305DF"/>
    <w:rPr>
      <w:rFonts w:ascii="Arial" w:hAnsi="Arial" w:cs="Arial"/>
      <w:b/>
      <w:caps/>
      <w:sz w:val="40"/>
      <w:szCs w:val="40"/>
      <w:lang w:val="en-US" w:eastAsia="en-US" w:bidi="ar-SA"/>
    </w:rPr>
  </w:style>
  <w:style w:type="paragraph" w:customStyle="1" w:styleId="IndentedBodyText">
    <w:name w:val="Indented Body Text"/>
    <w:basedOn w:val="Normal"/>
    <w:link w:val="IndentedBodyTextChar"/>
    <w:semiHidden/>
    <w:rsid w:val="00CC5FB6"/>
    <w:pPr>
      <w:spacing w:after="80"/>
      <w:ind w:left="360"/>
    </w:pPr>
  </w:style>
  <w:style w:type="character" w:customStyle="1" w:styleId="IndentedBodyTextChar">
    <w:name w:val="Indented Body Text Char"/>
    <w:link w:val="IndentedBodyText"/>
    <w:rsid w:val="00CC5FB6"/>
    <w:rPr>
      <w:rFonts w:ascii="Verdana" w:hAnsi="Verdana"/>
      <w:sz w:val="17"/>
      <w:lang w:val="en-US" w:eastAsia="en-US" w:bidi="ar-SA"/>
    </w:rPr>
  </w:style>
  <w:style w:type="paragraph" w:customStyle="1" w:styleId="LineSpace">
    <w:name w:val="Line Space"/>
    <w:basedOn w:val="Normal"/>
    <w:semiHidden/>
    <w:rsid w:val="00CC5FB6"/>
    <w:pPr>
      <w:spacing w:line="240" w:lineRule="auto"/>
    </w:pPr>
    <w:rPr>
      <w:sz w:val="12"/>
    </w:rPr>
  </w:style>
  <w:style w:type="paragraph" w:styleId="BalloonText">
    <w:name w:val="Balloon Text"/>
    <w:basedOn w:val="Normal"/>
    <w:semiHidden/>
    <w:rsid w:val="00753D39"/>
    <w:rPr>
      <w:rFonts w:ascii="Tahoma" w:hAnsi="Tahoma" w:cs="Tahoma"/>
      <w:sz w:val="16"/>
      <w:szCs w:val="16"/>
    </w:rPr>
  </w:style>
  <w:style w:type="paragraph" w:customStyle="1" w:styleId="CompanyInformationBold">
    <w:name w:val="Company Information Bold"/>
    <w:basedOn w:val="CompanyInformation"/>
    <w:semiHidden/>
    <w:rsid w:val="0093137B"/>
    <w:rPr>
      <w:b/>
    </w:rPr>
  </w:style>
  <w:style w:type="paragraph" w:styleId="TableofAuthorities">
    <w:name w:val="table of authorities"/>
    <w:basedOn w:val="Normal"/>
    <w:semiHidden/>
    <w:pPr>
      <w:tabs>
        <w:tab w:val="right" w:leader="dot" w:pos="7560"/>
      </w:tabs>
      <w:ind w:left="1440" w:hanging="360"/>
    </w:pPr>
  </w:style>
  <w:style w:type="paragraph" w:styleId="TableofFigures">
    <w:name w:val="table of figures"/>
    <w:basedOn w:val="Normal"/>
    <w:semiHidden/>
    <w:rsid w:val="00720551"/>
    <w:pPr>
      <w:ind w:left="1440" w:hanging="360"/>
    </w:pPr>
  </w:style>
  <w:style w:type="paragraph" w:styleId="TOAHeading">
    <w:name w:val="toa heading"/>
    <w:basedOn w:val="Normal"/>
    <w:next w:val="TableofAuthorities"/>
    <w:semiHidden/>
    <w:pPr>
      <w:keepNext/>
      <w:spacing w:line="480" w:lineRule="atLeast"/>
    </w:pPr>
    <w:rPr>
      <w:rFonts w:ascii="Arial Black" w:hAnsi="Arial Black"/>
      <w:b/>
      <w:spacing w:val="-10"/>
      <w:kern w:val="28"/>
    </w:rPr>
  </w:style>
  <w:style w:type="paragraph" w:styleId="TOC1">
    <w:name w:val="toc 1"/>
    <w:basedOn w:val="Normal"/>
    <w:autoRedefine/>
    <w:uiPriority w:val="39"/>
    <w:rsid w:val="00B235F7"/>
    <w:rPr>
      <w:b/>
      <w:spacing w:val="-4"/>
    </w:rPr>
  </w:style>
  <w:style w:type="paragraph" w:styleId="TOC2">
    <w:name w:val="toc 2"/>
    <w:basedOn w:val="Normal"/>
    <w:autoRedefine/>
    <w:uiPriority w:val="39"/>
    <w:rsid w:val="00F23320"/>
    <w:pPr>
      <w:tabs>
        <w:tab w:val="right" w:leader="dot" w:pos="9062"/>
      </w:tabs>
    </w:pPr>
    <w:rPr>
      <w:sz w:val="18"/>
      <w:szCs w:val="18"/>
    </w:rPr>
  </w:style>
  <w:style w:type="paragraph" w:styleId="TOC3">
    <w:name w:val="toc 3"/>
    <w:basedOn w:val="Normal"/>
    <w:autoRedefine/>
    <w:uiPriority w:val="39"/>
    <w:rsid w:val="00940114"/>
    <w:pPr>
      <w:tabs>
        <w:tab w:val="left" w:pos="1418"/>
        <w:tab w:val="right" w:leader="dot" w:pos="9062"/>
      </w:tabs>
    </w:pPr>
    <w:rPr>
      <w:noProof/>
      <w:sz w:val="18"/>
    </w:rPr>
  </w:style>
  <w:style w:type="paragraph" w:styleId="TOC4">
    <w:name w:val="toc 4"/>
    <w:basedOn w:val="Normal"/>
    <w:autoRedefine/>
    <w:uiPriority w:val="39"/>
    <w:rsid w:val="0011295E"/>
    <w:pPr>
      <w:tabs>
        <w:tab w:val="left" w:pos="1200"/>
        <w:tab w:val="right" w:leader="dot" w:pos="9062"/>
      </w:tabs>
      <w:ind w:left="709"/>
    </w:pPr>
    <w:rPr>
      <w:noProof/>
      <w:sz w:val="18"/>
      <w:szCs w:val="18"/>
    </w:rPr>
  </w:style>
  <w:style w:type="paragraph" w:styleId="TOC5">
    <w:name w:val="toc 5"/>
    <w:basedOn w:val="Normal"/>
    <w:autoRedefine/>
    <w:uiPriority w:val="39"/>
    <w:rsid w:val="00720551"/>
    <w:pPr>
      <w:ind w:left="360"/>
    </w:pPr>
  </w:style>
  <w:style w:type="paragraph" w:customStyle="1" w:styleId="UtilComReferenceSource">
    <w:name w:val="UtilCom Reference/Source"/>
    <w:rsid w:val="00CA5254"/>
    <w:pPr>
      <w:spacing w:before="60" w:after="120"/>
    </w:pPr>
    <w:rPr>
      <w:rFonts w:ascii="Arial" w:hAnsi="Arial"/>
      <w:sz w:val="18"/>
      <w:szCs w:val="18"/>
      <w:lang w:val="en-US" w:eastAsia="en-US"/>
    </w:rPr>
  </w:style>
  <w:style w:type="paragraph" w:customStyle="1" w:styleId="ChapterBold">
    <w:name w:val="Chapter Bold"/>
    <w:basedOn w:val="Normal"/>
    <w:semiHidden/>
    <w:rsid w:val="00781B15"/>
    <w:pPr>
      <w:spacing w:before="960" w:after="240" w:line="400" w:lineRule="atLeast"/>
    </w:pPr>
    <w:rPr>
      <w:b/>
      <w:caps/>
      <w:color w:val="808080"/>
      <w:sz w:val="36"/>
      <w:szCs w:val="36"/>
    </w:rPr>
  </w:style>
  <w:style w:type="paragraph" w:customStyle="1" w:styleId="CompanyInformationItalic">
    <w:name w:val="Company Information Italic"/>
    <w:basedOn w:val="CompanyInformation"/>
    <w:link w:val="CompanyInformationItalicChar"/>
    <w:semiHidden/>
    <w:rsid w:val="002D2F24"/>
    <w:rPr>
      <w:i/>
    </w:rPr>
  </w:style>
  <w:style w:type="character" w:customStyle="1" w:styleId="CompanyInformationItalicChar">
    <w:name w:val="Company Information Italic Char"/>
    <w:link w:val="CompanyInformationItalic"/>
    <w:rsid w:val="002D2F24"/>
    <w:rPr>
      <w:rFonts w:ascii="Verdana" w:hAnsi="Verdana"/>
      <w:i/>
      <w:color w:val="808080"/>
      <w:sz w:val="15"/>
      <w:lang w:val="en-US" w:eastAsia="en-US" w:bidi="ar-SA"/>
    </w:rPr>
  </w:style>
  <w:style w:type="paragraph" w:styleId="Footer">
    <w:name w:val="footer"/>
    <w:basedOn w:val="Normal"/>
    <w:link w:val="FooterChar"/>
    <w:uiPriority w:val="99"/>
    <w:rsid w:val="00EA0992"/>
    <w:pPr>
      <w:tabs>
        <w:tab w:val="center" w:pos="4320"/>
        <w:tab w:val="right" w:pos="8640"/>
      </w:tabs>
    </w:pPr>
    <w:rPr>
      <w:sz w:val="18"/>
    </w:rPr>
  </w:style>
  <w:style w:type="paragraph" w:styleId="Subtitle">
    <w:name w:val="Subtitle"/>
    <w:aliases w:val="UtilCom Subtitle"/>
    <w:basedOn w:val="Normal"/>
    <w:qFormat/>
    <w:rsid w:val="00CD0BDF"/>
    <w:rPr>
      <w:rFonts w:cs="Arial"/>
      <w:i/>
      <w:sz w:val="24"/>
    </w:rPr>
  </w:style>
  <w:style w:type="paragraph" w:customStyle="1" w:styleId="BulletedListBold">
    <w:name w:val="Bulleted List Bold"/>
    <w:basedOn w:val="BulletedList"/>
    <w:link w:val="BulletedListBoldChar"/>
    <w:semiHidden/>
    <w:rsid w:val="00971A83"/>
    <w:rPr>
      <w:b/>
      <w:bCs/>
    </w:rPr>
  </w:style>
  <w:style w:type="character" w:customStyle="1" w:styleId="BulletedListBoldChar">
    <w:name w:val="Bulleted List Bold Char"/>
    <w:link w:val="BulletedListBold"/>
    <w:semiHidden/>
    <w:rsid w:val="00971A83"/>
    <w:rPr>
      <w:rFonts w:ascii="Arial" w:hAnsi="Arial"/>
      <w:b/>
      <w:bCs/>
      <w:sz w:val="22"/>
      <w:lang w:val="en-US" w:eastAsia="en-US"/>
    </w:rPr>
  </w:style>
  <w:style w:type="paragraph" w:customStyle="1" w:styleId="NumberedListBold">
    <w:name w:val="Numbered List Bold"/>
    <w:basedOn w:val="NumberedList"/>
    <w:link w:val="NumberedListBoldChar"/>
    <w:semiHidden/>
    <w:rsid w:val="00971A83"/>
    <w:rPr>
      <w:b/>
      <w:bCs/>
    </w:rPr>
  </w:style>
  <w:style w:type="character" w:customStyle="1" w:styleId="NumberedListBoldChar">
    <w:name w:val="Numbered List Bold Char"/>
    <w:link w:val="NumberedListBold"/>
    <w:rsid w:val="00971A83"/>
    <w:rPr>
      <w:rFonts w:ascii="Arial" w:hAnsi="Arial"/>
      <w:b/>
      <w:bCs/>
      <w:sz w:val="22"/>
      <w:lang w:val="en-US" w:eastAsia="en-US" w:bidi="ar-SA"/>
    </w:rPr>
  </w:style>
  <w:style w:type="character" w:customStyle="1" w:styleId="Lead-inEmphasis">
    <w:name w:val="Lead-in Emphasis"/>
    <w:semiHidden/>
    <w:rsid w:val="00E75ABB"/>
    <w:rPr>
      <w:rFonts w:ascii="Tahoma" w:hAnsi="Tahoma"/>
      <w:b/>
      <w:spacing w:val="4"/>
      <w:kern w:val="0"/>
    </w:rPr>
  </w:style>
  <w:style w:type="paragraph" w:customStyle="1" w:styleId="NumberedText">
    <w:name w:val="NumberedText"/>
    <w:basedOn w:val="Normal"/>
    <w:semiHidden/>
    <w:rsid w:val="00CD0BDF"/>
    <w:pPr>
      <w:tabs>
        <w:tab w:val="left" w:pos="720"/>
      </w:tabs>
      <w:spacing w:before="180" w:line="240" w:lineRule="auto"/>
      <w:ind w:left="431"/>
      <w:jc w:val="both"/>
    </w:pPr>
    <w:rPr>
      <w:sz w:val="20"/>
    </w:rPr>
  </w:style>
  <w:style w:type="paragraph" w:customStyle="1" w:styleId="UtilComHeaderInfo">
    <w:name w:val="UtilCom Header Info"/>
    <w:semiHidden/>
    <w:rsid w:val="00CD0BDF"/>
    <w:pPr>
      <w:spacing w:line="240" w:lineRule="exact"/>
      <w:jc w:val="right"/>
    </w:pPr>
    <w:rPr>
      <w:rFonts w:ascii="Arial" w:hAnsi="Arial"/>
      <w:sz w:val="18"/>
      <w:szCs w:val="18"/>
    </w:rPr>
  </w:style>
  <w:style w:type="paragraph" w:customStyle="1" w:styleId="UtilComAddressInfo">
    <w:name w:val="UtilCom Address Info"/>
    <w:semiHidden/>
    <w:rsid w:val="00CD0BDF"/>
    <w:pPr>
      <w:spacing w:line="240" w:lineRule="exact"/>
      <w:jc w:val="right"/>
    </w:pPr>
    <w:rPr>
      <w:rFonts w:ascii="Arial" w:hAnsi="Arial"/>
      <w:sz w:val="18"/>
      <w:szCs w:val="18"/>
    </w:rPr>
  </w:style>
  <w:style w:type="paragraph" w:customStyle="1" w:styleId="UtilComDate">
    <w:name w:val="UtilCom Date"/>
    <w:basedOn w:val="Subtitle"/>
    <w:semiHidden/>
    <w:rsid w:val="00CD0BDF"/>
    <w:pPr>
      <w:spacing w:before="480"/>
    </w:pPr>
  </w:style>
  <w:style w:type="paragraph" w:customStyle="1" w:styleId="Heading11">
    <w:name w:val="Heading 11"/>
    <w:basedOn w:val="Normal"/>
    <w:semiHidden/>
    <w:rsid w:val="006E3A87"/>
    <w:pPr>
      <w:spacing w:before="240" w:line="240" w:lineRule="auto"/>
    </w:pPr>
    <w:rPr>
      <w:b/>
      <w:sz w:val="28"/>
      <w:lang w:val="en-AU"/>
    </w:rPr>
  </w:style>
  <w:style w:type="character" w:styleId="Hyperlink">
    <w:name w:val="Hyperlink"/>
    <w:uiPriority w:val="99"/>
    <w:rsid w:val="00EA0992"/>
    <w:rPr>
      <w:color w:val="0000FF"/>
      <w:u w:val="single"/>
    </w:rPr>
  </w:style>
  <w:style w:type="paragraph" w:customStyle="1" w:styleId="NormalText">
    <w:name w:val="NormalText"/>
    <w:basedOn w:val="Normal"/>
    <w:semiHidden/>
    <w:rsid w:val="00EA0992"/>
    <w:pPr>
      <w:spacing w:before="240" w:line="240" w:lineRule="auto"/>
      <w:jc w:val="both"/>
    </w:pPr>
    <w:rPr>
      <w:sz w:val="20"/>
      <w:lang w:val="en-AU"/>
    </w:rPr>
  </w:style>
  <w:style w:type="paragraph" w:customStyle="1" w:styleId="UtilComChapterHeading">
    <w:name w:val="UtilCom Chapter Heading"/>
    <w:basedOn w:val="UtilComHeading2"/>
    <w:next w:val="TOC1"/>
    <w:link w:val="UtilComChapterHeadingChar"/>
    <w:semiHidden/>
    <w:rsid w:val="00134C3F"/>
    <w:rPr>
      <w:color w:val="808080"/>
      <w:sz w:val="32"/>
      <w:szCs w:val="28"/>
    </w:rPr>
  </w:style>
  <w:style w:type="paragraph" w:customStyle="1" w:styleId="UtilComHeading2">
    <w:name w:val="UtilCom Heading 2"/>
    <w:basedOn w:val="Heading2"/>
    <w:next w:val="TOC2"/>
    <w:link w:val="UtilComHeading2Char"/>
    <w:rsid w:val="00A755D2"/>
    <w:pPr>
      <w:spacing w:before="240" w:after="120" w:line="360" w:lineRule="exact"/>
      <w:ind w:left="0"/>
    </w:pPr>
    <w:rPr>
      <w:sz w:val="28"/>
    </w:rPr>
  </w:style>
  <w:style w:type="character" w:customStyle="1" w:styleId="UtilComHeading2Char">
    <w:name w:val="UtilCom Heading 2 Char"/>
    <w:link w:val="UtilComHeading2"/>
    <w:rsid w:val="00A755D2"/>
    <w:rPr>
      <w:rFonts w:ascii="Arial" w:hAnsi="Arial"/>
      <w:b/>
      <w:sz w:val="28"/>
      <w:lang w:val="en-US" w:eastAsia="en-US" w:bidi="ar-SA"/>
    </w:rPr>
  </w:style>
  <w:style w:type="character" w:customStyle="1" w:styleId="UtilComChapterHeadingChar">
    <w:name w:val="UtilCom Chapter Heading Char"/>
    <w:link w:val="UtilComChapterHeading"/>
    <w:semiHidden/>
    <w:rsid w:val="00134C3F"/>
    <w:rPr>
      <w:rFonts w:ascii="Arial" w:hAnsi="Arial"/>
      <w:b/>
      <w:color w:val="808080"/>
      <w:sz w:val="32"/>
      <w:szCs w:val="28"/>
      <w:lang w:val="en-US" w:eastAsia="en-US"/>
    </w:rPr>
  </w:style>
  <w:style w:type="paragraph" w:customStyle="1" w:styleId="UtilComBodyText">
    <w:name w:val="UtilCom Body Text"/>
    <w:basedOn w:val="Normal"/>
    <w:rsid w:val="00FE79B4"/>
    <w:rPr>
      <w:rFonts w:cs="Arial"/>
      <w:szCs w:val="22"/>
    </w:rPr>
  </w:style>
  <w:style w:type="paragraph" w:customStyle="1" w:styleId="UtilComNumberedText">
    <w:name w:val="UtilCom Numbered Text"/>
    <w:basedOn w:val="Normal"/>
    <w:semiHidden/>
    <w:rsid w:val="00D17B03"/>
    <w:pPr>
      <w:numPr>
        <w:ilvl w:val="1"/>
        <w:numId w:val="6"/>
      </w:numPr>
      <w:tabs>
        <w:tab w:val="left" w:pos="993"/>
      </w:tabs>
      <w:spacing w:line="240" w:lineRule="auto"/>
    </w:pPr>
    <w:rPr>
      <w:rFonts w:cs="Arial"/>
      <w:szCs w:val="22"/>
    </w:rPr>
  </w:style>
  <w:style w:type="paragraph" w:customStyle="1" w:styleId="UtilComBulletText">
    <w:name w:val="UtilCom Bullet Text"/>
    <w:basedOn w:val="Normal"/>
    <w:rsid w:val="00F8644E"/>
    <w:pPr>
      <w:numPr>
        <w:numId w:val="3"/>
      </w:numPr>
      <w:tabs>
        <w:tab w:val="left" w:pos="1134"/>
      </w:tabs>
      <w:spacing w:line="240" w:lineRule="auto"/>
    </w:pPr>
    <w:rPr>
      <w:rFonts w:cs="Arial"/>
      <w:szCs w:val="22"/>
    </w:rPr>
  </w:style>
  <w:style w:type="paragraph" w:customStyle="1" w:styleId="UtilComHeading3">
    <w:name w:val="UtilCom Heading 3"/>
    <w:basedOn w:val="Heading3"/>
    <w:next w:val="TOC3"/>
    <w:rsid w:val="00127A28"/>
    <w:pPr>
      <w:spacing w:after="60" w:line="320" w:lineRule="exact"/>
      <w:ind w:left="0"/>
    </w:pPr>
    <w:rPr>
      <w:sz w:val="24"/>
      <w:szCs w:val="24"/>
    </w:rPr>
  </w:style>
  <w:style w:type="paragraph" w:styleId="TOC9">
    <w:name w:val="toc 9"/>
    <w:basedOn w:val="Normal"/>
    <w:next w:val="Normal"/>
    <w:autoRedefine/>
    <w:uiPriority w:val="39"/>
    <w:rsid w:val="004C0CB0"/>
    <w:pPr>
      <w:ind w:left="1760"/>
    </w:pPr>
  </w:style>
  <w:style w:type="paragraph" w:customStyle="1" w:styleId="UtilComNumberItem2">
    <w:name w:val="UtilCom Number Item 2"/>
    <w:basedOn w:val="Normal"/>
    <w:semiHidden/>
    <w:rsid w:val="00A8381B"/>
    <w:pPr>
      <w:numPr>
        <w:ilvl w:val="1"/>
        <w:numId w:val="4"/>
      </w:numPr>
    </w:pPr>
  </w:style>
  <w:style w:type="paragraph" w:customStyle="1" w:styleId="UtilComTabletext">
    <w:name w:val="UtilCom Table text"/>
    <w:basedOn w:val="Normal"/>
    <w:rsid w:val="008B30BD"/>
    <w:pPr>
      <w:spacing w:before="0" w:after="0"/>
    </w:pPr>
    <w:rPr>
      <w:rFonts w:cs="Arial"/>
      <w:sz w:val="18"/>
      <w:szCs w:val="18"/>
    </w:rPr>
  </w:style>
  <w:style w:type="paragraph" w:customStyle="1" w:styleId="UtilComTableNumbers">
    <w:name w:val="UtilCom Table Numbers"/>
    <w:basedOn w:val="Normal"/>
    <w:rsid w:val="002F053A"/>
    <w:pPr>
      <w:jc w:val="right"/>
    </w:pPr>
    <w:rPr>
      <w:rFonts w:cs="Arial"/>
      <w:sz w:val="18"/>
      <w:szCs w:val="18"/>
    </w:rPr>
  </w:style>
  <w:style w:type="paragraph" w:customStyle="1" w:styleId="UtilComNumbered">
    <w:name w:val="UtilCom Numbered"/>
    <w:basedOn w:val="UtilComNumberItem2"/>
    <w:semiHidden/>
    <w:rsid w:val="001D21E9"/>
    <w:pPr>
      <w:numPr>
        <w:ilvl w:val="0"/>
        <w:numId w:val="0"/>
      </w:numPr>
    </w:pPr>
  </w:style>
  <w:style w:type="paragraph" w:customStyle="1" w:styleId="31UtilComNumber">
    <w:name w:val="3.1 UtilCom Number"/>
    <w:basedOn w:val="UtilComNumberItem2"/>
    <w:semiHidden/>
    <w:rsid w:val="000B21F0"/>
    <w:pPr>
      <w:numPr>
        <w:numId w:val="5"/>
      </w:numPr>
    </w:pPr>
  </w:style>
  <w:style w:type="paragraph" w:customStyle="1" w:styleId="AppendixHeading">
    <w:name w:val="Appendix Heading"/>
    <w:basedOn w:val="ChapterBold"/>
    <w:rsid w:val="00A554E9"/>
    <w:pPr>
      <w:jc w:val="right"/>
      <w:outlineLvl w:val="0"/>
    </w:pPr>
  </w:style>
  <w:style w:type="paragraph" w:customStyle="1" w:styleId="NumberLevel1">
    <w:name w:val="Number Level 1"/>
    <w:basedOn w:val="Normal"/>
    <w:rsid w:val="00BA0D8C"/>
    <w:pPr>
      <w:numPr>
        <w:numId w:val="7"/>
      </w:numPr>
      <w:spacing w:before="960" w:after="240" w:line="400" w:lineRule="exact"/>
      <w:ind w:left="431" w:hanging="431"/>
    </w:pPr>
    <w:rPr>
      <w:b/>
      <w:caps/>
      <w:color w:val="808080"/>
      <w:sz w:val="36"/>
    </w:rPr>
  </w:style>
  <w:style w:type="paragraph" w:customStyle="1" w:styleId="NumberLevel2">
    <w:name w:val="Number Level 2"/>
    <w:basedOn w:val="Normal"/>
    <w:next w:val="Normal"/>
    <w:rsid w:val="00A041E2"/>
    <w:pPr>
      <w:numPr>
        <w:ilvl w:val="1"/>
        <w:numId w:val="7"/>
      </w:numPr>
      <w:outlineLvl w:val="3"/>
    </w:pPr>
  </w:style>
  <w:style w:type="paragraph" w:customStyle="1" w:styleId="NumberLevel3">
    <w:name w:val="Number Level 3"/>
    <w:basedOn w:val="NumberLevel2"/>
    <w:rsid w:val="00BA0D8C"/>
    <w:pPr>
      <w:numPr>
        <w:ilvl w:val="2"/>
      </w:numPr>
    </w:pPr>
  </w:style>
  <w:style w:type="paragraph" w:customStyle="1" w:styleId="UtilComLetterNumbering">
    <w:name w:val="UtilCom Letter Numbering"/>
    <w:basedOn w:val="Normal"/>
    <w:rsid w:val="00F8644E"/>
    <w:pPr>
      <w:numPr>
        <w:numId w:val="8"/>
      </w:numPr>
    </w:pPr>
  </w:style>
  <w:style w:type="paragraph" w:customStyle="1" w:styleId="UtilComHeading4">
    <w:name w:val="UtilCom Heading 4"/>
    <w:basedOn w:val="TOC4"/>
    <w:next w:val="TOC4"/>
    <w:rsid w:val="00FE79B4"/>
    <w:pPr>
      <w:tabs>
        <w:tab w:val="clear" w:pos="1200"/>
        <w:tab w:val="clear" w:pos="9062"/>
      </w:tabs>
      <w:spacing w:after="0" w:line="312" w:lineRule="auto"/>
      <w:ind w:left="0"/>
      <w:outlineLvl w:val="3"/>
    </w:pPr>
    <w:rPr>
      <w:i/>
      <w:noProof w:val="0"/>
      <w:sz w:val="22"/>
      <w:szCs w:val="22"/>
    </w:rPr>
  </w:style>
  <w:style w:type="paragraph" w:customStyle="1" w:styleId="UtilComQuotationText">
    <w:name w:val="UtilCom Quotation Text"/>
    <w:basedOn w:val="BlockQuotation"/>
    <w:rsid w:val="00FE79B4"/>
    <w:pPr>
      <w:spacing w:line="312" w:lineRule="auto"/>
      <w:ind w:left="567"/>
    </w:pPr>
    <w:rPr>
      <w:i/>
      <w:spacing w:val="0"/>
    </w:rPr>
  </w:style>
  <w:style w:type="character" w:customStyle="1" w:styleId="FootnoteTextChar">
    <w:name w:val="Footnote Text Char"/>
    <w:link w:val="FootnoteText"/>
    <w:rsid w:val="00BB55CF"/>
    <w:rPr>
      <w:rFonts w:ascii="Arial" w:hAnsi="Arial"/>
      <w:sz w:val="22"/>
      <w:lang w:val="en-US" w:eastAsia="en-US"/>
    </w:rPr>
  </w:style>
  <w:style w:type="paragraph" w:styleId="TOC6">
    <w:name w:val="toc 6"/>
    <w:basedOn w:val="Normal"/>
    <w:next w:val="Normal"/>
    <w:autoRedefine/>
    <w:uiPriority w:val="39"/>
    <w:unhideWhenUsed/>
    <w:rsid w:val="000B248D"/>
    <w:pPr>
      <w:spacing w:before="0" w:after="100" w:line="276" w:lineRule="auto"/>
      <w:ind w:left="1100"/>
    </w:pPr>
    <w:rPr>
      <w:rFonts w:ascii="Calibri" w:hAnsi="Calibri"/>
      <w:szCs w:val="22"/>
      <w:lang w:val="en-AU" w:eastAsia="en-AU"/>
    </w:rPr>
  </w:style>
  <w:style w:type="paragraph" w:styleId="TOC7">
    <w:name w:val="toc 7"/>
    <w:basedOn w:val="Normal"/>
    <w:next w:val="Normal"/>
    <w:autoRedefine/>
    <w:uiPriority w:val="39"/>
    <w:unhideWhenUsed/>
    <w:rsid w:val="000B248D"/>
    <w:pPr>
      <w:spacing w:before="0" w:after="100" w:line="276" w:lineRule="auto"/>
      <w:ind w:left="1320"/>
    </w:pPr>
    <w:rPr>
      <w:rFonts w:ascii="Calibri" w:hAnsi="Calibri"/>
      <w:szCs w:val="22"/>
      <w:lang w:val="en-AU" w:eastAsia="en-AU"/>
    </w:rPr>
  </w:style>
  <w:style w:type="paragraph" w:styleId="TOC8">
    <w:name w:val="toc 8"/>
    <w:basedOn w:val="Normal"/>
    <w:next w:val="Normal"/>
    <w:autoRedefine/>
    <w:uiPriority w:val="39"/>
    <w:unhideWhenUsed/>
    <w:rsid w:val="000B248D"/>
    <w:pPr>
      <w:spacing w:before="0" w:after="100" w:line="276" w:lineRule="auto"/>
      <w:ind w:left="1540"/>
    </w:pPr>
    <w:rPr>
      <w:rFonts w:ascii="Calibri" w:hAnsi="Calibri"/>
      <w:szCs w:val="22"/>
      <w:lang w:val="en-AU" w:eastAsia="en-AU"/>
    </w:rPr>
  </w:style>
  <w:style w:type="paragraph" w:styleId="CommentSubject">
    <w:name w:val="annotation subject"/>
    <w:basedOn w:val="CommentText"/>
    <w:next w:val="CommentText"/>
    <w:semiHidden/>
    <w:rsid w:val="0021339A"/>
    <w:rPr>
      <w:b/>
      <w:bCs/>
      <w:sz w:val="20"/>
    </w:rPr>
  </w:style>
  <w:style w:type="paragraph" w:styleId="ListParagraph">
    <w:name w:val="List Paragraph"/>
    <w:basedOn w:val="Normal"/>
    <w:uiPriority w:val="34"/>
    <w:qFormat/>
    <w:rsid w:val="00BA7886"/>
    <w:pPr>
      <w:ind w:left="720"/>
      <w:contextualSpacing/>
    </w:pPr>
  </w:style>
  <w:style w:type="character" w:customStyle="1" w:styleId="StyleArial11pt">
    <w:name w:val="Style Arial 11 pt"/>
    <w:rsid w:val="00B06885"/>
    <w:rPr>
      <w:rFonts w:ascii="Arial" w:hAnsi="Arial" w:cs="Times New Roman" w:hint="default"/>
      <w:sz w:val="22"/>
    </w:rPr>
  </w:style>
  <w:style w:type="table" w:styleId="TableGrid">
    <w:name w:val="Table Grid"/>
    <w:basedOn w:val="TableNormal"/>
    <w:rsid w:val="007F7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D05BA"/>
    <w:pPr>
      <w:autoSpaceDE w:val="0"/>
      <w:autoSpaceDN w:val="0"/>
      <w:adjustRightInd w:val="0"/>
    </w:pPr>
    <w:rPr>
      <w:rFonts w:ascii="Arial" w:hAnsi="Arial" w:cs="Arial"/>
      <w:color w:val="000000"/>
      <w:sz w:val="24"/>
      <w:szCs w:val="24"/>
    </w:rPr>
  </w:style>
  <w:style w:type="paragraph" w:customStyle="1" w:styleId="ms-rteelement-p">
    <w:name w:val="ms-rteelement-p"/>
    <w:basedOn w:val="Normal"/>
    <w:rsid w:val="003F7333"/>
    <w:pPr>
      <w:spacing w:before="100" w:beforeAutospacing="1" w:after="100" w:afterAutospacing="1" w:line="240" w:lineRule="auto"/>
    </w:pPr>
    <w:rPr>
      <w:rFonts w:ascii="Times New Roman" w:hAnsi="Times New Roman"/>
      <w:sz w:val="24"/>
      <w:szCs w:val="24"/>
      <w:lang w:val="en-AU" w:eastAsia="en-AU"/>
    </w:rPr>
  </w:style>
  <w:style w:type="paragraph" w:customStyle="1" w:styleId="NotHeading1">
    <w:name w:val="Not Heading 1"/>
    <w:next w:val="Normal"/>
    <w:rsid w:val="00ED53E8"/>
    <w:pPr>
      <w:spacing w:before="240" w:after="360"/>
      <w:outlineLvl w:val="0"/>
    </w:pPr>
    <w:rPr>
      <w:rFonts w:ascii="Calibri" w:hAnsi="Calibri" w:cs="Arial"/>
      <w:b/>
      <w:bCs/>
      <w:color w:val="4C5A52"/>
      <w:kern w:val="32"/>
      <w:sz w:val="36"/>
      <w:szCs w:val="36"/>
    </w:rPr>
  </w:style>
  <w:style w:type="character" w:customStyle="1" w:styleId="UtilComItalic">
    <w:name w:val="UtilCom Italic"/>
    <w:uiPriority w:val="1"/>
    <w:qFormat/>
    <w:rsid w:val="00E37901"/>
    <w:rPr>
      <w:rFonts w:cs="Arial"/>
      <w:i/>
    </w:rPr>
  </w:style>
  <w:style w:type="paragraph" w:styleId="Revision">
    <w:name w:val="Revision"/>
    <w:hidden/>
    <w:uiPriority w:val="99"/>
    <w:semiHidden/>
    <w:rsid w:val="004E4FF0"/>
    <w:rPr>
      <w:rFonts w:ascii="Arial" w:hAnsi="Arial"/>
      <w:sz w:val="22"/>
      <w:lang w:val="en-US" w:eastAsia="en-US"/>
    </w:rPr>
  </w:style>
  <w:style w:type="character" w:customStyle="1" w:styleId="FooterChar">
    <w:name w:val="Footer Char"/>
    <w:basedOn w:val="DefaultParagraphFont"/>
    <w:link w:val="Footer"/>
    <w:uiPriority w:val="99"/>
    <w:rsid w:val="000E3E0A"/>
    <w:rPr>
      <w:rFonts w:ascii="Arial" w:hAnsi="Arial"/>
      <w:sz w:val="18"/>
      <w:lang w:val="en-US" w:eastAsia="en-US"/>
    </w:rPr>
  </w:style>
  <w:style w:type="character" w:customStyle="1" w:styleId="HeaderChar">
    <w:name w:val="Header Char"/>
    <w:basedOn w:val="DefaultParagraphFont"/>
    <w:link w:val="Header"/>
    <w:uiPriority w:val="99"/>
    <w:rsid w:val="000E3E0A"/>
    <w:rPr>
      <w:rFonts w:ascii="Arial" w:hAnsi="Arial"/>
      <w:sz w:val="22"/>
      <w:lang w:val="en-US" w:eastAsia="en-US"/>
    </w:rPr>
  </w:style>
  <w:style w:type="paragraph" w:customStyle="1" w:styleId="UtilComTableFigureHeading">
    <w:name w:val="UtilCom Table/Figure Heading"/>
    <w:basedOn w:val="UtilComBodyText"/>
    <w:qFormat/>
    <w:rsid w:val="00043B58"/>
    <w:pPr>
      <w:ind w:left="567"/>
    </w:pPr>
    <w:rPr>
      <w:b/>
      <w:sz w:val="20"/>
      <w:szCs w:val="20"/>
    </w:rPr>
  </w:style>
  <w:style w:type="character" w:styleId="FollowedHyperlink">
    <w:name w:val="FollowedHyperlink"/>
    <w:basedOn w:val="DefaultParagraphFont"/>
    <w:rsid w:val="004F78D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2DA4"/>
    <w:pPr>
      <w:spacing w:before="60" w:after="60" w:line="300" w:lineRule="exact"/>
    </w:pPr>
    <w:rPr>
      <w:rFonts w:ascii="Arial" w:hAnsi="Arial"/>
      <w:sz w:val="22"/>
      <w:lang w:val="en-US" w:eastAsia="en-US"/>
    </w:rPr>
  </w:style>
  <w:style w:type="paragraph" w:styleId="Heading1">
    <w:name w:val="heading 1"/>
    <w:basedOn w:val="Normal"/>
    <w:next w:val="Normal"/>
    <w:qFormat/>
    <w:rsid w:val="00356212"/>
    <w:pPr>
      <w:keepNext/>
      <w:spacing w:before="240" w:after="40" w:line="240" w:lineRule="auto"/>
      <w:outlineLvl w:val="0"/>
    </w:pPr>
    <w:rPr>
      <w:b/>
      <w:caps/>
      <w:sz w:val="20"/>
      <w:szCs w:val="24"/>
    </w:rPr>
  </w:style>
  <w:style w:type="paragraph" w:styleId="Heading2">
    <w:name w:val="heading 2"/>
    <w:basedOn w:val="Normal"/>
    <w:next w:val="Normal"/>
    <w:link w:val="Heading2Char"/>
    <w:qFormat/>
    <w:rsid w:val="00356212"/>
    <w:pPr>
      <w:keepNext/>
      <w:spacing w:before="120" w:after="40" w:line="240" w:lineRule="auto"/>
      <w:ind w:left="360"/>
      <w:outlineLvl w:val="1"/>
    </w:pPr>
    <w:rPr>
      <w:b/>
    </w:rPr>
  </w:style>
  <w:style w:type="paragraph" w:styleId="Heading3">
    <w:name w:val="heading 3"/>
    <w:basedOn w:val="Heading2"/>
    <w:next w:val="Normal"/>
    <w:qFormat/>
    <w:rsid w:val="00C8050B"/>
    <w:pPr>
      <w:outlineLvl w:val="2"/>
    </w:pPr>
  </w:style>
  <w:style w:type="paragraph" w:styleId="Heading4">
    <w:name w:val="heading 4"/>
    <w:basedOn w:val="Normal"/>
    <w:next w:val="Normal"/>
    <w:qFormat/>
    <w:rsid w:val="003F6759"/>
    <w:pPr>
      <w:keepNext/>
      <w:keepLines/>
      <w:spacing w:after="240" w:line="240" w:lineRule="atLeast"/>
      <w:outlineLvl w:val="3"/>
    </w:pPr>
    <w:rPr>
      <w:spacing w:val="-4"/>
      <w:kern w:val="28"/>
    </w:rPr>
  </w:style>
  <w:style w:type="paragraph" w:styleId="Heading5">
    <w:name w:val="heading 5"/>
    <w:basedOn w:val="Normal"/>
    <w:next w:val="Normal"/>
    <w:qFormat/>
    <w:rsid w:val="003F6759"/>
    <w:pPr>
      <w:keepNext/>
      <w:keepLines/>
      <w:spacing w:line="240" w:lineRule="atLeast"/>
      <w:ind w:left="1440"/>
      <w:outlineLvl w:val="4"/>
    </w:pPr>
    <w:rPr>
      <w:spacing w:val="-4"/>
      <w:kern w:val="28"/>
    </w:rPr>
  </w:style>
  <w:style w:type="paragraph" w:styleId="Heading6">
    <w:name w:val="heading 6"/>
    <w:basedOn w:val="Normal"/>
    <w:next w:val="Normal"/>
    <w:qFormat/>
    <w:rsid w:val="003F6759"/>
    <w:pPr>
      <w:keepNext/>
      <w:keepLines/>
      <w:spacing w:before="140" w:line="220" w:lineRule="atLeast"/>
      <w:ind w:left="1440"/>
      <w:outlineLvl w:val="5"/>
    </w:pPr>
    <w:rPr>
      <w:i/>
      <w:spacing w:val="-4"/>
      <w:kern w:val="28"/>
    </w:rPr>
  </w:style>
  <w:style w:type="paragraph" w:styleId="Heading7">
    <w:name w:val="heading 7"/>
    <w:aliases w:val="cover date"/>
    <w:basedOn w:val="Normal"/>
    <w:next w:val="Normal"/>
    <w:qFormat/>
    <w:rsid w:val="003F6759"/>
    <w:pPr>
      <w:keepNext/>
      <w:keepLines/>
      <w:spacing w:before="140" w:line="220" w:lineRule="atLeast"/>
      <w:outlineLvl w:val="6"/>
    </w:pPr>
    <w:rPr>
      <w:spacing w:val="-4"/>
      <w:kern w:val="28"/>
    </w:rPr>
  </w:style>
  <w:style w:type="paragraph" w:styleId="Heading8">
    <w:name w:val="heading 8"/>
    <w:aliases w:val="Cover header"/>
    <w:basedOn w:val="Normal"/>
    <w:next w:val="Normal"/>
    <w:qFormat/>
    <w:rsid w:val="003F6759"/>
    <w:pPr>
      <w:keepNext/>
      <w:keepLines/>
      <w:spacing w:before="140" w:line="220" w:lineRule="atLeast"/>
      <w:outlineLvl w:val="7"/>
    </w:pPr>
    <w:rPr>
      <w:i/>
      <w:spacing w:val="-4"/>
      <w:kern w:val="28"/>
      <w:sz w:val="18"/>
    </w:rPr>
  </w:style>
  <w:style w:type="paragraph" w:styleId="Heading9">
    <w:name w:val="heading 9"/>
    <w:basedOn w:val="Normal"/>
    <w:next w:val="Normal"/>
    <w:qFormat/>
    <w:rsid w:val="003F6759"/>
    <w:pPr>
      <w:keepNext/>
      <w:keepLines/>
      <w:spacing w:before="140" w:line="220" w:lineRule="atLeast"/>
      <w:outlineLvl w:val="8"/>
    </w:pPr>
    <w:rPr>
      <w:spacing w:val="-4"/>
      <w:kern w:val="28"/>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12C4B"/>
    <w:rPr>
      <w:rFonts w:ascii="Arial" w:hAnsi="Arial"/>
      <w:b/>
      <w:sz w:val="22"/>
      <w:lang w:val="en-US" w:eastAsia="en-US" w:bidi="ar-SA"/>
    </w:rPr>
  </w:style>
  <w:style w:type="paragraph" w:customStyle="1" w:styleId="CompanyInformation">
    <w:name w:val="Company Information"/>
    <w:basedOn w:val="Normal"/>
    <w:link w:val="CompanyInformationChar"/>
    <w:semiHidden/>
    <w:rsid w:val="002D2F24"/>
    <w:pPr>
      <w:spacing w:line="240" w:lineRule="auto"/>
    </w:pPr>
    <w:rPr>
      <w:color w:val="808080"/>
      <w:sz w:val="15"/>
    </w:rPr>
  </w:style>
  <w:style w:type="character" w:customStyle="1" w:styleId="CompanyInformationChar">
    <w:name w:val="Company Information Char"/>
    <w:link w:val="CompanyInformation"/>
    <w:rsid w:val="002D2F24"/>
    <w:rPr>
      <w:rFonts w:ascii="Verdana" w:hAnsi="Verdana"/>
      <w:color w:val="808080"/>
      <w:sz w:val="15"/>
      <w:lang w:val="en-US" w:eastAsia="en-US" w:bidi="ar-SA"/>
    </w:rPr>
  </w:style>
  <w:style w:type="paragraph" w:customStyle="1" w:styleId="InsideTitle">
    <w:name w:val="Inside Title"/>
    <w:basedOn w:val="Normal"/>
    <w:semiHidden/>
    <w:rsid w:val="00872B23"/>
    <w:pPr>
      <w:keepNext/>
      <w:spacing w:before="2400" w:line="240" w:lineRule="auto"/>
    </w:pPr>
    <w:rPr>
      <w:b/>
      <w:sz w:val="32"/>
    </w:rPr>
  </w:style>
  <w:style w:type="paragraph" w:styleId="Caption">
    <w:name w:val="caption"/>
    <w:basedOn w:val="Normal"/>
    <w:next w:val="Normal"/>
    <w:qFormat/>
    <w:rsid w:val="003F6759"/>
    <w:pPr>
      <w:keepNext/>
      <w:numPr>
        <w:numId w:val="1"/>
      </w:numPr>
      <w:spacing w:after="240" w:line="220" w:lineRule="atLeast"/>
    </w:pPr>
    <w:rPr>
      <w:rFonts w:ascii="Arial Narrow" w:hAnsi="Arial Narrow"/>
      <w:sz w:val="18"/>
    </w:rPr>
  </w:style>
  <w:style w:type="paragraph" w:customStyle="1" w:styleId="InsideSubtitle">
    <w:name w:val="Inside Subtitle"/>
    <w:basedOn w:val="Normal"/>
    <w:semiHidden/>
    <w:rsid w:val="0093137B"/>
    <w:pPr>
      <w:spacing w:after="200" w:line="240" w:lineRule="auto"/>
    </w:pPr>
    <w:rPr>
      <w:i/>
      <w:sz w:val="24"/>
    </w:rPr>
  </w:style>
  <w:style w:type="paragraph" w:customStyle="1" w:styleId="BulletedList">
    <w:name w:val="Bulleted List"/>
    <w:basedOn w:val="Normal"/>
    <w:link w:val="BulletedListChar"/>
    <w:semiHidden/>
    <w:rsid w:val="000C089E"/>
    <w:pPr>
      <w:numPr>
        <w:numId w:val="2"/>
      </w:numPr>
      <w:spacing w:after="80"/>
      <w:contextualSpacing/>
    </w:pPr>
  </w:style>
  <w:style w:type="character" w:customStyle="1" w:styleId="BulletedListChar">
    <w:name w:val="Bulleted List Char"/>
    <w:link w:val="BulletedList"/>
    <w:semiHidden/>
    <w:rsid w:val="00971A83"/>
    <w:rPr>
      <w:rFonts w:ascii="Arial" w:hAnsi="Arial"/>
      <w:sz w:val="22"/>
      <w:lang w:val="en-US" w:eastAsia="en-US"/>
    </w:rPr>
  </w:style>
  <w:style w:type="character" w:styleId="CommentReference">
    <w:name w:val="annotation reference"/>
    <w:semiHidden/>
    <w:rPr>
      <w:rFonts w:ascii="Arial" w:hAnsi="Arial"/>
      <w:sz w:val="16"/>
    </w:rPr>
  </w:style>
  <w:style w:type="paragraph" w:styleId="CommentText">
    <w:name w:val="annotation text"/>
    <w:basedOn w:val="Normal"/>
    <w:semiHidden/>
    <w:rsid w:val="003F6759"/>
  </w:style>
  <w:style w:type="paragraph" w:customStyle="1" w:styleId="NumberedList">
    <w:name w:val="Numbered List"/>
    <w:basedOn w:val="Normal"/>
    <w:link w:val="NumberedListCharChar"/>
    <w:semiHidden/>
    <w:rsid w:val="00D17B03"/>
    <w:pPr>
      <w:spacing w:after="120"/>
    </w:pPr>
  </w:style>
  <w:style w:type="character" w:customStyle="1" w:styleId="NumberedListCharChar">
    <w:name w:val="Numbered List Char Char"/>
    <w:link w:val="NumberedList"/>
    <w:rsid w:val="00D17B03"/>
    <w:rPr>
      <w:rFonts w:ascii="Arial" w:hAnsi="Arial"/>
      <w:sz w:val="22"/>
      <w:lang w:val="en-US" w:eastAsia="en-US" w:bidi="ar-SA"/>
    </w:rPr>
  </w:style>
  <w:style w:type="character" w:styleId="EndnoteReference">
    <w:name w:val="endnote reference"/>
    <w:semiHidden/>
    <w:rPr>
      <w:vertAlign w:val="superscript"/>
    </w:rPr>
  </w:style>
  <w:style w:type="paragraph" w:styleId="EndnoteText">
    <w:name w:val="endnote text"/>
    <w:basedOn w:val="Normal"/>
    <w:semiHidden/>
    <w:rsid w:val="003F6759"/>
  </w:style>
  <w:style w:type="paragraph" w:customStyle="1" w:styleId="BlockQuotation">
    <w:name w:val="Block Quotation"/>
    <w:basedOn w:val="Normal"/>
    <w:link w:val="BlockQuotationChar"/>
    <w:semiHidden/>
    <w:rsid w:val="000C089E"/>
    <w:pPr>
      <w:spacing w:before="80" w:after="80"/>
      <w:ind w:left="720"/>
    </w:pPr>
    <w:rPr>
      <w:spacing w:val="-10"/>
    </w:rPr>
  </w:style>
  <w:style w:type="character" w:customStyle="1" w:styleId="BlockQuotationChar">
    <w:name w:val="Block Quotation Char"/>
    <w:link w:val="BlockQuotation"/>
    <w:rsid w:val="00971A83"/>
    <w:rPr>
      <w:rFonts w:ascii="Verdana" w:hAnsi="Verdana"/>
      <w:spacing w:val="-10"/>
      <w:sz w:val="17"/>
      <w:lang w:val="en-US" w:eastAsia="en-US" w:bidi="ar-SA"/>
    </w:rPr>
  </w:style>
  <w:style w:type="character" w:styleId="FootnoteReference">
    <w:name w:val="footnote reference"/>
    <w:rPr>
      <w:vertAlign w:val="superscript"/>
    </w:rPr>
  </w:style>
  <w:style w:type="paragraph" w:styleId="FootnoteText">
    <w:name w:val="footnote text"/>
    <w:basedOn w:val="Normal"/>
    <w:link w:val="FootnoteTextChar"/>
    <w:rsid w:val="003F6759"/>
  </w:style>
  <w:style w:type="paragraph" w:styleId="Header">
    <w:name w:val="header"/>
    <w:basedOn w:val="Normal"/>
    <w:link w:val="HeaderChar"/>
    <w:uiPriority w:val="99"/>
    <w:rsid w:val="00A745CA"/>
    <w:pPr>
      <w:tabs>
        <w:tab w:val="center" w:pos="4320"/>
        <w:tab w:val="right" w:pos="8640"/>
      </w:tabs>
    </w:pPr>
  </w:style>
  <w:style w:type="paragraph" w:styleId="Index1">
    <w:name w:val="index 1"/>
    <w:basedOn w:val="Normal"/>
    <w:autoRedefine/>
    <w:semiHidden/>
    <w:rsid w:val="003F6759"/>
  </w:style>
  <w:style w:type="paragraph" w:styleId="Index2">
    <w:name w:val="index 2"/>
    <w:basedOn w:val="Normal"/>
    <w:autoRedefine/>
    <w:semiHidden/>
    <w:rsid w:val="003F6759"/>
    <w:pPr>
      <w:ind w:left="720"/>
    </w:pPr>
  </w:style>
  <w:style w:type="paragraph" w:styleId="Index3">
    <w:name w:val="index 3"/>
    <w:basedOn w:val="Normal"/>
    <w:autoRedefine/>
    <w:semiHidden/>
    <w:rsid w:val="003F6759"/>
  </w:style>
  <w:style w:type="paragraph" w:styleId="Index4">
    <w:name w:val="index 4"/>
    <w:basedOn w:val="Normal"/>
    <w:autoRedefine/>
    <w:semiHidden/>
    <w:rsid w:val="003F6759"/>
    <w:pPr>
      <w:ind w:left="1440"/>
    </w:pPr>
  </w:style>
  <w:style w:type="paragraph" w:styleId="Index5">
    <w:name w:val="index 5"/>
    <w:basedOn w:val="Normal"/>
    <w:autoRedefine/>
    <w:semiHidden/>
    <w:rsid w:val="003F6759"/>
    <w:pPr>
      <w:ind w:left="1800"/>
    </w:pPr>
  </w:style>
  <w:style w:type="paragraph" w:styleId="IndexHeading">
    <w:name w:val="index heading"/>
    <w:basedOn w:val="Normal"/>
    <w:next w:val="Index1"/>
    <w:semiHidden/>
    <w:rsid w:val="003F6759"/>
    <w:pPr>
      <w:spacing w:line="480" w:lineRule="atLeast"/>
    </w:pPr>
    <w:rPr>
      <w:rFonts w:ascii="Arial Black" w:hAnsi="Arial Black"/>
      <w:sz w:val="24"/>
    </w:rPr>
  </w:style>
  <w:style w:type="paragraph" w:customStyle="1" w:styleId="TableCaption">
    <w:name w:val="Table Caption"/>
    <w:basedOn w:val="Normal"/>
    <w:semiHidden/>
    <w:rsid w:val="00AD5D62"/>
    <w:pPr>
      <w:spacing w:before="80" w:after="120"/>
      <w:ind w:left="360"/>
    </w:pPr>
    <w:rPr>
      <w:i/>
      <w:sz w:val="15"/>
    </w:rPr>
  </w:style>
  <w:style w:type="paragraph" w:customStyle="1" w:styleId="UtilComTableColumnHeading">
    <w:name w:val="UtilCom Table Column Heading"/>
    <w:basedOn w:val="Normal"/>
    <w:rsid w:val="008B30BD"/>
    <w:pPr>
      <w:spacing w:before="0" w:after="0"/>
    </w:pPr>
    <w:rPr>
      <w:rFonts w:cs="Arial"/>
      <w:b/>
      <w:sz w:val="18"/>
      <w:szCs w:val="18"/>
    </w:rPr>
  </w:style>
  <w:style w:type="paragraph" w:customStyle="1" w:styleId="UtilComReportHeading">
    <w:name w:val="UtilCom Report Heading"/>
    <w:basedOn w:val="Title"/>
    <w:link w:val="UtilComReportHeadingChar"/>
    <w:semiHidden/>
    <w:rsid w:val="00B305DF"/>
    <w:pPr>
      <w:spacing w:before="480"/>
      <w:ind w:left="1134"/>
    </w:pPr>
  </w:style>
  <w:style w:type="paragraph" w:styleId="Title">
    <w:name w:val="Title"/>
    <w:basedOn w:val="Normal"/>
    <w:link w:val="TitleChar"/>
    <w:qFormat/>
    <w:rsid w:val="00CD0BDF"/>
    <w:pPr>
      <w:spacing w:before="2000"/>
    </w:pPr>
    <w:rPr>
      <w:rFonts w:cs="Arial"/>
      <w:b/>
      <w:caps/>
      <w:sz w:val="40"/>
      <w:szCs w:val="40"/>
    </w:rPr>
  </w:style>
  <w:style w:type="character" w:customStyle="1" w:styleId="TitleChar">
    <w:name w:val="Title Char"/>
    <w:link w:val="Title"/>
    <w:rsid w:val="00B305DF"/>
    <w:rPr>
      <w:rFonts w:ascii="Arial" w:hAnsi="Arial" w:cs="Arial"/>
      <w:b/>
      <w:caps/>
      <w:sz w:val="40"/>
      <w:szCs w:val="40"/>
      <w:lang w:val="en-US" w:eastAsia="en-US" w:bidi="ar-SA"/>
    </w:rPr>
  </w:style>
  <w:style w:type="character" w:customStyle="1" w:styleId="UtilComReportHeadingChar">
    <w:name w:val="UtilCom Report Heading Char"/>
    <w:basedOn w:val="TitleChar"/>
    <w:link w:val="UtilComReportHeading"/>
    <w:rsid w:val="00B305DF"/>
    <w:rPr>
      <w:rFonts w:ascii="Arial" w:hAnsi="Arial" w:cs="Arial"/>
      <w:b/>
      <w:caps/>
      <w:sz w:val="40"/>
      <w:szCs w:val="40"/>
      <w:lang w:val="en-US" w:eastAsia="en-US" w:bidi="ar-SA"/>
    </w:rPr>
  </w:style>
  <w:style w:type="paragraph" w:customStyle="1" w:styleId="IndentedBodyText">
    <w:name w:val="Indented Body Text"/>
    <w:basedOn w:val="Normal"/>
    <w:link w:val="IndentedBodyTextChar"/>
    <w:semiHidden/>
    <w:rsid w:val="00CC5FB6"/>
    <w:pPr>
      <w:spacing w:after="80"/>
      <w:ind w:left="360"/>
    </w:pPr>
  </w:style>
  <w:style w:type="character" w:customStyle="1" w:styleId="IndentedBodyTextChar">
    <w:name w:val="Indented Body Text Char"/>
    <w:link w:val="IndentedBodyText"/>
    <w:rsid w:val="00CC5FB6"/>
    <w:rPr>
      <w:rFonts w:ascii="Verdana" w:hAnsi="Verdana"/>
      <w:sz w:val="17"/>
      <w:lang w:val="en-US" w:eastAsia="en-US" w:bidi="ar-SA"/>
    </w:rPr>
  </w:style>
  <w:style w:type="paragraph" w:customStyle="1" w:styleId="LineSpace">
    <w:name w:val="Line Space"/>
    <w:basedOn w:val="Normal"/>
    <w:semiHidden/>
    <w:rsid w:val="00CC5FB6"/>
    <w:pPr>
      <w:spacing w:line="240" w:lineRule="auto"/>
    </w:pPr>
    <w:rPr>
      <w:sz w:val="12"/>
    </w:rPr>
  </w:style>
  <w:style w:type="paragraph" w:styleId="BalloonText">
    <w:name w:val="Balloon Text"/>
    <w:basedOn w:val="Normal"/>
    <w:semiHidden/>
    <w:rsid w:val="00753D39"/>
    <w:rPr>
      <w:rFonts w:ascii="Tahoma" w:hAnsi="Tahoma" w:cs="Tahoma"/>
      <w:sz w:val="16"/>
      <w:szCs w:val="16"/>
    </w:rPr>
  </w:style>
  <w:style w:type="paragraph" w:customStyle="1" w:styleId="CompanyInformationBold">
    <w:name w:val="Company Information Bold"/>
    <w:basedOn w:val="CompanyInformation"/>
    <w:semiHidden/>
    <w:rsid w:val="0093137B"/>
    <w:rPr>
      <w:b/>
    </w:rPr>
  </w:style>
  <w:style w:type="paragraph" w:styleId="TableofAuthorities">
    <w:name w:val="table of authorities"/>
    <w:basedOn w:val="Normal"/>
    <w:semiHidden/>
    <w:pPr>
      <w:tabs>
        <w:tab w:val="right" w:leader="dot" w:pos="7560"/>
      </w:tabs>
      <w:ind w:left="1440" w:hanging="360"/>
    </w:pPr>
  </w:style>
  <w:style w:type="paragraph" w:styleId="TableofFigures">
    <w:name w:val="table of figures"/>
    <w:basedOn w:val="Normal"/>
    <w:semiHidden/>
    <w:rsid w:val="00720551"/>
    <w:pPr>
      <w:ind w:left="1440" w:hanging="360"/>
    </w:pPr>
  </w:style>
  <w:style w:type="paragraph" w:styleId="TOAHeading">
    <w:name w:val="toa heading"/>
    <w:basedOn w:val="Normal"/>
    <w:next w:val="TableofAuthorities"/>
    <w:semiHidden/>
    <w:pPr>
      <w:keepNext/>
      <w:spacing w:line="480" w:lineRule="atLeast"/>
    </w:pPr>
    <w:rPr>
      <w:rFonts w:ascii="Arial Black" w:hAnsi="Arial Black"/>
      <w:b/>
      <w:spacing w:val="-10"/>
      <w:kern w:val="28"/>
    </w:rPr>
  </w:style>
  <w:style w:type="paragraph" w:styleId="TOC1">
    <w:name w:val="toc 1"/>
    <w:basedOn w:val="Normal"/>
    <w:autoRedefine/>
    <w:uiPriority w:val="39"/>
    <w:rsid w:val="00B235F7"/>
    <w:rPr>
      <w:b/>
      <w:spacing w:val="-4"/>
    </w:rPr>
  </w:style>
  <w:style w:type="paragraph" w:styleId="TOC2">
    <w:name w:val="toc 2"/>
    <w:basedOn w:val="Normal"/>
    <w:autoRedefine/>
    <w:uiPriority w:val="39"/>
    <w:rsid w:val="00F23320"/>
    <w:pPr>
      <w:tabs>
        <w:tab w:val="right" w:leader="dot" w:pos="9062"/>
      </w:tabs>
    </w:pPr>
    <w:rPr>
      <w:sz w:val="18"/>
      <w:szCs w:val="18"/>
    </w:rPr>
  </w:style>
  <w:style w:type="paragraph" w:styleId="TOC3">
    <w:name w:val="toc 3"/>
    <w:basedOn w:val="Normal"/>
    <w:autoRedefine/>
    <w:uiPriority w:val="39"/>
    <w:rsid w:val="00940114"/>
    <w:pPr>
      <w:tabs>
        <w:tab w:val="left" w:pos="1418"/>
        <w:tab w:val="right" w:leader="dot" w:pos="9062"/>
      </w:tabs>
    </w:pPr>
    <w:rPr>
      <w:noProof/>
      <w:sz w:val="18"/>
    </w:rPr>
  </w:style>
  <w:style w:type="paragraph" w:styleId="TOC4">
    <w:name w:val="toc 4"/>
    <w:basedOn w:val="Normal"/>
    <w:autoRedefine/>
    <w:uiPriority w:val="39"/>
    <w:rsid w:val="0011295E"/>
    <w:pPr>
      <w:tabs>
        <w:tab w:val="left" w:pos="1200"/>
        <w:tab w:val="right" w:leader="dot" w:pos="9062"/>
      </w:tabs>
      <w:ind w:left="709"/>
    </w:pPr>
    <w:rPr>
      <w:noProof/>
      <w:sz w:val="18"/>
      <w:szCs w:val="18"/>
    </w:rPr>
  </w:style>
  <w:style w:type="paragraph" w:styleId="TOC5">
    <w:name w:val="toc 5"/>
    <w:basedOn w:val="Normal"/>
    <w:autoRedefine/>
    <w:uiPriority w:val="39"/>
    <w:rsid w:val="00720551"/>
    <w:pPr>
      <w:ind w:left="360"/>
    </w:pPr>
  </w:style>
  <w:style w:type="paragraph" w:customStyle="1" w:styleId="UtilComReferenceSource">
    <w:name w:val="UtilCom Reference/Source"/>
    <w:rsid w:val="00CA5254"/>
    <w:pPr>
      <w:spacing w:before="60" w:after="120"/>
    </w:pPr>
    <w:rPr>
      <w:rFonts w:ascii="Arial" w:hAnsi="Arial"/>
      <w:sz w:val="18"/>
      <w:szCs w:val="18"/>
      <w:lang w:val="en-US" w:eastAsia="en-US"/>
    </w:rPr>
  </w:style>
  <w:style w:type="paragraph" w:customStyle="1" w:styleId="ChapterBold">
    <w:name w:val="Chapter Bold"/>
    <w:basedOn w:val="Normal"/>
    <w:semiHidden/>
    <w:rsid w:val="00781B15"/>
    <w:pPr>
      <w:spacing w:before="960" w:after="240" w:line="400" w:lineRule="atLeast"/>
    </w:pPr>
    <w:rPr>
      <w:b/>
      <w:caps/>
      <w:color w:val="808080"/>
      <w:sz w:val="36"/>
      <w:szCs w:val="36"/>
    </w:rPr>
  </w:style>
  <w:style w:type="paragraph" w:customStyle="1" w:styleId="CompanyInformationItalic">
    <w:name w:val="Company Information Italic"/>
    <w:basedOn w:val="CompanyInformation"/>
    <w:link w:val="CompanyInformationItalicChar"/>
    <w:semiHidden/>
    <w:rsid w:val="002D2F24"/>
    <w:rPr>
      <w:i/>
    </w:rPr>
  </w:style>
  <w:style w:type="character" w:customStyle="1" w:styleId="CompanyInformationItalicChar">
    <w:name w:val="Company Information Italic Char"/>
    <w:link w:val="CompanyInformationItalic"/>
    <w:rsid w:val="002D2F24"/>
    <w:rPr>
      <w:rFonts w:ascii="Verdana" w:hAnsi="Verdana"/>
      <w:i/>
      <w:color w:val="808080"/>
      <w:sz w:val="15"/>
      <w:lang w:val="en-US" w:eastAsia="en-US" w:bidi="ar-SA"/>
    </w:rPr>
  </w:style>
  <w:style w:type="paragraph" w:styleId="Footer">
    <w:name w:val="footer"/>
    <w:basedOn w:val="Normal"/>
    <w:link w:val="FooterChar"/>
    <w:uiPriority w:val="99"/>
    <w:rsid w:val="00EA0992"/>
    <w:pPr>
      <w:tabs>
        <w:tab w:val="center" w:pos="4320"/>
        <w:tab w:val="right" w:pos="8640"/>
      </w:tabs>
    </w:pPr>
    <w:rPr>
      <w:sz w:val="18"/>
    </w:rPr>
  </w:style>
  <w:style w:type="paragraph" w:styleId="Subtitle">
    <w:name w:val="Subtitle"/>
    <w:aliases w:val="UtilCom Subtitle"/>
    <w:basedOn w:val="Normal"/>
    <w:qFormat/>
    <w:rsid w:val="00CD0BDF"/>
    <w:rPr>
      <w:rFonts w:cs="Arial"/>
      <w:i/>
      <w:sz w:val="24"/>
    </w:rPr>
  </w:style>
  <w:style w:type="paragraph" w:customStyle="1" w:styleId="BulletedListBold">
    <w:name w:val="Bulleted List Bold"/>
    <w:basedOn w:val="BulletedList"/>
    <w:link w:val="BulletedListBoldChar"/>
    <w:semiHidden/>
    <w:rsid w:val="00971A83"/>
    <w:rPr>
      <w:b/>
      <w:bCs/>
    </w:rPr>
  </w:style>
  <w:style w:type="character" w:customStyle="1" w:styleId="BulletedListBoldChar">
    <w:name w:val="Bulleted List Bold Char"/>
    <w:link w:val="BulletedListBold"/>
    <w:semiHidden/>
    <w:rsid w:val="00971A83"/>
    <w:rPr>
      <w:rFonts w:ascii="Arial" w:hAnsi="Arial"/>
      <w:b/>
      <w:bCs/>
      <w:sz w:val="22"/>
      <w:lang w:val="en-US" w:eastAsia="en-US"/>
    </w:rPr>
  </w:style>
  <w:style w:type="paragraph" w:customStyle="1" w:styleId="NumberedListBold">
    <w:name w:val="Numbered List Bold"/>
    <w:basedOn w:val="NumberedList"/>
    <w:link w:val="NumberedListBoldChar"/>
    <w:semiHidden/>
    <w:rsid w:val="00971A83"/>
    <w:rPr>
      <w:b/>
      <w:bCs/>
    </w:rPr>
  </w:style>
  <w:style w:type="character" w:customStyle="1" w:styleId="NumberedListBoldChar">
    <w:name w:val="Numbered List Bold Char"/>
    <w:link w:val="NumberedListBold"/>
    <w:rsid w:val="00971A83"/>
    <w:rPr>
      <w:rFonts w:ascii="Arial" w:hAnsi="Arial"/>
      <w:b/>
      <w:bCs/>
      <w:sz w:val="22"/>
      <w:lang w:val="en-US" w:eastAsia="en-US" w:bidi="ar-SA"/>
    </w:rPr>
  </w:style>
  <w:style w:type="character" w:customStyle="1" w:styleId="Lead-inEmphasis">
    <w:name w:val="Lead-in Emphasis"/>
    <w:semiHidden/>
    <w:rsid w:val="00E75ABB"/>
    <w:rPr>
      <w:rFonts w:ascii="Tahoma" w:hAnsi="Tahoma"/>
      <w:b/>
      <w:spacing w:val="4"/>
      <w:kern w:val="0"/>
    </w:rPr>
  </w:style>
  <w:style w:type="paragraph" w:customStyle="1" w:styleId="NumberedText">
    <w:name w:val="NumberedText"/>
    <w:basedOn w:val="Normal"/>
    <w:semiHidden/>
    <w:rsid w:val="00CD0BDF"/>
    <w:pPr>
      <w:tabs>
        <w:tab w:val="left" w:pos="720"/>
      </w:tabs>
      <w:spacing w:before="180" w:line="240" w:lineRule="auto"/>
      <w:ind w:left="431"/>
      <w:jc w:val="both"/>
    </w:pPr>
    <w:rPr>
      <w:sz w:val="20"/>
    </w:rPr>
  </w:style>
  <w:style w:type="paragraph" w:customStyle="1" w:styleId="UtilComHeaderInfo">
    <w:name w:val="UtilCom Header Info"/>
    <w:semiHidden/>
    <w:rsid w:val="00CD0BDF"/>
    <w:pPr>
      <w:spacing w:line="240" w:lineRule="exact"/>
      <w:jc w:val="right"/>
    </w:pPr>
    <w:rPr>
      <w:rFonts w:ascii="Arial" w:hAnsi="Arial"/>
      <w:sz w:val="18"/>
      <w:szCs w:val="18"/>
    </w:rPr>
  </w:style>
  <w:style w:type="paragraph" w:customStyle="1" w:styleId="UtilComAddressInfo">
    <w:name w:val="UtilCom Address Info"/>
    <w:semiHidden/>
    <w:rsid w:val="00CD0BDF"/>
    <w:pPr>
      <w:spacing w:line="240" w:lineRule="exact"/>
      <w:jc w:val="right"/>
    </w:pPr>
    <w:rPr>
      <w:rFonts w:ascii="Arial" w:hAnsi="Arial"/>
      <w:sz w:val="18"/>
      <w:szCs w:val="18"/>
    </w:rPr>
  </w:style>
  <w:style w:type="paragraph" w:customStyle="1" w:styleId="UtilComDate">
    <w:name w:val="UtilCom Date"/>
    <w:basedOn w:val="Subtitle"/>
    <w:semiHidden/>
    <w:rsid w:val="00CD0BDF"/>
    <w:pPr>
      <w:spacing w:before="480"/>
    </w:pPr>
  </w:style>
  <w:style w:type="paragraph" w:customStyle="1" w:styleId="Heading11">
    <w:name w:val="Heading 11"/>
    <w:basedOn w:val="Normal"/>
    <w:semiHidden/>
    <w:rsid w:val="006E3A87"/>
    <w:pPr>
      <w:spacing w:before="240" w:line="240" w:lineRule="auto"/>
    </w:pPr>
    <w:rPr>
      <w:b/>
      <w:sz w:val="28"/>
      <w:lang w:val="en-AU"/>
    </w:rPr>
  </w:style>
  <w:style w:type="character" w:styleId="Hyperlink">
    <w:name w:val="Hyperlink"/>
    <w:uiPriority w:val="99"/>
    <w:rsid w:val="00EA0992"/>
    <w:rPr>
      <w:color w:val="0000FF"/>
      <w:u w:val="single"/>
    </w:rPr>
  </w:style>
  <w:style w:type="paragraph" w:customStyle="1" w:styleId="NormalText">
    <w:name w:val="NormalText"/>
    <w:basedOn w:val="Normal"/>
    <w:semiHidden/>
    <w:rsid w:val="00EA0992"/>
    <w:pPr>
      <w:spacing w:before="240" w:line="240" w:lineRule="auto"/>
      <w:jc w:val="both"/>
    </w:pPr>
    <w:rPr>
      <w:sz w:val="20"/>
      <w:lang w:val="en-AU"/>
    </w:rPr>
  </w:style>
  <w:style w:type="paragraph" w:customStyle="1" w:styleId="UtilComChapterHeading">
    <w:name w:val="UtilCom Chapter Heading"/>
    <w:basedOn w:val="UtilComHeading2"/>
    <w:next w:val="TOC1"/>
    <w:link w:val="UtilComChapterHeadingChar"/>
    <w:semiHidden/>
    <w:rsid w:val="00134C3F"/>
    <w:rPr>
      <w:color w:val="808080"/>
      <w:sz w:val="32"/>
      <w:szCs w:val="28"/>
    </w:rPr>
  </w:style>
  <w:style w:type="paragraph" w:customStyle="1" w:styleId="UtilComHeading2">
    <w:name w:val="UtilCom Heading 2"/>
    <w:basedOn w:val="Heading2"/>
    <w:next w:val="TOC2"/>
    <w:link w:val="UtilComHeading2Char"/>
    <w:rsid w:val="00A755D2"/>
    <w:pPr>
      <w:spacing w:before="240" w:after="120" w:line="360" w:lineRule="exact"/>
      <w:ind w:left="0"/>
    </w:pPr>
    <w:rPr>
      <w:sz w:val="28"/>
    </w:rPr>
  </w:style>
  <w:style w:type="character" w:customStyle="1" w:styleId="UtilComHeading2Char">
    <w:name w:val="UtilCom Heading 2 Char"/>
    <w:link w:val="UtilComHeading2"/>
    <w:rsid w:val="00A755D2"/>
    <w:rPr>
      <w:rFonts w:ascii="Arial" w:hAnsi="Arial"/>
      <w:b/>
      <w:sz w:val="28"/>
      <w:lang w:val="en-US" w:eastAsia="en-US" w:bidi="ar-SA"/>
    </w:rPr>
  </w:style>
  <w:style w:type="character" w:customStyle="1" w:styleId="UtilComChapterHeadingChar">
    <w:name w:val="UtilCom Chapter Heading Char"/>
    <w:link w:val="UtilComChapterHeading"/>
    <w:semiHidden/>
    <w:rsid w:val="00134C3F"/>
    <w:rPr>
      <w:rFonts w:ascii="Arial" w:hAnsi="Arial"/>
      <w:b/>
      <w:color w:val="808080"/>
      <w:sz w:val="32"/>
      <w:szCs w:val="28"/>
      <w:lang w:val="en-US" w:eastAsia="en-US"/>
    </w:rPr>
  </w:style>
  <w:style w:type="paragraph" w:customStyle="1" w:styleId="UtilComBodyText">
    <w:name w:val="UtilCom Body Text"/>
    <w:basedOn w:val="Normal"/>
    <w:rsid w:val="00FE79B4"/>
    <w:rPr>
      <w:rFonts w:cs="Arial"/>
      <w:szCs w:val="22"/>
    </w:rPr>
  </w:style>
  <w:style w:type="paragraph" w:customStyle="1" w:styleId="UtilComNumberedText">
    <w:name w:val="UtilCom Numbered Text"/>
    <w:basedOn w:val="Normal"/>
    <w:semiHidden/>
    <w:rsid w:val="00D17B03"/>
    <w:pPr>
      <w:numPr>
        <w:ilvl w:val="1"/>
        <w:numId w:val="6"/>
      </w:numPr>
      <w:tabs>
        <w:tab w:val="left" w:pos="993"/>
      </w:tabs>
      <w:spacing w:line="240" w:lineRule="auto"/>
    </w:pPr>
    <w:rPr>
      <w:rFonts w:cs="Arial"/>
      <w:szCs w:val="22"/>
    </w:rPr>
  </w:style>
  <w:style w:type="paragraph" w:customStyle="1" w:styleId="UtilComBulletText">
    <w:name w:val="UtilCom Bullet Text"/>
    <w:basedOn w:val="Normal"/>
    <w:rsid w:val="00F8644E"/>
    <w:pPr>
      <w:numPr>
        <w:numId w:val="3"/>
      </w:numPr>
      <w:tabs>
        <w:tab w:val="left" w:pos="1134"/>
      </w:tabs>
      <w:spacing w:line="240" w:lineRule="auto"/>
    </w:pPr>
    <w:rPr>
      <w:rFonts w:cs="Arial"/>
      <w:szCs w:val="22"/>
    </w:rPr>
  </w:style>
  <w:style w:type="paragraph" w:customStyle="1" w:styleId="UtilComHeading3">
    <w:name w:val="UtilCom Heading 3"/>
    <w:basedOn w:val="Heading3"/>
    <w:next w:val="TOC3"/>
    <w:rsid w:val="00127A28"/>
    <w:pPr>
      <w:spacing w:after="60" w:line="320" w:lineRule="exact"/>
      <w:ind w:left="0"/>
    </w:pPr>
    <w:rPr>
      <w:sz w:val="24"/>
      <w:szCs w:val="24"/>
    </w:rPr>
  </w:style>
  <w:style w:type="paragraph" w:styleId="TOC9">
    <w:name w:val="toc 9"/>
    <w:basedOn w:val="Normal"/>
    <w:next w:val="Normal"/>
    <w:autoRedefine/>
    <w:uiPriority w:val="39"/>
    <w:rsid w:val="004C0CB0"/>
    <w:pPr>
      <w:ind w:left="1760"/>
    </w:pPr>
  </w:style>
  <w:style w:type="paragraph" w:customStyle="1" w:styleId="UtilComNumberItem2">
    <w:name w:val="UtilCom Number Item 2"/>
    <w:basedOn w:val="Normal"/>
    <w:semiHidden/>
    <w:rsid w:val="00A8381B"/>
    <w:pPr>
      <w:numPr>
        <w:ilvl w:val="1"/>
        <w:numId w:val="4"/>
      </w:numPr>
    </w:pPr>
  </w:style>
  <w:style w:type="paragraph" w:customStyle="1" w:styleId="UtilComTabletext">
    <w:name w:val="UtilCom Table text"/>
    <w:basedOn w:val="Normal"/>
    <w:rsid w:val="008B30BD"/>
    <w:pPr>
      <w:spacing w:before="0" w:after="0"/>
    </w:pPr>
    <w:rPr>
      <w:rFonts w:cs="Arial"/>
      <w:sz w:val="18"/>
      <w:szCs w:val="18"/>
    </w:rPr>
  </w:style>
  <w:style w:type="paragraph" w:customStyle="1" w:styleId="UtilComTableNumbers">
    <w:name w:val="UtilCom Table Numbers"/>
    <w:basedOn w:val="Normal"/>
    <w:rsid w:val="002F053A"/>
    <w:pPr>
      <w:jc w:val="right"/>
    </w:pPr>
    <w:rPr>
      <w:rFonts w:cs="Arial"/>
      <w:sz w:val="18"/>
      <w:szCs w:val="18"/>
    </w:rPr>
  </w:style>
  <w:style w:type="paragraph" w:customStyle="1" w:styleId="UtilComNumbered">
    <w:name w:val="UtilCom Numbered"/>
    <w:basedOn w:val="UtilComNumberItem2"/>
    <w:semiHidden/>
    <w:rsid w:val="001D21E9"/>
    <w:pPr>
      <w:numPr>
        <w:ilvl w:val="0"/>
        <w:numId w:val="0"/>
      </w:numPr>
    </w:pPr>
  </w:style>
  <w:style w:type="paragraph" w:customStyle="1" w:styleId="31UtilComNumber">
    <w:name w:val="3.1 UtilCom Number"/>
    <w:basedOn w:val="UtilComNumberItem2"/>
    <w:semiHidden/>
    <w:rsid w:val="000B21F0"/>
    <w:pPr>
      <w:numPr>
        <w:numId w:val="5"/>
      </w:numPr>
    </w:pPr>
  </w:style>
  <w:style w:type="paragraph" w:customStyle="1" w:styleId="AppendixHeading">
    <w:name w:val="Appendix Heading"/>
    <w:basedOn w:val="ChapterBold"/>
    <w:rsid w:val="00A554E9"/>
    <w:pPr>
      <w:jc w:val="right"/>
      <w:outlineLvl w:val="0"/>
    </w:pPr>
  </w:style>
  <w:style w:type="paragraph" w:customStyle="1" w:styleId="NumberLevel1">
    <w:name w:val="Number Level 1"/>
    <w:basedOn w:val="Normal"/>
    <w:rsid w:val="00BA0D8C"/>
    <w:pPr>
      <w:numPr>
        <w:numId w:val="7"/>
      </w:numPr>
      <w:spacing w:before="960" w:after="240" w:line="400" w:lineRule="exact"/>
      <w:ind w:left="431" w:hanging="431"/>
    </w:pPr>
    <w:rPr>
      <w:b/>
      <w:caps/>
      <w:color w:val="808080"/>
      <w:sz w:val="36"/>
    </w:rPr>
  </w:style>
  <w:style w:type="paragraph" w:customStyle="1" w:styleId="NumberLevel2">
    <w:name w:val="Number Level 2"/>
    <w:basedOn w:val="Normal"/>
    <w:next w:val="Normal"/>
    <w:rsid w:val="00A041E2"/>
    <w:pPr>
      <w:numPr>
        <w:ilvl w:val="1"/>
        <w:numId w:val="7"/>
      </w:numPr>
      <w:outlineLvl w:val="3"/>
    </w:pPr>
  </w:style>
  <w:style w:type="paragraph" w:customStyle="1" w:styleId="NumberLevel3">
    <w:name w:val="Number Level 3"/>
    <w:basedOn w:val="NumberLevel2"/>
    <w:rsid w:val="00BA0D8C"/>
    <w:pPr>
      <w:numPr>
        <w:ilvl w:val="2"/>
      </w:numPr>
    </w:pPr>
  </w:style>
  <w:style w:type="paragraph" w:customStyle="1" w:styleId="UtilComLetterNumbering">
    <w:name w:val="UtilCom Letter Numbering"/>
    <w:basedOn w:val="Normal"/>
    <w:rsid w:val="00F8644E"/>
    <w:pPr>
      <w:numPr>
        <w:numId w:val="8"/>
      </w:numPr>
    </w:pPr>
  </w:style>
  <w:style w:type="paragraph" w:customStyle="1" w:styleId="UtilComHeading4">
    <w:name w:val="UtilCom Heading 4"/>
    <w:basedOn w:val="TOC4"/>
    <w:next w:val="TOC4"/>
    <w:rsid w:val="00FE79B4"/>
    <w:pPr>
      <w:tabs>
        <w:tab w:val="clear" w:pos="1200"/>
        <w:tab w:val="clear" w:pos="9062"/>
      </w:tabs>
      <w:spacing w:after="0" w:line="312" w:lineRule="auto"/>
      <w:ind w:left="0"/>
      <w:outlineLvl w:val="3"/>
    </w:pPr>
    <w:rPr>
      <w:i/>
      <w:noProof w:val="0"/>
      <w:sz w:val="22"/>
      <w:szCs w:val="22"/>
    </w:rPr>
  </w:style>
  <w:style w:type="paragraph" w:customStyle="1" w:styleId="UtilComQuotationText">
    <w:name w:val="UtilCom Quotation Text"/>
    <w:basedOn w:val="BlockQuotation"/>
    <w:rsid w:val="00FE79B4"/>
    <w:pPr>
      <w:spacing w:line="312" w:lineRule="auto"/>
      <w:ind w:left="567"/>
    </w:pPr>
    <w:rPr>
      <w:i/>
      <w:spacing w:val="0"/>
    </w:rPr>
  </w:style>
  <w:style w:type="character" w:customStyle="1" w:styleId="FootnoteTextChar">
    <w:name w:val="Footnote Text Char"/>
    <w:link w:val="FootnoteText"/>
    <w:rsid w:val="00BB55CF"/>
    <w:rPr>
      <w:rFonts w:ascii="Arial" w:hAnsi="Arial"/>
      <w:sz w:val="22"/>
      <w:lang w:val="en-US" w:eastAsia="en-US"/>
    </w:rPr>
  </w:style>
  <w:style w:type="paragraph" w:styleId="TOC6">
    <w:name w:val="toc 6"/>
    <w:basedOn w:val="Normal"/>
    <w:next w:val="Normal"/>
    <w:autoRedefine/>
    <w:uiPriority w:val="39"/>
    <w:unhideWhenUsed/>
    <w:rsid w:val="000B248D"/>
    <w:pPr>
      <w:spacing w:before="0" w:after="100" w:line="276" w:lineRule="auto"/>
      <w:ind w:left="1100"/>
    </w:pPr>
    <w:rPr>
      <w:rFonts w:ascii="Calibri" w:hAnsi="Calibri"/>
      <w:szCs w:val="22"/>
      <w:lang w:val="en-AU" w:eastAsia="en-AU"/>
    </w:rPr>
  </w:style>
  <w:style w:type="paragraph" w:styleId="TOC7">
    <w:name w:val="toc 7"/>
    <w:basedOn w:val="Normal"/>
    <w:next w:val="Normal"/>
    <w:autoRedefine/>
    <w:uiPriority w:val="39"/>
    <w:unhideWhenUsed/>
    <w:rsid w:val="000B248D"/>
    <w:pPr>
      <w:spacing w:before="0" w:after="100" w:line="276" w:lineRule="auto"/>
      <w:ind w:left="1320"/>
    </w:pPr>
    <w:rPr>
      <w:rFonts w:ascii="Calibri" w:hAnsi="Calibri"/>
      <w:szCs w:val="22"/>
      <w:lang w:val="en-AU" w:eastAsia="en-AU"/>
    </w:rPr>
  </w:style>
  <w:style w:type="paragraph" w:styleId="TOC8">
    <w:name w:val="toc 8"/>
    <w:basedOn w:val="Normal"/>
    <w:next w:val="Normal"/>
    <w:autoRedefine/>
    <w:uiPriority w:val="39"/>
    <w:unhideWhenUsed/>
    <w:rsid w:val="000B248D"/>
    <w:pPr>
      <w:spacing w:before="0" w:after="100" w:line="276" w:lineRule="auto"/>
      <w:ind w:left="1540"/>
    </w:pPr>
    <w:rPr>
      <w:rFonts w:ascii="Calibri" w:hAnsi="Calibri"/>
      <w:szCs w:val="22"/>
      <w:lang w:val="en-AU" w:eastAsia="en-AU"/>
    </w:rPr>
  </w:style>
  <w:style w:type="paragraph" w:styleId="CommentSubject">
    <w:name w:val="annotation subject"/>
    <w:basedOn w:val="CommentText"/>
    <w:next w:val="CommentText"/>
    <w:semiHidden/>
    <w:rsid w:val="0021339A"/>
    <w:rPr>
      <w:b/>
      <w:bCs/>
      <w:sz w:val="20"/>
    </w:rPr>
  </w:style>
  <w:style w:type="paragraph" w:styleId="ListParagraph">
    <w:name w:val="List Paragraph"/>
    <w:basedOn w:val="Normal"/>
    <w:uiPriority w:val="34"/>
    <w:qFormat/>
    <w:rsid w:val="00BA7886"/>
    <w:pPr>
      <w:ind w:left="720"/>
      <w:contextualSpacing/>
    </w:pPr>
  </w:style>
  <w:style w:type="character" w:customStyle="1" w:styleId="StyleArial11pt">
    <w:name w:val="Style Arial 11 pt"/>
    <w:rsid w:val="00B06885"/>
    <w:rPr>
      <w:rFonts w:ascii="Arial" w:hAnsi="Arial" w:cs="Times New Roman" w:hint="default"/>
      <w:sz w:val="22"/>
    </w:rPr>
  </w:style>
  <w:style w:type="table" w:styleId="TableGrid">
    <w:name w:val="Table Grid"/>
    <w:basedOn w:val="TableNormal"/>
    <w:rsid w:val="007F7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D05BA"/>
    <w:pPr>
      <w:autoSpaceDE w:val="0"/>
      <w:autoSpaceDN w:val="0"/>
      <w:adjustRightInd w:val="0"/>
    </w:pPr>
    <w:rPr>
      <w:rFonts w:ascii="Arial" w:hAnsi="Arial" w:cs="Arial"/>
      <w:color w:val="000000"/>
      <w:sz w:val="24"/>
      <w:szCs w:val="24"/>
    </w:rPr>
  </w:style>
  <w:style w:type="paragraph" w:customStyle="1" w:styleId="ms-rteelement-p">
    <w:name w:val="ms-rteelement-p"/>
    <w:basedOn w:val="Normal"/>
    <w:rsid w:val="003F7333"/>
    <w:pPr>
      <w:spacing w:before="100" w:beforeAutospacing="1" w:after="100" w:afterAutospacing="1" w:line="240" w:lineRule="auto"/>
    </w:pPr>
    <w:rPr>
      <w:rFonts w:ascii="Times New Roman" w:hAnsi="Times New Roman"/>
      <w:sz w:val="24"/>
      <w:szCs w:val="24"/>
      <w:lang w:val="en-AU" w:eastAsia="en-AU"/>
    </w:rPr>
  </w:style>
  <w:style w:type="paragraph" w:customStyle="1" w:styleId="NotHeading1">
    <w:name w:val="Not Heading 1"/>
    <w:next w:val="Normal"/>
    <w:rsid w:val="00ED53E8"/>
    <w:pPr>
      <w:spacing w:before="240" w:after="360"/>
      <w:outlineLvl w:val="0"/>
    </w:pPr>
    <w:rPr>
      <w:rFonts w:ascii="Calibri" w:hAnsi="Calibri" w:cs="Arial"/>
      <w:b/>
      <w:bCs/>
      <w:color w:val="4C5A52"/>
      <w:kern w:val="32"/>
      <w:sz w:val="36"/>
      <w:szCs w:val="36"/>
    </w:rPr>
  </w:style>
  <w:style w:type="character" w:customStyle="1" w:styleId="UtilComItalic">
    <w:name w:val="UtilCom Italic"/>
    <w:uiPriority w:val="1"/>
    <w:qFormat/>
    <w:rsid w:val="00E37901"/>
    <w:rPr>
      <w:rFonts w:cs="Arial"/>
      <w:i/>
    </w:rPr>
  </w:style>
  <w:style w:type="paragraph" w:styleId="Revision">
    <w:name w:val="Revision"/>
    <w:hidden/>
    <w:uiPriority w:val="99"/>
    <w:semiHidden/>
    <w:rsid w:val="004E4FF0"/>
    <w:rPr>
      <w:rFonts w:ascii="Arial" w:hAnsi="Arial"/>
      <w:sz w:val="22"/>
      <w:lang w:val="en-US" w:eastAsia="en-US"/>
    </w:rPr>
  </w:style>
  <w:style w:type="character" w:customStyle="1" w:styleId="FooterChar">
    <w:name w:val="Footer Char"/>
    <w:basedOn w:val="DefaultParagraphFont"/>
    <w:link w:val="Footer"/>
    <w:uiPriority w:val="99"/>
    <w:rsid w:val="000E3E0A"/>
    <w:rPr>
      <w:rFonts w:ascii="Arial" w:hAnsi="Arial"/>
      <w:sz w:val="18"/>
      <w:lang w:val="en-US" w:eastAsia="en-US"/>
    </w:rPr>
  </w:style>
  <w:style w:type="character" w:customStyle="1" w:styleId="HeaderChar">
    <w:name w:val="Header Char"/>
    <w:basedOn w:val="DefaultParagraphFont"/>
    <w:link w:val="Header"/>
    <w:uiPriority w:val="99"/>
    <w:rsid w:val="000E3E0A"/>
    <w:rPr>
      <w:rFonts w:ascii="Arial" w:hAnsi="Arial"/>
      <w:sz w:val="22"/>
      <w:lang w:val="en-US" w:eastAsia="en-US"/>
    </w:rPr>
  </w:style>
  <w:style w:type="paragraph" w:customStyle="1" w:styleId="UtilComTableFigureHeading">
    <w:name w:val="UtilCom Table/Figure Heading"/>
    <w:basedOn w:val="UtilComBodyText"/>
    <w:qFormat/>
    <w:rsid w:val="00043B58"/>
    <w:pPr>
      <w:ind w:left="567"/>
    </w:pPr>
    <w:rPr>
      <w:b/>
      <w:sz w:val="20"/>
      <w:szCs w:val="20"/>
    </w:rPr>
  </w:style>
  <w:style w:type="character" w:styleId="FollowedHyperlink">
    <w:name w:val="FollowedHyperlink"/>
    <w:basedOn w:val="DefaultParagraphFont"/>
    <w:rsid w:val="004F78D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160793">
      <w:bodyDiv w:val="1"/>
      <w:marLeft w:val="0"/>
      <w:marRight w:val="0"/>
      <w:marTop w:val="0"/>
      <w:marBottom w:val="0"/>
      <w:divBdr>
        <w:top w:val="none" w:sz="0" w:space="0" w:color="auto"/>
        <w:left w:val="none" w:sz="0" w:space="0" w:color="auto"/>
        <w:bottom w:val="none" w:sz="0" w:space="0" w:color="auto"/>
        <w:right w:val="none" w:sz="0" w:space="0" w:color="auto"/>
      </w:divBdr>
    </w:div>
    <w:div w:id="919292392">
      <w:bodyDiv w:val="1"/>
      <w:marLeft w:val="0"/>
      <w:marRight w:val="0"/>
      <w:marTop w:val="0"/>
      <w:marBottom w:val="0"/>
      <w:divBdr>
        <w:top w:val="none" w:sz="0" w:space="0" w:color="auto"/>
        <w:left w:val="none" w:sz="0" w:space="0" w:color="auto"/>
        <w:bottom w:val="none" w:sz="0" w:space="0" w:color="auto"/>
        <w:right w:val="none" w:sz="0" w:space="0" w:color="auto"/>
      </w:divBdr>
    </w:div>
    <w:div w:id="1592162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3.xml"/><Relationship Id="rId26" Type="http://schemas.openxmlformats.org/officeDocument/2006/relationships/customXml" Target="../customXml/item3.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utilities.commission@nt.gov.au" TargetMode="Externa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www.utilicom.nt.gov.au"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utilicom.nt.gov.au" TargetMode="External"/><Relationship Id="rId22" Type="http://schemas.openxmlformats.org/officeDocument/2006/relationships/footer" Target="footer4.xml"/><Relationship Id="rId27" Type="http://schemas.openxmlformats.org/officeDocument/2006/relationships/customXml" Target="../customXml/item4.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notes.xml.rels><?xml version="1.0" encoding="UTF-8" standalone="yes"?>
<Relationships xmlns="http://schemas.openxmlformats.org/package/2006/relationships"><Relationship Id="rId2" Type="http://schemas.openxmlformats.org/officeDocument/2006/relationships/hyperlink" Target="https://www.powerwater.com.au/networks_and_infrastructure/market_operator/MarketOperatorConsultationPapers" TargetMode="External"/><Relationship Id="rId1" Type="http://schemas.openxmlformats.org/officeDocument/2006/relationships/hyperlink" Target="http://www.aemo.com.au/Electricity/Policies-and-Procedures/Market-Settlement-and-Transfer-Solutions/MSATS-Participant-User-Interface-Guid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A7AC795A47C6349B5032D5D43EA6D42" ma:contentTypeVersion="17" ma:contentTypeDescription="Create a new document." ma:contentTypeScope="" ma:versionID="dd1395085e67237d7e93f26c5d5e9308">
  <xsd:schema xmlns:xsd="http://www.w3.org/2001/XMLSchema" xmlns:xs="http://www.w3.org/2001/XMLSchema" xmlns:p="http://schemas.microsoft.com/office/2006/metadata/properties" xmlns:ns2="4d0431e8-3aad-4d02-84b7-fecd7c8a0e22" targetNamespace="http://schemas.microsoft.com/office/2006/metadata/properties" ma:root="true" ma:fieldsID="63f7f3a52da002ec58d95848bddab606" ns2:_="">
    <xsd:import namespace="4d0431e8-3aad-4d02-84b7-fecd7c8a0e22"/>
    <xsd:element name="properties">
      <xsd:complexType>
        <xsd:sequence>
          <xsd:element name="documentManagement">
            <xsd:complexType>
              <xsd:all>
                <xsd:element ref="ns2:Main_x0020_Category" minOccurs="0"/>
                <xsd:element ref="ns2:Sub_x0020_Category" minOccurs="0"/>
                <xsd:element ref="ns2:Sub_x0020_Sub_x0020_Category" minOccurs="0"/>
                <xsd:element ref="ns2:Date_x0020_Approved" minOccurs="0"/>
                <xsd:element ref="ns2:Notify_x0020_On_x0020_Check_x0020_In" minOccurs="0"/>
                <xsd:element ref="ns2: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431e8-3aad-4d02-84b7-fecd7c8a0e22" elementFormDefault="qualified">
    <xsd:import namespace="http://schemas.microsoft.com/office/2006/documentManagement/types"/>
    <xsd:import namespace="http://schemas.microsoft.com/office/infopath/2007/PartnerControls"/>
    <xsd:element name="Main_x0020_Category" ma:index="2" nillable="true" ma:displayName="Main Category" ma:list="{4d574b80-04c5-491a-9072-56487fc2c14b}" ma:internalName="Main_x0020_Category" ma:readOnly="false" ma:showField="Title">
      <xsd:simpleType>
        <xsd:restriction base="dms:Lookup"/>
      </xsd:simpleType>
    </xsd:element>
    <xsd:element name="Sub_x0020_Category" ma:index="3" nillable="true" ma:displayName="Sub Category" ma:list="{704266a8-2171-445e-a959-fc9ea1634387}" ma:internalName="Sub_x0020_Category" ma:readOnly="false" ma:showField="Title">
      <xsd:simpleType>
        <xsd:restriction base="dms:Lookup"/>
      </xsd:simpleType>
    </xsd:element>
    <xsd:element name="Sub_x0020_Sub_x0020_Category" ma:index="4" nillable="true" ma:displayName="Sub Sub Category" ma:list="{f2146ac0-839b-4e17-bf7a-eb32973bbf08}" ma:internalName="Sub_x0020_Sub_x0020_Category" ma:showField="Title">
      <xsd:simpleType>
        <xsd:restriction base="dms:Lookup"/>
      </xsd:simpleType>
    </xsd:element>
    <xsd:element name="Date_x0020_Approved" ma:index="5" nillable="true" ma:displayName="Date of Publication" ma:default="[today]" ma:format="DateOnly" ma:internalName="Date_x0020_Approved">
      <xsd:simpleType>
        <xsd:restriction base="dms:DateTime"/>
      </xsd:simpleType>
    </xsd:element>
    <xsd:element name="Notify_x0020_On_x0020_Check_x0020_In" ma:index="6" nillable="true" ma:displayName="Notify On Check In" ma:default="1" ma:internalName="Notify_x0020_On_x0020_Check_x0020_In">
      <xsd:simpleType>
        <xsd:restriction base="dms:Boolean"/>
      </xsd:simpleType>
    </xsd:element>
    <xsd:element name="Details" ma:index="7" nillable="true" ma:displayName="Details" ma:internalName="Detail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Details xmlns="4d0431e8-3aad-4d02-84b7-fecd7c8a0e22">Application to Amend the Electricity Retail Supply Code Consultation Paper</Details>
    <Main_x0020_Category xmlns="4d0431e8-3aad-4d02-84b7-fecd7c8a0e22">1</Main_x0020_Category>
    <Sub_x0020_Sub_x0020_Category xmlns="4d0431e8-3aad-4d02-84b7-fecd7c8a0e22" xsi:nil="true"/>
    <Date_x0020_Approved xmlns="4d0431e8-3aad-4d02-84b7-fecd7c8a0e22">2016-07-28T14:30:00+00:00</Date_x0020_Approved>
    <Notify_x0020_On_x0020_Check_x0020_In xmlns="4d0431e8-3aad-4d02-84b7-fecd7c8a0e22">true</Notify_x0020_On_x0020_Check_x0020_In>
    <Sub_x0020_Category xmlns="4d0431e8-3aad-4d02-84b7-fecd7c8a0e22" xsi:nil="true"/>
  </documentManagement>
</p:properties>
</file>

<file path=customXml/itemProps1.xml><?xml version="1.0" encoding="utf-8"?>
<ds:datastoreItem xmlns:ds="http://schemas.openxmlformats.org/officeDocument/2006/customXml" ds:itemID="{C4572C51-438A-4590-A3B8-F69354B037DC}"/>
</file>

<file path=customXml/itemProps2.xml><?xml version="1.0" encoding="utf-8"?>
<ds:datastoreItem xmlns:ds="http://schemas.openxmlformats.org/officeDocument/2006/customXml" ds:itemID="{3E64C498-1AF2-4929-9ED9-CB83F5EE8D84}"/>
</file>

<file path=customXml/itemProps3.xml><?xml version="1.0" encoding="utf-8"?>
<ds:datastoreItem xmlns:ds="http://schemas.openxmlformats.org/officeDocument/2006/customXml" ds:itemID="{8637B78C-1A89-4E30-90C2-00E30E326589}"/>
</file>

<file path=customXml/itemProps4.xml><?xml version="1.0" encoding="utf-8"?>
<ds:datastoreItem xmlns:ds="http://schemas.openxmlformats.org/officeDocument/2006/customXml" ds:itemID="{472CB6D0-4658-4913-94F9-B4F6AC516E41}"/>
</file>

<file path=docProps/app.xml><?xml version="1.0" encoding="utf-8"?>
<Properties xmlns="http://schemas.openxmlformats.org/officeDocument/2006/extended-properties" xmlns:vt="http://schemas.openxmlformats.org/officeDocument/2006/docPropsVTypes">
  <Template>Normal</Template>
  <TotalTime>0</TotalTime>
  <Pages>25</Pages>
  <Words>7434</Words>
  <Characters>43060</Characters>
  <Application>Microsoft Office Word</Application>
  <DocSecurity>8</DocSecurity>
  <Lines>358</Lines>
  <Paragraphs>100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50394</CharactersWithSpaces>
  <SharedDoc>false</SharedDoc>
  <HLinks>
    <vt:vector size="210" baseType="variant">
      <vt:variant>
        <vt:i4>3407922</vt:i4>
      </vt:variant>
      <vt:variant>
        <vt:i4>189</vt:i4>
      </vt:variant>
      <vt:variant>
        <vt:i4>0</vt:i4>
      </vt:variant>
      <vt:variant>
        <vt:i4>5</vt:i4>
      </vt:variant>
      <vt:variant>
        <vt:lpwstr>http://www.utilicom.nt.gov.au/</vt:lpwstr>
      </vt:variant>
      <vt:variant>
        <vt:lpwstr/>
      </vt:variant>
      <vt:variant>
        <vt:i4>3276826</vt:i4>
      </vt:variant>
      <vt:variant>
        <vt:i4>186</vt:i4>
      </vt:variant>
      <vt:variant>
        <vt:i4>0</vt:i4>
      </vt:variant>
      <vt:variant>
        <vt:i4>5</vt:i4>
      </vt:variant>
      <vt:variant>
        <vt:lpwstr>mailto:utilities.commission@nt.gov.au</vt:lpwstr>
      </vt:variant>
      <vt:variant>
        <vt:lpwstr/>
      </vt:variant>
      <vt:variant>
        <vt:i4>3407922</vt:i4>
      </vt:variant>
      <vt:variant>
        <vt:i4>183</vt:i4>
      </vt:variant>
      <vt:variant>
        <vt:i4>0</vt:i4>
      </vt:variant>
      <vt:variant>
        <vt:i4>5</vt:i4>
      </vt:variant>
      <vt:variant>
        <vt:lpwstr>http://www.utilicom.nt.gov.au/</vt:lpwstr>
      </vt:variant>
      <vt:variant>
        <vt:lpwstr/>
      </vt:variant>
      <vt:variant>
        <vt:i4>1900597</vt:i4>
      </vt:variant>
      <vt:variant>
        <vt:i4>176</vt:i4>
      </vt:variant>
      <vt:variant>
        <vt:i4>0</vt:i4>
      </vt:variant>
      <vt:variant>
        <vt:i4>5</vt:i4>
      </vt:variant>
      <vt:variant>
        <vt:lpwstr/>
      </vt:variant>
      <vt:variant>
        <vt:lpwstr>_Toc453509237</vt:lpwstr>
      </vt:variant>
      <vt:variant>
        <vt:i4>1900597</vt:i4>
      </vt:variant>
      <vt:variant>
        <vt:i4>170</vt:i4>
      </vt:variant>
      <vt:variant>
        <vt:i4>0</vt:i4>
      </vt:variant>
      <vt:variant>
        <vt:i4>5</vt:i4>
      </vt:variant>
      <vt:variant>
        <vt:lpwstr/>
      </vt:variant>
      <vt:variant>
        <vt:lpwstr>_Toc453509236</vt:lpwstr>
      </vt:variant>
      <vt:variant>
        <vt:i4>1900597</vt:i4>
      </vt:variant>
      <vt:variant>
        <vt:i4>164</vt:i4>
      </vt:variant>
      <vt:variant>
        <vt:i4>0</vt:i4>
      </vt:variant>
      <vt:variant>
        <vt:i4>5</vt:i4>
      </vt:variant>
      <vt:variant>
        <vt:lpwstr/>
      </vt:variant>
      <vt:variant>
        <vt:lpwstr>_Toc453509235</vt:lpwstr>
      </vt:variant>
      <vt:variant>
        <vt:i4>1900597</vt:i4>
      </vt:variant>
      <vt:variant>
        <vt:i4>158</vt:i4>
      </vt:variant>
      <vt:variant>
        <vt:i4>0</vt:i4>
      </vt:variant>
      <vt:variant>
        <vt:i4>5</vt:i4>
      </vt:variant>
      <vt:variant>
        <vt:lpwstr/>
      </vt:variant>
      <vt:variant>
        <vt:lpwstr>_Toc453509234</vt:lpwstr>
      </vt:variant>
      <vt:variant>
        <vt:i4>1900597</vt:i4>
      </vt:variant>
      <vt:variant>
        <vt:i4>152</vt:i4>
      </vt:variant>
      <vt:variant>
        <vt:i4>0</vt:i4>
      </vt:variant>
      <vt:variant>
        <vt:i4>5</vt:i4>
      </vt:variant>
      <vt:variant>
        <vt:lpwstr/>
      </vt:variant>
      <vt:variant>
        <vt:lpwstr>_Toc453509233</vt:lpwstr>
      </vt:variant>
      <vt:variant>
        <vt:i4>1900597</vt:i4>
      </vt:variant>
      <vt:variant>
        <vt:i4>146</vt:i4>
      </vt:variant>
      <vt:variant>
        <vt:i4>0</vt:i4>
      </vt:variant>
      <vt:variant>
        <vt:i4>5</vt:i4>
      </vt:variant>
      <vt:variant>
        <vt:lpwstr/>
      </vt:variant>
      <vt:variant>
        <vt:lpwstr>_Toc453509232</vt:lpwstr>
      </vt:variant>
      <vt:variant>
        <vt:i4>1900597</vt:i4>
      </vt:variant>
      <vt:variant>
        <vt:i4>140</vt:i4>
      </vt:variant>
      <vt:variant>
        <vt:i4>0</vt:i4>
      </vt:variant>
      <vt:variant>
        <vt:i4>5</vt:i4>
      </vt:variant>
      <vt:variant>
        <vt:lpwstr/>
      </vt:variant>
      <vt:variant>
        <vt:lpwstr>_Toc453509231</vt:lpwstr>
      </vt:variant>
      <vt:variant>
        <vt:i4>1900597</vt:i4>
      </vt:variant>
      <vt:variant>
        <vt:i4>134</vt:i4>
      </vt:variant>
      <vt:variant>
        <vt:i4>0</vt:i4>
      </vt:variant>
      <vt:variant>
        <vt:i4>5</vt:i4>
      </vt:variant>
      <vt:variant>
        <vt:lpwstr/>
      </vt:variant>
      <vt:variant>
        <vt:lpwstr>_Toc453509230</vt:lpwstr>
      </vt:variant>
      <vt:variant>
        <vt:i4>1835061</vt:i4>
      </vt:variant>
      <vt:variant>
        <vt:i4>128</vt:i4>
      </vt:variant>
      <vt:variant>
        <vt:i4>0</vt:i4>
      </vt:variant>
      <vt:variant>
        <vt:i4>5</vt:i4>
      </vt:variant>
      <vt:variant>
        <vt:lpwstr/>
      </vt:variant>
      <vt:variant>
        <vt:lpwstr>_Toc453509229</vt:lpwstr>
      </vt:variant>
      <vt:variant>
        <vt:i4>1835061</vt:i4>
      </vt:variant>
      <vt:variant>
        <vt:i4>122</vt:i4>
      </vt:variant>
      <vt:variant>
        <vt:i4>0</vt:i4>
      </vt:variant>
      <vt:variant>
        <vt:i4>5</vt:i4>
      </vt:variant>
      <vt:variant>
        <vt:lpwstr/>
      </vt:variant>
      <vt:variant>
        <vt:lpwstr>_Toc453509228</vt:lpwstr>
      </vt:variant>
      <vt:variant>
        <vt:i4>1835061</vt:i4>
      </vt:variant>
      <vt:variant>
        <vt:i4>116</vt:i4>
      </vt:variant>
      <vt:variant>
        <vt:i4>0</vt:i4>
      </vt:variant>
      <vt:variant>
        <vt:i4>5</vt:i4>
      </vt:variant>
      <vt:variant>
        <vt:lpwstr/>
      </vt:variant>
      <vt:variant>
        <vt:lpwstr>_Toc453509227</vt:lpwstr>
      </vt:variant>
      <vt:variant>
        <vt:i4>1835061</vt:i4>
      </vt:variant>
      <vt:variant>
        <vt:i4>110</vt:i4>
      </vt:variant>
      <vt:variant>
        <vt:i4>0</vt:i4>
      </vt:variant>
      <vt:variant>
        <vt:i4>5</vt:i4>
      </vt:variant>
      <vt:variant>
        <vt:lpwstr/>
      </vt:variant>
      <vt:variant>
        <vt:lpwstr>_Toc453509226</vt:lpwstr>
      </vt:variant>
      <vt:variant>
        <vt:i4>1835061</vt:i4>
      </vt:variant>
      <vt:variant>
        <vt:i4>104</vt:i4>
      </vt:variant>
      <vt:variant>
        <vt:i4>0</vt:i4>
      </vt:variant>
      <vt:variant>
        <vt:i4>5</vt:i4>
      </vt:variant>
      <vt:variant>
        <vt:lpwstr/>
      </vt:variant>
      <vt:variant>
        <vt:lpwstr>_Toc453509225</vt:lpwstr>
      </vt:variant>
      <vt:variant>
        <vt:i4>1835061</vt:i4>
      </vt:variant>
      <vt:variant>
        <vt:i4>98</vt:i4>
      </vt:variant>
      <vt:variant>
        <vt:i4>0</vt:i4>
      </vt:variant>
      <vt:variant>
        <vt:i4>5</vt:i4>
      </vt:variant>
      <vt:variant>
        <vt:lpwstr/>
      </vt:variant>
      <vt:variant>
        <vt:lpwstr>_Toc453509224</vt:lpwstr>
      </vt:variant>
      <vt:variant>
        <vt:i4>1835061</vt:i4>
      </vt:variant>
      <vt:variant>
        <vt:i4>92</vt:i4>
      </vt:variant>
      <vt:variant>
        <vt:i4>0</vt:i4>
      </vt:variant>
      <vt:variant>
        <vt:i4>5</vt:i4>
      </vt:variant>
      <vt:variant>
        <vt:lpwstr/>
      </vt:variant>
      <vt:variant>
        <vt:lpwstr>_Toc453509223</vt:lpwstr>
      </vt:variant>
      <vt:variant>
        <vt:i4>1835061</vt:i4>
      </vt:variant>
      <vt:variant>
        <vt:i4>86</vt:i4>
      </vt:variant>
      <vt:variant>
        <vt:i4>0</vt:i4>
      </vt:variant>
      <vt:variant>
        <vt:i4>5</vt:i4>
      </vt:variant>
      <vt:variant>
        <vt:lpwstr/>
      </vt:variant>
      <vt:variant>
        <vt:lpwstr>_Toc453509222</vt:lpwstr>
      </vt:variant>
      <vt:variant>
        <vt:i4>1835061</vt:i4>
      </vt:variant>
      <vt:variant>
        <vt:i4>80</vt:i4>
      </vt:variant>
      <vt:variant>
        <vt:i4>0</vt:i4>
      </vt:variant>
      <vt:variant>
        <vt:i4>5</vt:i4>
      </vt:variant>
      <vt:variant>
        <vt:lpwstr/>
      </vt:variant>
      <vt:variant>
        <vt:lpwstr>_Toc453509221</vt:lpwstr>
      </vt:variant>
      <vt:variant>
        <vt:i4>1835061</vt:i4>
      </vt:variant>
      <vt:variant>
        <vt:i4>74</vt:i4>
      </vt:variant>
      <vt:variant>
        <vt:i4>0</vt:i4>
      </vt:variant>
      <vt:variant>
        <vt:i4>5</vt:i4>
      </vt:variant>
      <vt:variant>
        <vt:lpwstr/>
      </vt:variant>
      <vt:variant>
        <vt:lpwstr>_Toc453509220</vt:lpwstr>
      </vt:variant>
      <vt:variant>
        <vt:i4>2031669</vt:i4>
      </vt:variant>
      <vt:variant>
        <vt:i4>68</vt:i4>
      </vt:variant>
      <vt:variant>
        <vt:i4>0</vt:i4>
      </vt:variant>
      <vt:variant>
        <vt:i4>5</vt:i4>
      </vt:variant>
      <vt:variant>
        <vt:lpwstr/>
      </vt:variant>
      <vt:variant>
        <vt:lpwstr>_Toc453509219</vt:lpwstr>
      </vt:variant>
      <vt:variant>
        <vt:i4>2031669</vt:i4>
      </vt:variant>
      <vt:variant>
        <vt:i4>62</vt:i4>
      </vt:variant>
      <vt:variant>
        <vt:i4>0</vt:i4>
      </vt:variant>
      <vt:variant>
        <vt:i4>5</vt:i4>
      </vt:variant>
      <vt:variant>
        <vt:lpwstr/>
      </vt:variant>
      <vt:variant>
        <vt:lpwstr>_Toc453509218</vt:lpwstr>
      </vt:variant>
      <vt:variant>
        <vt:i4>2031669</vt:i4>
      </vt:variant>
      <vt:variant>
        <vt:i4>56</vt:i4>
      </vt:variant>
      <vt:variant>
        <vt:i4>0</vt:i4>
      </vt:variant>
      <vt:variant>
        <vt:i4>5</vt:i4>
      </vt:variant>
      <vt:variant>
        <vt:lpwstr/>
      </vt:variant>
      <vt:variant>
        <vt:lpwstr>_Toc453509217</vt:lpwstr>
      </vt:variant>
      <vt:variant>
        <vt:i4>2031669</vt:i4>
      </vt:variant>
      <vt:variant>
        <vt:i4>50</vt:i4>
      </vt:variant>
      <vt:variant>
        <vt:i4>0</vt:i4>
      </vt:variant>
      <vt:variant>
        <vt:i4>5</vt:i4>
      </vt:variant>
      <vt:variant>
        <vt:lpwstr/>
      </vt:variant>
      <vt:variant>
        <vt:lpwstr>_Toc453509216</vt:lpwstr>
      </vt:variant>
      <vt:variant>
        <vt:i4>2031669</vt:i4>
      </vt:variant>
      <vt:variant>
        <vt:i4>44</vt:i4>
      </vt:variant>
      <vt:variant>
        <vt:i4>0</vt:i4>
      </vt:variant>
      <vt:variant>
        <vt:i4>5</vt:i4>
      </vt:variant>
      <vt:variant>
        <vt:lpwstr/>
      </vt:variant>
      <vt:variant>
        <vt:lpwstr>_Toc453509215</vt:lpwstr>
      </vt:variant>
      <vt:variant>
        <vt:i4>2031669</vt:i4>
      </vt:variant>
      <vt:variant>
        <vt:i4>38</vt:i4>
      </vt:variant>
      <vt:variant>
        <vt:i4>0</vt:i4>
      </vt:variant>
      <vt:variant>
        <vt:i4>5</vt:i4>
      </vt:variant>
      <vt:variant>
        <vt:lpwstr/>
      </vt:variant>
      <vt:variant>
        <vt:lpwstr>_Toc453509214</vt:lpwstr>
      </vt:variant>
      <vt:variant>
        <vt:i4>2031669</vt:i4>
      </vt:variant>
      <vt:variant>
        <vt:i4>32</vt:i4>
      </vt:variant>
      <vt:variant>
        <vt:i4>0</vt:i4>
      </vt:variant>
      <vt:variant>
        <vt:i4>5</vt:i4>
      </vt:variant>
      <vt:variant>
        <vt:lpwstr/>
      </vt:variant>
      <vt:variant>
        <vt:lpwstr>_Toc453509213</vt:lpwstr>
      </vt:variant>
      <vt:variant>
        <vt:i4>2031669</vt:i4>
      </vt:variant>
      <vt:variant>
        <vt:i4>26</vt:i4>
      </vt:variant>
      <vt:variant>
        <vt:i4>0</vt:i4>
      </vt:variant>
      <vt:variant>
        <vt:i4>5</vt:i4>
      </vt:variant>
      <vt:variant>
        <vt:lpwstr/>
      </vt:variant>
      <vt:variant>
        <vt:lpwstr>_Toc453509212</vt:lpwstr>
      </vt:variant>
      <vt:variant>
        <vt:i4>2031669</vt:i4>
      </vt:variant>
      <vt:variant>
        <vt:i4>20</vt:i4>
      </vt:variant>
      <vt:variant>
        <vt:i4>0</vt:i4>
      </vt:variant>
      <vt:variant>
        <vt:i4>5</vt:i4>
      </vt:variant>
      <vt:variant>
        <vt:lpwstr/>
      </vt:variant>
      <vt:variant>
        <vt:lpwstr>_Toc453509211</vt:lpwstr>
      </vt:variant>
      <vt:variant>
        <vt:i4>2031669</vt:i4>
      </vt:variant>
      <vt:variant>
        <vt:i4>14</vt:i4>
      </vt:variant>
      <vt:variant>
        <vt:i4>0</vt:i4>
      </vt:variant>
      <vt:variant>
        <vt:i4>5</vt:i4>
      </vt:variant>
      <vt:variant>
        <vt:lpwstr/>
      </vt:variant>
      <vt:variant>
        <vt:lpwstr>_Toc453509210</vt:lpwstr>
      </vt:variant>
      <vt:variant>
        <vt:i4>1966133</vt:i4>
      </vt:variant>
      <vt:variant>
        <vt:i4>8</vt:i4>
      </vt:variant>
      <vt:variant>
        <vt:i4>0</vt:i4>
      </vt:variant>
      <vt:variant>
        <vt:i4>5</vt:i4>
      </vt:variant>
      <vt:variant>
        <vt:lpwstr/>
      </vt:variant>
      <vt:variant>
        <vt:lpwstr>_Toc453509209</vt:lpwstr>
      </vt:variant>
      <vt:variant>
        <vt:i4>1966133</vt:i4>
      </vt:variant>
      <vt:variant>
        <vt:i4>2</vt:i4>
      </vt:variant>
      <vt:variant>
        <vt:i4>0</vt:i4>
      </vt:variant>
      <vt:variant>
        <vt:i4>5</vt:i4>
      </vt:variant>
      <vt:variant>
        <vt:lpwstr/>
      </vt:variant>
      <vt:variant>
        <vt:lpwstr>_Toc453509208</vt:lpwstr>
      </vt:variant>
      <vt:variant>
        <vt:i4>7143439</vt:i4>
      </vt:variant>
      <vt:variant>
        <vt:i4>3</vt:i4>
      </vt:variant>
      <vt:variant>
        <vt:i4>0</vt:i4>
      </vt:variant>
      <vt:variant>
        <vt:i4>5</vt:i4>
      </vt:variant>
      <vt:variant>
        <vt:lpwstr>https://www.powerwater.com.au/networks_and_infrastructure/market_operator/MarketOperatorConsultationPapers</vt:lpwstr>
      </vt:variant>
      <vt:variant>
        <vt:lpwstr/>
      </vt:variant>
      <vt:variant>
        <vt:i4>7667811</vt:i4>
      </vt:variant>
      <vt:variant>
        <vt:i4>0</vt:i4>
      </vt:variant>
      <vt:variant>
        <vt:i4>0</vt:i4>
      </vt:variant>
      <vt:variant>
        <vt:i4>5</vt:i4>
      </vt:variant>
      <vt:variant>
        <vt:lpwstr>http://www.aemo.com.au/Electricity/Policies-and-Procedures/Market-Settlement-and-Transfer-Solutions/MSATS-Participant-User-Interface-Guides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to Amend the Electricity Retail Supply Code Consultation Paper</dc:title>
  <dc:creator/>
  <cp:lastModifiedBy/>
  <cp:revision>1</cp:revision>
  <dcterms:created xsi:type="dcterms:W3CDTF">2016-07-29T06:28:00Z</dcterms:created>
  <dcterms:modified xsi:type="dcterms:W3CDTF">2016-07-29T06:38:00Z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0x0101002A7AC795A47C6349B5032D5D43EA6D42</vt:lpwstr>
  </property>
</Properties>
</file>